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招标公告</w:t>
      </w:r>
    </w:p>
    <w:p>
      <w:r>
        <w:t>项目名称：某市政务服务中心智能化系统工程（货物及服务）；项目编号：ZFCG-2026-GK-0311。</w:t>
      </w:r>
    </w:p>
    <w:p>
      <w:r>
        <w:t>某市政务服务中心拟对智能化系统工程（货物及服务）进行公开招标，欢迎符合条件的供应商参加投标。</w:t>
      </w:r>
    </w:p>
    <w:p>
      <w:r>
        <w:t>本项目预算金额：设备采购预算 350 万元（含税）；最高限价（招标控制价）：人民币 480 万元（含税），投标报价超过最高限价的作否决投标处理。</w:t>
      </w:r>
    </w:p>
    <w:p>
      <w:r>
        <w:t>开标时间：2026-11-15 09:30（北京时间）；投标截止时间（递交截止时间）：2026-11-13 09:30。</w:t>
      </w:r>
    </w:p>
    <w:p>
      <w:r>
        <w:t>获取招标文件时间：2026-10-16 至 2026-10-23（工作日）。质疑截止时间：2026-10-30。</w:t>
      </w:r>
    </w:p>
    <w:p>
      <w:r>
        <w:br w:type="page"/>
      </w:r>
    </w:p>
    <w:p>
      <w:pPr>
        <w:pStyle w:val="Heading1"/>
      </w:pPr>
      <w:r>
        <w:t>第二章 投标人须知前附表</w:t>
      </w:r>
    </w:p>
    <w:p>
      <w:r>
        <w:t>本前附表是对投标人须知正文的具体补充和修改，与须知正文具有同等效力；不一致时以前附表为准。</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条款名称</w:t>
            </w:r>
          </w:p>
        </w:tc>
        <w:tc>
          <w:tcPr>
            <w:tcW w:type="dxa" w:w="2880"/>
          </w:tcPr>
          <w:p>
            <w:r>
              <w:t>编列内容</w:t>
            </w:r>
          </w:p>
        </w:tc>
      </w:tr>
      <w:tr>
        <w:tc>
          <w:tcPr>
            <w:tcW w:type="dxa" w:w="2880"/>
          </w:tcPr>
          <w:p>
            <w:r>
              <w:t>1</w:t>
            </w:r>
          </w:p>
        </w:tc>
        <w:tc>
          <w:tcPr>
            <w:tcW w:type="dxa" w:w="2880"/>
          </w:tcPr>
          <w:p>
            <w:r>
              <w:t>项目名称</w:t>
            </w:r>
          </w:p>
        </w:tc>
        <w:tc>
          <w:tcPr>
            <w:tcW w:type="dxa" w:w="2880"/>
          </w:tcPr>
          <w:p>
            <w:r>
              <w:t>某市政务服务中心智能化系统工程（货物及服务）</w:t>
            </w:r>
          </w:p>
        </w:tc>
      </w:tr>
      <w:tr>
        <w:tc>
          <w:tcPr>
            <w:tcW w:type="dxa" w:w="2880"/>
          </w:tcPr>
          <w:p>
            <w:r>
              <w:t>2</w:t>
            </w:r>
          </w:p>
        </w:tc>
        <w:tc>
          <w:tcPr>
            <w:tcW w:type="dxa" w:w="2880"/>
          </w:tcPr>
          <w:p>
            <w:r>
              <w:t>项目编号</w:t>
            </w:r>
          </w:p>
        </w:tc>
        <w:tc>
          <w:tcPr>
            <w:tcW w:type="dxa" w:w="2880"/>
          </w:tcPr>
          <w:p>
            <w:r>
              <w:t>ZFCG-2026-GK-0311</w:t>
            </w:r>
          </w:p>
        </w:tc>
      </w:tr>
      <w:tr>
        <w:tc>
          <w:tcPr>
            <w:tcW w:type="dxa" w:w="2880"/>
          </w:tcPr>
          <w:p>
            <w:r>
              <w:t>3</w:t>
            </w:r>
          </w:p>
        </w:tc>
        <w:tc>
          <w:tcPr>
            <w:tcW w:type="dxa" w:w="2880"/>
          </w:tcPr>
          <w:p>
            <w:r>
              <w:t>工期</w:t>
            </w:r>
          </w:p>
        </w:tc>
        <w:tc>
          <w:tcPr>
            <w:tcW w:type="dxa" w:w="2880"/>
          </w:tcPr>
          <w:p>
            <w:r>
              <w:t>90 日历天（自开工令下达之日起算）</w:t>
            </w:r>
          </w:p>
        </w:tc>
      </w:tr>
      <w:tr>
        <w:tc>
          <w:tcPr>
            <w:tcW w:type="dxa" w:w="2880"/>
          </w:tcPr>
          <w:p>
            <w:r>
              <w:t>4</w:t>
            </w:r>
          </w:p>
        </w:tc>
        <w:tc>
          <w:tcPr>
            <w:tcW w:type="dxa" w:w="2880"/>
          </w:tcPr>
          <w:p>
            <w:r>
              <w:t>质量标准</w:t>
            </w:r>
          </w:p>
        </w:tc>
        <w:tc>
          <w:tcPr>
            <w:tcW w:type="dxa" w:w="2880"/>
          </w:tcPr>
          <w:p>
            <w:r>
              <w:t>符合国家现行验收规范合格标准</w:t>
            </w:r>
          </w:p>
        </w:tc>
      </w:tr>
      <w:tr>
        <w:tc>
          <w:tcPr>
            <w:tcW w:type="dxa" w:w="2880"/>
          </w:tcPr>
          <w:p>
            <w:r>
              <w:t>5</w:t>
            </w:r>
          </w:p>
        </w:tc>
        <w:tc>
          <w:tcPr>
            <w:tcW w:type="dxa" w:w="2880"/>
          </w:tcPr>
          <w:p>
            <w:r>
              <w:t>投标有效期</w:t>
            </w:r>
          </w:p>
        </w:tc>
        <w:tc>
          <w:tcPr>
            <w:tcW w:type="dxa" w:w="2880"/>
          </w:tcPr>
          <w:p>
            <w:r>
              <w:t>自投标截止之日起 90 日历天</w:t>
            </w:r>
          </w:p>
        </w:tc>
      </w:tr>
      <w:tr>
        <w:tc>
          <w:tcPr>
            <w:tcW w:type="dxa" w:w="2880"/>
          </w:tcPr>
          <w:p>
            <w:r>
              <w:t>6</w:t>
            </w:r>
          </w:p>
        </w:tc>
        <w:tc>
          <w:tcPr>
            <w:tcW w:type="dxa" w:w="2880"/>
          </w:tcPr>
          <w:p>
            <w:r>
              <w:t>投标保证金</w:t>
            </w:r>
          </w:p>
        </w:tc>
        <w:tc>
          <w:tcPr>
            <w:tcW w:type="dxa" w:w="2880"/>
          </w:tcPr>
          <w:p>
            <w:r>
              <w:t>人民币 9 万元（大写：玖万元整）</w:t>
            </w:r>
          </w:p>
        </w:tc>
      </w:tr>
      <w:tr>
        <w:tc>
          <w:tcPr>
            <w:tcW w:type="dxa" w:w="2880"/>
          </w:tcPr>
          <w:p>
            <w:r>
              <w:t>7</w:t>
            </w:r>
          </w:p>
        </w:tc>
        <w:tc>
          <w:tcPr>
            <w:tcW w:type="dxa" w:w="2880"/>
          </w:tcPr>
          <w:p>
            <w:r>
              <w:t>投标文件份数</w:t>
            </w:r>
          </w:p>
        </w:tc>
        <w:tc>
          <w:tcPr>
            <w:tcW w:type="dxa" w:w="2880"/>
          </w:tcPr>
          <w:p>
            <w:r>
              <w:t>正本 1 份，副本 4 份</w:t>
            </w:r>
          </w:p>
        </w:tc>
      </w:tr>
      <w:tr>
        <w:tc>
          <w:tcPr>
            <w:tcW w:type="dxa" w:w="2880"/>
          </w:tcPr>
          <w:p>
            <w:r>
              <w:t>8</w:t>
            </w:r>
          </w:p>
        </w:tc>
        <w:tc>
          <w:tcPr>
            <w:tcW w:type="dxa" w:w="2880"/>
          </w:tcPr>
          <w:p>
            <w:r>
              <w:t>评标办法</w:t>
            </w:r>
          </w:p>
        </w:tc>
        <w:tc>
          <w:tcPr>
            <w:tcW w:type="dxa" w:w="2880"/>
          </w:tcPr>
          <w:p>
            <w:r>
              <w:t>综合评分法</w:t>
            </w:r>
          </w:p>
        </w:tc>
      </w:tr>
      <w:tr>
        <w:tc>
          <w:tcPr>
            <w:tcW w:type="dxa" w:w="2880"/>
          </w:tcPr>
          <w:p>
            <w:r>
              <w:t>9</w:t>
            </w:r>
          </w:p>
        </w:tc>
        <w:tc>
          <w:tcPr>
            <w:tcW w:type="dxa" w:w="2880"/>
          </w:tcPr>
          <w:p>
            <w:r>
              <w:t>技术偏离表</w:t>
            </w:r>
          </w:p>
        </w:tc>
        <w:tc>
          <w:tcPr>
            <w:tcW w:type="dxa" w:w="2880"/>
          </w:tcPr>
          <w:p>
            <w:r>
              <w:t>按第七章附件 7-3 格式填写</w:t>
            </w:r>
          </w:p>
        </w:tc>
      </w:tr>
      <w:tr>
        <w:tc>
          <w:tcPr>
            <w:tcW w:type="dxa" w:w="2880"/>
          </w:tcPr>
          <w:p>
            <w:r>
              <w:t>10</w:t>
            </w:r>
          </w:p>
        </w:tc>
        <w:tc>
          <w:tcPr>
            <w:tcW w:type="dxa" w:w="2880"/>
          </w:tcPr>
          <w:p>
            <w:r>
              <w:t>否决条款提示</w:t>
            </w:r>
          </w:p>
        </w:tc>
        <w:tc>
          <w:tcPr>
            <w:tcW w:type="dxa" w:w="2880"/>
          </w:tcPr>
          <w:p>
            <w:r>
              <w:t>未按本表第 9 项规定格式填写技术偏离表的，其投标作否决投标处理</w:t>
            </w:r>
          </w:p>
        </w:tc>
      </w:tr>
      <w:tr>
        <w:tc>
          <w:tcPr>
            <w:tcW w:type="dxa" w:w="2880"/>
          </w:tcPr>
          <w:p>
            <w:r>
              <w:t>11</w:t>
            </w:r>
          </w:p>
        </w:tc>
        <w:tc>
          <w:tcPr>
            <w:tcW w:type="dxa" w:w="2880"/>
          </w:tcPr>
          <w:p>
            <w:r>
              <w:t>开标时间</w:t>
            </w:r>
          </w:p>
        </w:tc>
        <w:tc>
          <w:tcPr>
            <w:tcW w:type="dxa" w:w="2880"/>
          </w:tcPr>
          <w:p>
            <w:r>
              <w:t>2026-11-15 09:30</w:t>
            </w:r>
          </w:p>
        </w:tc>
      </w:tr>
      <w:tr>
        <w:tc>
          <w:tcPr>
            <w:tcW w:type="dxa" w:w="2880"/>
          </w:tcPr>
          <w:p>
            <w:r>
              <w:t>12</w:t>
            </w:r>
          </w:p>
        </w:tc>
        <w:tc>
          <w:tcPr>
            <w:tcW w:type="dxa" w:w="2880"/>
          </w:tcPr>
          <w:p>
            <w:r>
              <w:t>投标截止时间</w:t>
            </w:r>
          </w:p>
        </w:tc>
        <w:tc>
          <w:tcPr>
            <w:tcW w:type="dxa" w:w="2880"/>
          </w:tcPr>
          <w:p>
            <w:r>
              <w:t>2026-11-13 09:30</w:t>
            </w:r>
          </w:p>
        </w:tc>
      </w:tr>
    </w:tbl>
    <w:p>
      <w:r>
        <w:br w:type="page"/>
      </w:r>
    </w:p>
    <w:p>
      <w:pPr>
        <w:pStyle w:val="Heading1"/>
      </w:pPr>
      <w:r>
        <w:t>第三章 投标人须知</w:t>
      </w:r>
    </w:p>
    <w:p>
      <w:pPr>
        <w:pStyle w:val="Heading2"/>
      </w:pPr>
      <w:r>
        <w:t>一、总则</w:t>
      </w:r>
    </w:p>
    <w:p>
      <w:r>
        <w:t>3.1.1 适用范围：本须知适用于本项目投标、开标、评标、定标及合同签订全过程。</w:t>
      </w:r>
    </w:p>
    <w:p>
      <w:r>
        <w:t>3.1.2 项目资金来源：财政性资金，已落实。</w:t>
      </w:r>
    </w:p>
    <w:p>
      <w:pPr>
        <w:pStyle w:val="Heading2"/>
      </w:pPr>
      <w:r>
        <w:t>二、投标人资格要求</w:t>
      </w:r>
    </w:p>
    <w:p>
      <w:r>
        <w:t>3.2.1 投标人须具有独立承担民事责任能力的法人营业执照，提供营业执照副本复印件并加盖公章。</w:t>
      </w:r>
    </w:p>
    <w:p>
      <w:r>
        <w:t>3.2.2 投标人须具备电子与智能化工程专业承包二级（含）以上资质，且资质证书在有效期内。</w:t>
      </w:r>
    </w:p>
    <w:p>
      <w:r>
        <w:t>3.2.3 投标人近三年（自 2023 年 1 月 1 日以来，以合同签订时间为准）须至少完成 2 个合同额 200 万元（含）以上的类似智能化工程项目业绩。</w:t>
      </w:r>
    </w:p>
    <w:p>
      <w:r>
        <w:t>3.2.4 拟派项目经理须具备二级（含）以上注册建造师执业资格（机电工程专业），并提供无在建项目承诺书。</w:t>
      </w:r>
    </w:p>
    <w:p>
      <w:r>
        <w:t>3.2.5 投标人须提供经审计的上一年度（2025 年度）财务审计报告。</w:t>
      </w:r>
    </w:p>
    <w:p>
      <w:r>
        <w:t>3.2.6 投标人须提供未被列入失信被执行人、重大税收违法案件当事人名单的书面承诺及信用中国网站查询记录截图。</w:t>
      </w:r>
    </w:p>
    <w:p>
      <w:pPr>
        <w:pStyle w:val="Heading2"/>
      </w:pPr>
      <w:r>
        <w:t>三、投标文件的编制</w:t>
      </w:r>
    </w:p>
    <w:p>
      <w:r>
        <w:t>3.3.1 投标文件须按第七章规定的格式编制，包括：投标函、开标一览表、投标分项报价表、技术方案、商务部分及资格证明文件。</w:t>
      </w:r>
    </w:p>
    <w:p>
      <w:r>
        <w:t>3.3.2 投标文件正本 1 份，副本 4 份，每册均须在封面明确标注"正本"或"副本"字样。</w:t>
      </w:r>
    </w:p>
    <w:p>
      <w:r>
        <w:t>3.3.3 技术标部分采用暗标评审：技术标正文中不得出现投标人名称、投标人 Logo、项目班子成员姓名及其他可识别投标人身份的标记，否则作否决投标处理。</w:t>
      </w:r>
    </w:p>
    <w:p>
      <w:r>
        <w:t>3.3.4 投标文件总页数不得超过 200 页（含封面、目录及附件），超过页数上限的作否决投标处理。</w:t>
      </w:r>
    </w:p>
    <w:p>
      <w:pPr>
        <w:pStyle w:val="Heading2"/>
      </w:pPr>
      <w:r>
        <w:t>四、投标报价</w:t>
      </w:r>
    </w:p>
    <w:p>
      <w:r>
        <w:t>3.4.1 投标报价为一次包干总价，包含货物、安装、调试、运输、保险、税费及质保期服务等全部费用。报价口径以人民币"万元/含税"计。</w:t>
      </w:r>
    </w:p>
    <w:p>
      <w:r>
        <w:t>3.4.2 投标报价超过本章及商务要求所列招标控制价的，作否决投标处理。</w:t>
      </w:r>
    </w:p>
    <w:p>
      <w:pPr>
        <w:pStyle w:val="Heading2"/>
      </w:pPr>
      <w:r>
        <w:t>五、投标保证金</w:t>
      </w:r>
    </w:p>
    <w:p>
      <w:r>
        <w:t>3.5.1 投标人须在本须知前附表规定金额（人民币 9 万元）内提交投标保证金，未按要求提交的作否决投标处理。</w:t>
      </w:r>
    </w:p>
    <w:p>
      <w:pPr>
        <w:pStyle w:val="Heading2"/>
      </w:pPr>
      <w:r>
        <w:t>六、投标文件的递交</w:t>
      </w:r>
    </w:p>
    <w:p>
      <w:r>
        <w:t>3.6.1 投标文件递交截止时间（投标截止时间）：2026-11-13 09:30，逾期送达或不符合规定的恕不接收。</w:t>
      </w:r>
    </w:p>
    <w:p>
      <w:pPr>
        <w:pStyle w:val="Heading2"/>
      </w:pPr>
      <w:r>
        <w:t>七、开标、评标与否决条款</w:t>
      </w:r>
    </w:p>
    <w:p>
      <w:r>
        <w:t>3.7.1 开标时间及地点见前附表第 11 项；投标人法定代表人或授权代表须出席。</w:t>
      </w:r>
    </w:p>
    <w:p>
      <w:r>
        <w:t>3.7.2.1 投标文件未按招标文件规定格式要求签署、盖章的，评标委员会应当否决其投标。</w:t>
      </w:r>
    </w:p>
    <w:p>
      <w:r>
        <w:t>3.7.2.2 投标报价超过招标控制价（最高限价）的，作否决投标处理。</w:t>
      </w:r>
    </w:p>
    <w:p>
      <w:r>
        <w:t>3.7.2.3 投标工期不满足 90 日历天要求的，作否决投标处理。</w:t>
      </w:r>
    </w:p>
    <w:p>
      <w:r>
        <w:t>3.7.2.4 未按要求提交投标保证金的，作否决投标处理。</w:t>
      </w:r>
    </w:p>
    <w:p>
      <w:pPr>
        <w:pStyle w:val="Heading2"/>
      </w:pPr>
      <w:r>
        <w:t>八、合同授予</w:t>
      </w:r>
    </w:p>
    <w:p>
      <w:r>
        <w:t>3.8.1 中标人须在中标通知书发出之日起 30 日内签订合同；合同签订前须提交履约保证金（合同价的 5%）。</w:t>
      </w:r>
    </w:p>
    <w:p>
      <w:r>
        <w:br w:type="page"/>
      </w:r>
    </w:p>
    <w:p>
      <w:pPr>
        <w:pStyle w:val="Heading1"/>
      </w:pPr>
      <w:r>
        <w:t>第四章 评标办法（综合评分法）</w:t>
      </w:r>
    </w:p>
    <w:p>
      <w:r>
        <w:t>评分构成：价格分 30 分 ＋ 技术分 55 分 ＋ 商务分 15 分，满分 100 分。</w:t>
      </w:r>
    </w:p>
    <w:p>
      <w:r>
        <w:t>4.1 价格分（30 分）：以通过初步评审的有效投标报价的算术平均值下浮 5% 为基准价，价格分＝（基准价／投标报价）×30，四舍五入保留两位小数。</w:t>
      </w:r>
    </w:p>
    <w:p>
      <w:r>
        <w:t>4.2 技术分（55 分）：技术方案完整性针对性 30 分；项目实施方案与进度保障 10 分；售后服务方案（含响应时限承诺）8 分；持有效安全生产许可证且有效期覆盖工期全程的得 2 分；项目团队人员配置（含职称及执业资格证书）5 分。</w:t>
      </w:r>
    </w:p>
    <w:p>
      <w:r>
        <w:t>4.3 商务分（15 分）：近三年（自 2023 年 1 月 1 日以来）完成的合同额 200 万元（含）以上的类似智能化工程业绩，每提供 1 个得 2 分，最多得 6 分；企业认证体系（ISO9001）1 分；企业认证体系（ISO27001）1 分；银行资信等级 AAA 级 2 分；类似项目获省级以上奖项每个 1 分，最多 3 分；注册建造师（机电工程）人员数量 1 名 2 分。</w:t>
      </w:r>
    </w:p>
    <w:p>
      <w:r>
        <w:t>4.4 项目团队评分：项目经理具备一级注册建造师（机电工程）资格且无在建项目的加 3 分；项目团队具有高级网络工程师职称证书的每人 1 分，最多 2 分。</w:t>
      </w:r>
    </w:p>
    <w:p>
      <w:r>
        <w:br w:type="page"/>
      </w:r>
    </w:p>
    <w:p>
      <w:pPr>
        <w:pStyle w:val="Heading1"/>
      </w:pPr>
      <w:r>
        <w:t>第五章 技术需求（5 组参数表）</w:t>
      </w:r>
    </w:p>
    <w:p>
      <w:r>
        <w:t>5.0 总则：本章设备采购预算 350 万元（含税）；供货及安装范围包括机房、网络、安防、会议及集成管理平台五大部分。</w:t>
      </w:r>
    </w:p>
    <w:p>
      <w:pPr>
        <w:pStyle w:val="Heading2"/>
      </w:pPr>
      <w:r>
        <w:t>5.1 参数表 1：机房设备（服务器）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型号规格（响应须精确一致）</w:t>
            </w:r>
          </w:p>
        </w:tc>
        <w:tc>
          <w:tcPr>
            <w:tcW w:type="dxa" w:w="1440"/>
          </w:tcPr>
          <w:p>
            <w:r>
              <w:t>单位</w:t>
            </w:r>
          </w:p>
        </w:tc>
        <w:tc>
          <w:tcPr>
            <w:tcW w:type="dxa" w:w="1440"/>
          </w:tcPr>
          <w:p>
            <w:r>
              <w:t>数量</w:t>
            </w:r>
          </w:p>
        </w:tc>
        <w:tc>
          <w:tcPr>
            <w:tcW w:type="dxa" w:w="1440"/>
          </w:tcPr>
          <w:p>
            <w:r>
              <w:t>关键参数</w:t>
            </w:r>
          </w:p>
        </w:tc>
      </w:tr>
      <w:tr>
        <w:tc>
          <w:tcPr>
            <w:tcW w:type="dxa" w:w="1440"/>
          </w:tcPr>
          <w:p>
            <w:r>
              <w:t>1</w:t>
            </w:r>
          </w:p>
        </w:tc>
        <w:tc>
          <w:tcPr>
            <w:tcW w:type="dxa" w:w="1440"/>
          </w:tcPr>
          <w:p>
            <w:r>
              <w:t>应用服务器</w:t>
            </w:r>
          </w:p>
        </w:tc>
        <w:tc>
          <w:tcPr>
            <w:tcW w:type="dxa" w:w="1440"/>
          </w:tcPr>
          <w:p>
            <w:r>
              <w:t>GW-8000-T4</w:t>
            </w:r>
          </w:p>
        </w:tc>
        <w:tc>
          <w:tcPr>
            <w:tcW w:type="dxa" w:w="1440"/>
          </w:tcPr>
          <w:p>
            <w:r>
              <w:t>台</w:t>
            </w:r>
          </w:p>
        </w:tc>
        <w:tc>
          <w:tcPr>
            <w:tcW w:type="dxa" w:w="1440"/>
          </w:tcPr>
          <w:p>
            <w:r>
              <w:t>4</w:t>
            </w:r>
          </w:p>
        </w:tc>
        <w:tc>
          <w:tcPr>
            <w:tcW w:type="dxa" w:w="1440"/>
          </w:tcPr>
          <w:p>
            <w:r>
              <w:t>2×Intel Xeon Silver 4310/256G/2×960G SSD/双电源</w:t>
            </w:r>
          </w:p>
        </w:tc>
      </w:tr>
      <w:tr>
        <w:tc>
          <w:tcPr>
            <w:tcW w:type="dxa" w:w="1440"/>
          </w:tcPr>
          <w:p>
            <w:r>
              <w:t>2</w:t>
            </w:r>
          </w:p>
        </w:tc>
        <w:tc>
          <w:tcPr>
            <w:tcW w:type="dxa" w:w="1440"/>
          </w:tcPr>
          <w:p>
            <w:r>
              <w:t>数据库服务器</w:t>
            </w:r>
          </w:p>
        </w:tc>
        <w:tc>
          <w:tcPr>
            <w:tcW w:type="dxa" w:w="1440"/>
          </w:tcPr>
          <w:p>
            <w:r>
              <w:t>GW-8000-T4</w:t>
            </w:r>
          </w:p>
        </w:tc>
        <w:tc>
          <w:tcPr>
            <w:tcW w:type="dxa" w:w="1440"/>
          </w:tcPr>
          <w:p>
            <w:r>
              <w:t>台</w:t>
            </w:r>
          </w:p>
        </w:tc>
        <w:tc>
          <w:tcPr>
            <w:tcW w:type="dxa" w:w="1440"/>
          </w:tcPr>
          <w:p>
            <w:r>
              <w:t>2</w:t>
            </w:r>
          </w:p>
        </w:tc>
        <w:tc>
          <w:tcPr>
            <w:tcW w:type="dxa" w:w="1440"/>
          </w:tcPr>
          <w:p>
            <w:r>
              <w:t>2×Intel Xeon Silver 4310/512G/4×1.92T SSD/双电源</w:t>
            </w:r>
          </w:p>
        </w:tc>
      </w:tr>
    </w:tbl>
    <w:p>
      <w:pPr>
        <w:pStyle w:val="Heading2"/>
      </w:pPr>
      <w:r>
        <w:t>5.2 参数表 2：网络设备（交换机）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型号规格（响应须精确一致）</w:t>
            </w:r>
          </w:p>
        </w:tc>
        <w:tc>
          <w:tcPr>
            <w:tcW w:type="dxa" w:w="1440"/>
          </w:tcPr>
          <w:p>
            <w:r>
              <w:t>单位</w:t>
            </w:r>
          </w:p>
        </w:tc>
        <w:tc>
          <w:tcPr>
            <w:tcW w:type="dxa" w:w="1440"/>
          </w:tcPr>
          <w:p>
            <w:r>
              <w:t>数量</w:t>
            </w:r>
          </w:p>
        </w:tc>
        <w:tc>
          <w:tcPr>
            <w:tcW w:type="dxa" w:w="1440"/>
          </w:tcPr>
          <w:p>
            <w:r>
              <w:t>关键参数</w:t>
            </w:r>
          </w:p>
        </w:tc>
      </w:tr>
      <w:tr>
        <w:tc>
          <w:tcPr>
            <w:tcW w:type="dxa" w:w="1440"/>
          </w:tcPr>
          <w:p>
            <w:r>
              <w:t>1</w:t>
            </w:r>
          </w:p>
        </w:tc>
        <w:tc>
          <w:tcPr>
            <w:tcW w:type="dxa" w:w="1440"/>
          </w:tcPr>
          <w:p>
            <w:r>
              <w:t>核心交换机</w:t>
            </w:r>
          </w:p>
        </w:tc>
        <w:tc>
          <w:tcPr>
            <w:tcW w:type="dxa" w:w="1440"/>
          </w:tcPr>
          <w:p>
            <w:r>
              <w:t>S5735-L48T4X-A1</w:t>
            </w:r>
          </w:p>
        </w:tc>
        <w:tc>
          <w:tcPr>
            <w:tcW w:type="dxa" w:w="1440"/>
          </w:tcPr>
          <w:p>
            <w:r>
              <w:t>台</w:t>
            </w:r>
          </w:p>
        </w:tc>
        <w:tc>
          <w:tcPr>
            <w:tcW w:type="dxa" w:w="1440"/>
          </w:tcPr>
          <w:p>
            <w:r>
              <w:t>2</w:t>
            </w:r>
          </w:p>
        </w:tc>
        <w:tc>
          <w:tcPr>
            <w:tcW w:type="dxa" w:w="1440"/>
          </w:tcPr>
          <w:p>
            <w:r>
              <w:t>48口10/100/1000Base-T＋4口10GE SFP＋，交换容量≥2.4Tbps</w:t>
            </w:r>
          </w:p>
        </w:tc>
      </w:tr>
      <w:tr>
        <w:tc>
          <w:tcPr>
            <w:tcW w:type="dxa" w:w="1440"/>
          </w:tcPr>
          <w:p>
            <w:r>
              <w:t>2</w:t>
            </w:r>
          </w:p>
        </w:tc>
        <w:tc>
          <w:tcPr>
            <w:tcW w:type="dxa" w:w="1440"/>
          </w:tcPr>
          <w:p>
            <w:r>
              <w:t>接入交换机</w:t>
            </w:r>
          </w:p>
        </w:tc>
        <w:tc>
          <w:tcPr>
            <w:tcW w:type="dxa" w:w="1440"/>
          </w:tcPr>
          <w:p>
            <w:r>
              <w:t>S5735-L48T4X-A1</w:t>
            </w:r>
          </w:p>
        </w:tc>
        <w:tc>
          <w:tcPr>
            <w:tcW w:type="dxa" w:w="1440"/>
          </w:tcPr>
          <w:p>
            <w:r>
              <w:t>台</w:t>
            </w:r>
          </w:p>
        </w:tc>
        <w:tc>
          <w:tcPr>
            <w:tcW w:type="dxa" w:w="1440"/>
          </w:tcPr>
          <w:p>
            <w:r>
              <w:t>12</w:t>
            </w:r>
          </w:p>
        </w:tc>
        <w:tc>
          <w:tcPr>
            <w:tcW w:type="dxa" w:w="1440"/>
          </w:tcPr>
          <w:p>
            <w:r>
              <w:t>48口10/100/1000Base-T＋4口10GE SFP＋</w:t>
            </w:r>
          </w:p>
        </w:tc>
      </w:tr>
    </w:tbl>
    <w:p>
      <w:pPr>
        <w:pStyle w:val="Heading2"/>
      </w:pPr>
      <w:r>
        <w:t>5.3 参数表 3：网络安全设备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型号规格（响应须精确一致）</w:t>
            </w:r>
          </w:p>
        </w:tc>
        <w:tc>
          <w:tcPr>
            <w:tcW w:type="dxa" w:w="1440"/>
          </w:tcPr>
          <w:p>
            <w:r>
              <w:t>单位</w:t>
            </w:r>
          </w:p>
        </w:tc>
        <w:tc>
          <w:tcPr>
            <w:tcW w:type="dxa" w:w="1440"/>
          </w:tcPr>
          <w:p>
            <w:r>
              <w:t>数量</w:t>
            </w:r>
          </w:p>
        </w:tc>
        <w:tc>
          <w:tcPr>
            <w:tcW w:type="dxa" w:w="1440"/>
          </w:tcPr>
          <w:p>
            <w:r>
              <w:t>关键参数</w:t>
            </w:r>
          </w:p>
        </w:tc>
      </w:tr>
      <w:tr>
        <w:tc>
          <w:tcPr>
            <w:tcW w:type="dxa" w:w="1440"/>
          </w:tcPr>
          <w:p>
            <w:r>
              <w:t>1</w:t>
            </w:r>
          </w:p>
        </w:tc>
        <w:tc>
          <w:tcPr>
            <w:tcW w:type="dxa" w:w="1440"/>
          </w:tcPr>
          <w:p>
            <w:r>
              <w:t>防火墙</w:t>
            </w:r>
          </w:p>
        </w:tc>
        <w:tc>
          <w:tcPr>
            <w:tcW w:type="dxa" w:w="1440"/>
          </w:tcPr>
          <w:p>
            <w:r>
              <w:t>USG6650E-AC550</w:t>
            </w:r>
          </w:p>
        </w:tc>
        <w:tc>
          <w:tcPr>
            <w:tcW w:type="dxa" w:w="1440"/>
          </w:tcPr>
          <w:p>
            <w:r>
              <w:t>台</w:t>
            </w:r>
          </w:p>
        </w:tc>
        <w:tc>
          <w:tcPr>
            <w:tcW w:type="dxa" w:w="1440"/>
          </w:tcPr>
          <w:p>
            <w:r>
              <w:t>2</w:t>
            </w:r>
          </w:p>
        </w:tc>
        <w:tc>
          <w:tcPr>
            <w:tcW w:type="dxa" w:w="1440"/>
          </w:tcPr>
          <w:p>
            <w:r>
              <w:t>吞吐≥10Gbps，并发连接≥400 万，含 3 年特征库升级</w:t>
            </w:r>
          </w:p>
        </w:tc>
      </w:tr>
      <w:tr>
        <w:tc>
          <w:tcPr>
            <w:tcW w:type="dxa" w:w="1440"/>
          </w:tcPr>
          <w:p>
            <w:r>
              <w:t>2</w:t>
            </w:r>
          </w:p>
        </w:tc>
        <w:tc>
          <w:tcPr>
            <w:tcW w:type="dxa" w:w="1440"/>
          </w:tcPr>
          <w:p>
            <w:r>
              <w:t>上网行为管理</w:t>
            </w:r>
          </w:p>
        </w:tc>
        <w:tc>
          <w:tcPr>
            <w:tcW w:type="dxa" w:w="1440"/>
          </w:tcPr>
          <w:p>
            <w:r>
              <w:t>USG6650E-AC550</w:t>
            </w:r>
          </w:p>
        </w:tc>
        <w:tc>
          <w:tcPr>
            <w:tcW w:type="dxa" w:w="1440"/>
          </w:tcPr>
          <w:p>
            <w:r>
              <w:t>台</w:t>
            </w:r>
          </w:p>
        </w:tc>
        <w:tc>
          <w:tcPr>
            <w:tcW w:type="dxa" w:w="1440"/>
          </w:tcPr>
          <w:p>
            <w:r>
              <w:t>1</w:t>
            </w:r>
          </w:p>
        </w:tc>
        <w:tc>
          <w:tcPr>
            <w:tcW w:type="dxa" w:w="1440"/>
          </w:tcPr>
          <w:p>
            <w:r>
              <w:t>吞吐≥2Gbps，审计日志保存≥180 天</w:t>
            </w:r>
          </w:p>
        </w:tc>
      </w:tr>
    </w:tbl>
    <w:p>
      <w:pPr>
        <w:pStyle w:val="Heading2"/>
      </w:pPr>
      <w:r>
        <w:t>5.4 参数表 4：安防设备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型号规格</w:t>
            </w:r>
          </w:p>
        </w:tc>
        <w:tc>
          <w:tcPr>
            <w:tcW w:type="dxa" w:w="1440"/>
          </w:tcPr>
          <w:p>
            <w:r>
              <w:t>单位</w:t>
            </w:r>
          </w:p>
        </w:tc>
        <w:tc>
          <w:tcPr>
            <w:tcW w:type="dxa" w:w="1440"/>
          </w:tcPr>
          <w:p>
            <w:r>
              <w:t>数量</w:t>
            </w:r>
          </w:p>
        </w:tc>
        <w:tc>
          <w:tcPr>
            <w:tcW w:type="dxa" w:w="1440"/>
          </w:tcPr>
          <w:p>
            <w:r>
              <w:t>关键参数</w:t>
            </w:r>
          </w:p>
        </w:tc>
      </w:tr>
      <w:tr>
        <w:tc>
          <w:tcPr>
            <w:tcW w:type="dxa" w:w="1440"/>
          </w:tcPr>
          <w:p>
            <w:r>
              <w:t>1</w:t>
            </w:r>
          </w:p>
        </w:tc>
        <w:tc>
          <w:tcPr>
            <w:tcW w:type="dxa" w:w="1440"/>
          </w:tcPr>
          <w:p>
            <w:r>
              <w:t>高清网络摄像机</w:t>
            </w:r>
          </w:p>
        </w:tc>
        <w:tc>
          <w:tcPr>
            <w:tcW w:type="dxa" w:w="1440"/>
          </w:tcPr>
          <w:p>
            <w:r>
              <w:t>IPC-4T-IR-D2</w:t>
            </w:r>
          </w:p>
        </w:tc>
        <w:tc>
          <w:tcPr>
            <w:tcW w:type="dxa" w:w="1440"/>
          </w:tcPr>
          <w:p>
            <w:r>
              <w:t>台</w:t>
            </w:r>
          </w:p>
        </w:tc>
        <w:tc>
          <w:tcPr>
            <w:tcW w:type="dxa" w:w="1440"/>
          </w:tcPr>
          <w:p>
            <w:r>
              <w:t>86</w:t>
            </w:r>
          </w:p>
        </w:tc>
        <w:tc>
          <w:tcPr>
            <w:tcW w:type="dxa" w:w="1440"/>
          </w:tcPr>
          <w:p>
            <w:r>
              <w:t>400 万像素，H.265，红外 50 米</w:t>
            </w:r>
          </w:p>
        </w:tc>
      </w:tr>
      <w:tr>
        <w:tc>
          <w:tcPr>
            <w:tcW w:type="dxa" w:w="1440"/>
          </w:tcPr>
          <w:p>
            <w:r>
              <w:t>2</w:t>
            </w:r>
          </w:p>
        </w:tc>
        <w:tc>
          <w:tcPr>
            <w:tcW w:type="dxa" w:w="1440"/>
          </w:tcPr>
          <w:p>
            <w:r>
              <w:t>NVR 存储主机</w:t>
            </w:r>
          </w:p>
        </w:tc>
        <w:tc>
          <w:tcPr>
            <w:tcW w:type="dxa" w:w="1440"/>
          </w:tcPr>
          <w:p>
            <w:r>
              <w:t>NVR-64H-8P</w:t>
            </w:r>
          </w:p>
        </w:tc>
        <w:tc>
          <w:tcPr>
            <w:tcW w:type="dxa" w:w="1440"/>
          </w:tcPr>
          <w:p>
            <w:r>
              <w:t>台</w:t>
            </w:r>
          </w:p>
        </w:tc>
        <w:tc>
          <w:tcPr>
            <w:tcW w:type="dxa" w:w="1440"/>
          </w:tcPr>
          <w:p>
            <w:r>
              <w:t>2</w:t>
            </w:r>
          </w:p>
        </w:tc>
        <w:tc>
          <w:tcPr>
            <w:tcW w:type="dxa" w:w="1440"/>
          </w:tcPr>
          <w:p>
            <w:r>
              <w:t>64 路，8 盘位，RAID5</w:t>
            </w:r>
          </w:p>
        </w:tc>
      </w:tr>
    </w:tbl>
    <w:p>
      <w:pPr>
        <w:pStyle w:val="Heading2"/>
      </w:pPr>
      <w:r>
        <w:t>5.5 参数表 5：会议系统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设备名称</w:t>
            </w:r>
          </w:p>
        </w:tc>
        <w:tc>
          <w:tcPr>
            <w:tcW w:type="dxa" w:w="1440"/>
          </w:tcPr>
          <w:p>
            <w:r>
              <w:t>型号规格</w:t>
            </w:r>
          </w:p>
        </w:tc>
        <w:tc>
          <w:tcPr>
            <w:tcW w:type="dxa" w:w="1440"/>
          </w:tcPr>
          <w:p>
            <w:r>
              <w:t>单位</w:t>
            </w:r>
          </w:p>
        </w:tc>
        <w:tc>
          <w:tcPr>
            <w:tcW w:type="dxa" w:w="1440"/>
          </w:tcPr>
          <w:p>
            <w:r>
              <w:t>数量</w:t>
            </w:r>
          </w:p>
        </w:tc>
        <w:tc>
          <w:tcPr>
            <w:tcW w:type="dxa" w:w="1440"/>
          </w:tcPr>
          <w:p>
            <w:r>
              <w:t>关键参数</w:t>
            </w:r>
          </w:p>
        </w:tc>
      </w:tr>
      <w:tr>
        <w:tc>
          <w:tcPr>
            <w:tcW w:type="dxa" w:w="1440"/>
          </w:tcPr>
          <w:p>
            <w:r>
              <w:t>1</w:t>
            </w:r>
          </w:p>
        </w:tc>
        <w:tc>
          <w:tcPr>
            <w:tcW w:type="dxa" w:w="1440"/>
          </w:tcPr>
          <w:p>
            <w:r>
              <w:t>LED 显示屏</w:t>
            </w:r>
          </w:p>
        </w:tc>
        <w:tc>
          <w:tcPr>
            <w:tcW w:type="dxa" w:w="1440"/>
          </w:tcPr>
          <w:p>
            <w:r>
              <w:t>P1.875-6.25㎡</w:t>
            </w:r>
          </w:p>
        </w:tc>
        <w:tc>
          <w:tcPr>
            <w:tcW w:type="dxa" w:w="1440"/>
          </w:tcPr>
          <w:p>
            <w:r>
              <w:t>套</w:t>
            </w:r>
          </w:p>
        </w:tc>
        <w:tc>
          <w:tcPr>
            <w:tcW w:type="dxa" w:w="1440"/>
          </w:tcPr>
          <w:p>
            <w:r>
              <w:t>1</w:t>
            </w:r>
          </w:p>
        </w:tc>
        <w:tc>
          <w:tcPr>
            <w:tcW w:type="dxa" w:w="1440"/>
          </w:tcPr>
          <w:p>
            <w:r>
              <w:t>模组间距 1.875mm，刷新率≥3840Hz</w:t>
            </w:r>
          </w:p>
        </w:tc>
      </w:tr>
      <w:tr>
        <w:tc>
          <w:tcPr>
            <w:tcW w:type="dxa" w:w="1440"/>
          </w:tcPr>
          <w:p>
            <w:r>
              <w:t>2</w:t>
            </w:r>
          </w:p>
        </w:tc>
        <w:tc>
          <w:tcPr>
            <w:tcW w:type="dxa" w:w="1440"/>
          </w:tcPr>
          <w:p>
            <w:r>
              <w:t>数字会议主机</w:t>
            </w:r>
          </w:p>
        </w:tc>
        <w:tc>
          <w:tcPr>
            <w:tcW w:type="dxa" w:w="1440"/>
          </w:tcPr>
          <w:p>
            <w:r>
              <w:t>DCS-4000</w:t>
            </w:r>
          </w:p>
        </w:tc>
        <w:tc>
          <w:tcPr>
            <w:tcW w:type="dxa" w:w="1440"/>
          </w:tcPr>
          <w:p>
            <w:r>
              <w:t>台</w:t>
            </w:r>
          </w:p>
        </w:tc>
        <w:tc>
          <w:tcPr>
            <w:tcW w:type="dxa" w:w="1440"/>
          </w:tcPr>
          <w:p>
            <w:r>
              <w:t>1</w:t>
            </w:r>
          </w:p>
        </w:tc>
        <w:tc>
          <w:tcPr>
            <w:tcW w:type="dxa" w:w="1440"/>
          </w:tcPr>
          <w:p>
            <w:r>
              <w:t>支持 64 席位，双机热备</w:t>
            </w:r>
          </w:p>
        </w:tc>
      </w:tr>
    </w:tbl>
    <w:p>
      <w:r>
        <w:t>5.6 交货期要求：全部设备须于 2026-12-30 前到场并完成安装调试。</w:t>
      </w:r>
    </w:p>
    <w:p>
      <w:r>
        <w:br w:type="page"/>
      </w:r>
    </w:p>
    <w:p>
      <w:pPr>
        <w:pStyle w:val="Heading1"/>
      </w:pPr>
      <w:r>
        <w:t>第六章 商务要求</w:t>
      </w:r>
    </w:p>
    <w:p>
      <w:r>
        <w:t>6.1 招标控制价：本项目招标控制价为人民币 480 万元（含税）。</w:t>
      </w:r>
    </w:p>
    <w:p>
      <w:r>
        <w:t>6.2 质保期：整体项目质保期 2 年，自最终验收合格之日起算；主要设备质保按厂家标准且不低于 3 年。</w:t>
      </w:r>
    </w:p>
    <w:p>
      <w:r>
        <w:t>6.3 付款节点：合同签订并生效后 10 个工作日内支付预付款 30%；全部设备到场并安装调试完成、验收合格后支付至合同总价 60%（即再付 30%）；终验合格满质保期 2 年且无质量问题后支付尾款 10%。</w:t>
      </w:r>
    </w:p>
    <w:p>
      <w:r>
        <w:br w:type="page"/>
      </w:r>
    </w:p>
    <w:p>
      <w:pPr>
        <w:pStyle w:val="Heading1"/>
      </w:pPr>
      <w:r>
        <w:t>第七章 投标文件格式</w:t>
      </w:r>
    </w:p>
    <w:p>
      <w:r>
        <w:t>7.1 投标函格式（略，详见附件 B2 样例页）；投标函须按样例格式签署并加盖单位公章及法定代表人签字。</w:t>
      </w:r>
    </w:p>
    <w:p>
      <w:r>
        <w:t>7.2 开标一览表、投标分项报价表格式（略）。</w:t>
      </w:r>
    </w:p>
    <w:p>
      <w:r>
        <w:t>7.3 技术偏离表格式（略，按前附表第 9 项要求填写）。</w:t>
      </w:r>
    </w:p>
    <w:p>
      <w:r>
        <w:t>7.4 资格审查文件装订顺序：营业执照→资质证书→业绩合同→财务审计报告→信用承诺（略）。</w:t>
      </w:r>
    </w:p>
    <w:p>
      <w:r>
        <w:br w:type="page"/>
      </w:r>
    </w:p>
    <w:p>
      <w:pPr>
        <w:pStyle w:val="Heading1"/>
      </w:pPr>
      <w:r>
        <w:t>第八章 合同主要条款（摘要）</w:t>
      </w:r>
    </w:p>
    <w:p>
      <w:r>
        <w:t>8.1 合同价格形式：固定总价合同，除招标文件约定的调整情形外不做调整。</w:t>
      </w:r>
    </w:p>
    <w:p>
      <w:r>
        <w:t>8.2 违约责任：逾期交付每日按合同总价 0.5‰ 计违约金，上限 5%；逾期超过 30 日采购人有权解除合同。</w:t>
      </w:r>
    </w:p>
    <w:p>
      <w:r>
        <w:t>8.3 争议解决：协商不成提交项目所在地人民法院诉讼解决。</w:t>
      </w:r>
    </w:p>
    <w:p>
      <w:r>
        <w:br w:type="page"/>
      </w:r>
    </w:p>
    <w:p>
      <w:pPr>
        <w:pStyle w:val="Heading2"/>
      </w:pPr>
      <w:r>
        <w:t>第九章 技术规范与验收要求 9.1 总体架构要求</w:t>
      </w:r>
    </w:p>
    <w:p>
      <w:r>
        <w:t>9.1.1 本节规定总体架构要求的总体技术要求。承包人应确保所供货物与服务符合国家现行标准、行业标准及本招标文件技术需求的规定；标准之间不一致时按较高标准执行。</w:t>
      </w:r>
    </w:p>
    <w:p>
      <w:r>
        <w:t>9.1.2 承包人应在投标文件中对本节要求逐条应答，明确响应程度（满足/部分满足/偏离），并对偏离项说明原因及替代方案；未应答的条款按不利于投标人处理。</w:t>
      </w:r>
    </w:p>
    <w:p>
      <w:r>
        <w:t>9.1.3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9.2 网络系统技术要求</w:t>
      </w:r>
    </w:p>
    <w:p>
      <w:r>
        <w:t>9.2.1 本节规定网络系统技术要求的总体技术要求。承包人应确保所供货物与服务符合国家现行标准、行业标准及本招标文件技术需求的规定；标准之间不一致时按较高标准执行。</w:t>
      </w:r>
    </w:p>
    <w:p>
      <w:r>
        <w:t>9.2.2 承包人应在投标文件中对本节要求逐条应答，明确响应程度（满足/部分满足/偏离），并对偏离项说明原因及替代方案；未应答的条款按不利于投标人处理。</w:t>
      </w:r>
    </w:p>
    <w:p>
      <w:r>
        <w:t>9.2.3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9.3 综合布线系统技术要求</w:t>
      </w:r>
    </w:p>
    <w:p>
      <w:r>
        <w:t>9.3.1 本节规定综合布线系统技术要求的总体技术要求。承包人应确保所供货物与服务符合国家现行标准、行业标准及本招标文件技术需求的规定；标准之间不一致时按较高标准执行。</w:t>
      </w:r>
    </w:p>
    <w:p>
      <w:r>
        <w:t>9.3.2 承包人应在投标文件中对本节要求逐条应答，明确响应程度（满足/部分满足/偏离），并对偏离项说明原因及替代方案；未应答的条款按不利于投标人处理。</w:t>
      </w:r>
    </w:p>
    <w:p>
      <w:r>
        <w:t>9.3.3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9.4 视频监控系统技术要求</w:t>
      </w:r>
    </w:p>
    <w:p>
      <w:r>
        <w:t>9.4.1 本节规定视频监控系统技术要求的总体技术要求。承包人应确保所供货物与服务符合国家现行标准、行业标准及本招标文件技术需求的规定；标准之间不一致时按较高标准执行。</w:t>
      </w:r>
    </w:p>
    <w:p>
      <w:r>
        <w:t>9.4.2 承包人应在投标文件中对本节要求逐条应答，明确响应程度（满足/部分满足/偏离），并对偏离项说明原因及替代方案；未应答的条款按不利于投标人处理。</w:t>
      </w:r>
    </w:p>
    <w:p>
      <w:r>
        <w:t>9.4.3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9.5 门禁与入侵报警技术要求</w:t>
      </w:r>
    </w:p>
    <w:p>
      <w:r>
        <w:t>9.5.1 本节规定门禁与入侵报警技术要求的总体技术要求。承包人应确保所供货物与服务符合国家现行标准、行业标准及本招标文件技术需求的规定；标准之间不一致时按较高标准执行。</w:t>
      </w:r>
    </w:p>
    <w:p>
      <w:r>
        <w:t>9.5.2 承包人应在投标文件中对本节要求逐条应答，明确响应程度（满足/部分满足/偏离），并对偏离项说明原因及替代方案；未应答的条款按不利于投标人处理。</w:t>
      </w:r>
    </w:p>
    <w:p>
      <w:r>
        <w:t>9.5.3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9.6 机房工程与 UPS 供电技术要求</w:t>
      </w:r>
    </w:p>
    <w:p>
      <w:r>
        <w:t>9.6.1 本节规定机房工程与 UPS 供电技术要求的总体技术要求。承包人应确保所供货物与服务符合国家现行标准、行业标准及本招标文件技术需求的规定；标准之间不一致时按较高标准执行。</w:t>
      </w:r>
    </w:p>
    <w:p>
      <w:r>
        <w:t>9.6.2 承包人应在投标文件中对本节要求逐条应答，明确响应程度（满足/部分满足/偏离），并对偏离项说明原因及替代方案；未应答的条款按不利于投标人处理。</w:t>
      </w:r>
    </w:p>
    <w:p>
      <w:r>
        <w:t>9.6.3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9.7 会议系统技术要求</w:t>
      </w:r>
    </w:p>
    <w:p>
      <w:r>
        <w:t>9.7.1 本节规定会议系统技术要求的总体技术要求。承包人应确保所供货物与服务符合国家现行标准、行业标准及本招标文件技术需求的规定；标准之间不一致时按较高标准执行。</w:t>
      </w:r>
    </w:p>
    <w:p>
      <w:r>
        <w:t>9.7.2 承包人应在投标文件中对本节要求逐条应答，明确响应程度（满足/部分满足/偏离），并对偏离项说明原因及替代方案；未应答的条款按不利于投标人处理。</w:t>
      </w:r>
    </w:p>
    <w:p>
      <w:r>
        <w:t>9.7.3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9.8 集成管理平台技术要求</w:t>
      </w:r>
    </w:p>
    <w:p>
      <w:r>
        <w:t>9.8.1 本节规定集成管理平台技术要求的总体技术要求。承包人应确保所供货物与服务符合国家现行标准、行业标准及本招标文件技术需求的规定；标准之间不一致时按较高标准执行。</w:t>
      </w:r>
    </w:p>
    <w:p>
      <w:r>
        <w:t>9.8.2 承包人应在投标文件中对本节要求逐条应答，明确响应程度（满足/部分满足/偏离），并对偏离项说明原因及替代方案；未应答的条款按不利于投标人处理。</w:t>
      </w:r>
    </w:p>
    <w:p>
      <w:r>
        <w:t>9.8.3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9.9 信息发布系统技术要求</w:t>
      </w:r>
    </w:p>
    <w:p>
      <w:r>
        <w:t>9.9.1 本节规定信息发布系统技术要求的总体技术要求。承包人应确保所供货物与服务符合国家现行标准、行业标准及本招标文件技术需求的规定；标准之间不一致时按较高标准执行。</w:t>
      </w:r>
    </w:p>
    <w:p>
      <w:r>
        <w:t>9.9.2 承包人应在投标文件中对本节要求逐条应答，明确响应程度（满足/部分满足/偏离），并对偏离项说明原因及替代方案；未应答的条款按不利于投标人处理。</w:t>
      </w:r>
    </w:p>
    <w:p>
      <w:r>
        <w:t>9.9.3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9.10 运维与网络安全技术要求</w:t>
      </w:r>
    </w:p>
    <w:p>
      <w:r>
        <w:t>9.10.1 本节规定运维与网络安全技术要求的总体技术要求。承包人应确保所供货物与服务符合国家现行标准、行业标准及本招标文件技术需求的规定；标准之间不一致时按较高标准执行。</w:t>
      </w:r>
    </w:p>
    <w:p>
      <w:r>
        <w:t>9.10.2 承包人应在投标文件中对本节要求逐条应答，明确响应程度（满足/部分满足/偏离），并对偏离项说明原因及替代方案；未应答的条款按不利于投标人处理。</w:t>
      </w:r>
    </w:p>
    <w:p>
      <w:r>
        <w:t>9.10.3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9.11 竣工资料与验收规范</w:t>
      </w:r>
    </w:p>
    <w:p>
      <w:r>
        <w:t>9.11.1 本节规定竣工资料与验收规范的总体技术要求。承包人应确保所供货物与服务符合国家现行标准、行业标准及本招标文件技术需求的规定；标准之间不一致时按较高标准执行。</w:t>
      </w:r>
    </w:p>
    <w:p>
      <w:r>
        <w:t>9.11.2 承包人应在投标文件中对本节要求逐条应答，明确响应程度（满足/部分满足/偏离），并对偏离项说明原因及替代方案；未应答的条款按不利于投标人处理。</w:t>
      </w:r>
    </w:p>
    <w:p>
      <w:r>
        <w:t>9.11.3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9.12 培训与知识转移要求</w:t>
      </w:r>
    </w:p>
    <w:p>
      <w:r>
        <w:t>9.12.1 本节规定培训与知识转移要求的总体技术要求。承包人应确保所供货物与服务符合国家现行标准、行业标准及本招标文件技术需求的规定；标准之间不一致时按较高标准执行。</w:t>
      </w:r>
    </w:p>
    <w:p>
      <w:r>
        <w:t>9.12.2 承包人应在投标文件中对本节要求逐条应答，明确响应程度（满足/部分满足/偏离），并对偏离项说明原因及替代方案；未应答的条款按不利于投标人处理。</w:t>
      </w:r>
    </w:p>
    <w:p>
      <w:r>
        <w:t>9.12.3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9.13 总体架构要求</w:t>
      </w:r>
    </w:p>
    <w:p>
      <w:r>
        <w:t>9.13.1 本节规定总体架构要求的总体技术要求。承包人应确保所供货物与服务符合国家现行标准、行业标准及本招标文件技术需求的规定；标准之间不一致时按较高标准执行。</w:t>
      </w:r>
    </w:p>
    <w:p>
      <w:r>
        <w:t>9.13.2 承包人应在投标文件中对本节要求逐条应答，明确响应程度（满足/部分满足/偏离），并对偏离项说明原因及替代方案；未应答的条款按不利于投标人处理。</w:t>
      </w:r>
    </w:p>
    <w:p>
      <w:r>
        <w:t>9.13.3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9.14 网络系统技术要求</w:t>
      </w:r>
    </w:p>
    <w:p>
      <w:r>
        <w:t>9.14.1 本节规定网络系统技术要求的总体技术要求。承包人应确保所供货物与服务符合国家现行标准、行业标准及本招标文件技术需求的规定；标准之间不一致时按较高标准执行。</w:t>
      </w:r>
    </w:p>
    <w:p>
      <w:r>
        <w:t>9.14.2 承包人应在投标文件中对本节要求逐条应答，明确响应程度（满足/部分满足/偏离），并对偏离项说明原因及替代方案；未应答的条款按不利于投标人处理。</w:t>
      </w:r>
    </w:p>
    <w:p>
      <w:r>
        <w:t>9.14.3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9.15 综合布线系统技术要求</w:t>
      </w:r>
    </w:p>
    <w:p>
      <w:r>
        <w:t>9.15.1 本节规定综合布线系统技术要求的总体技术要求。承包人应确保所供货物与服务符合国家现行标准、行业标准及本招标文件技术需求的规定；标准之间不一致时按较高标准执行。</w:t>
      </w:r>
    </w:p>
    <w:p>
      <w:r>
        <w:t>9.15.2 承包人应在投标文件中对本节要求逐条应答，明确响应程度（满足/部分满足/偏离），并对偏离项说明原因及替代方案；未应答的条款按不利于投标人处理。</w:t>
      </w:r>
    </w:p>
    <w:p>
      <w:r>
        <w:t>9.15.3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9.16 视频监控系统技术要求</w:t>
      </w:r>
    </w:p>
    <w:p>
      <w:r>
        <w:t>9.16.1 本节规定视频监控系统技术要求的总体技术要求。承包人应确保所供货物与服务符合国家现行标准、行业标准及本招标文件技术需求的规定；标准之间不一致时按较高标准执行。</w:t>
      </w:r>
    </w:p>
    <w:p>
      <w:r>
        <w:t>9.16.2 承包人应在投标文件中对本节要求逐条应答，明确响应程度（满足/部分满足/偏离），并对偏离项说明原因及替代方案；未应答的条款按不利于投标人处理。</w:t>
      </w:r>
    </w:p>
    <w:p>
      <w:r>
        <w:t>9.16.3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9.17 门禁与入侵报警技术要求</w:t>
      </w:r>
    </w:p>
    <w:p>
      <w:r>
        <w:t>9.17.1 本节规定门禁与入侵报警技术要求的总体技术要求。承包人应确保所供货物与服务符合国家现行标准、行业标准及本招标文件技术需求的规定；标准之间不一致时按较高标准执行。</w:t>
      </w:r>
    </w:p>
    <w:p>
      <w:r>
        <w:t>9.17.2 承包人应在投标文件中对本节要求逐条应答，明确响应程度（满足/部分满足/偏离），并对偏离项说明原因及替代方案；未应答的条款按不利于投标人处理。</w:t>
      </w:r>
    </w:p>
    <w:p>
      <w:r>
        <w:t>9.17.3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9.18 机房工程与 UPS 供电技术要求</w:t>
      </w:r>
    </w:p>
    <w:p>
      <w:r>
        <w:t>9.18.1 本节规定机房工程与 UPS 供电技术要求的总体技术要求。承包人应确保所供货物与服务符合国家现行标准、行业标准及本招标文件技术需求的规定；标准之间不一致时按较高标准执行。</w:t>
      </w:r>
    </w:p>
    <w:p>
      <w:r>
        <w:t>9.18.2 承包人应在投标文件中对本节要求逐条应答，明确响应程度（满足/部分满足/偏离），并对偏离项说明原因及替代方案；未应答的条款按不利于投标人处理。</w:t>
      </w:r>
    </w:p>
    <w:p>
      <w:r>
        <w:t>9.18.3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9.19 会议系统技术要求</w:t>
      </w:r>
    </w:p>
    <w:p>
      <w:r>
        <w:t>9.19.1 本节规定会议系统技术要求的总体技术要求。承包人应确保所供货物与服务符合国家现行标准、行业标准及本招标文件技术需求的规定；标准之间不一致时按较高标准执行。</w:t>
      </w:r>
    </w:p>
    <w:p>
      <w:r>
        <w:t>9.19.2 承包人应在投标文件中对本节要求逐条应答，明确响应程度（满足/部分满足/偏离），并对偏离项说明原因及替代方案；未应答的条款按不利于投标人处理。</w:t>
      </w:r>
    </w:p>
    <w:p>
      <w:r>
        <w:t>9.19.3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9.20 集成管理平台技术要求</w:t>
      </w:r>
    </w:p>
    <w:p>
      <w:r>
        <w:t>9.20.1 本节规定集成管理平台技术要求的总体技术要求。承包人应确保所供货物与服务符合国家现行标准、行业标准及本招标文件技术需求的规定；标准之间不一致时按较高标准执行。</w:t>
      </w:r>
    </w:p>
    <w:p>
      <w:r>
        <w:t>9.20.2 承包人应在投标文件中对本节要求逐条应答，明确响应程度（满足/部分满足/偏离），并对偏离项说明原因及替代方案；未应答的条款按不利于投标人处理。</w:t>
      </w:r>
    </w:p>
    <w:p>
      <w:r>
        <w:t>9.20.3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9.21 信息发布系统技术要求</w:t>
      </w:r>
    </w:p>
    <w:p>
      <w:r>
        <w:t>9.21.1 本节规定信息发布系统技术要求的总体技术要求。承包人应确保所供货物与服务符合国家现行标准、行业标准及本招标文件技术需求的规定；标准之间不一致时按较高标准执行。</w:t>
      </w:r>
    </w:p>
    <w:p>
      <w:r>
        <w:t>9.21.2 承包人应在投标文件中对本节要求逐条应答，明确响应程度（满足/部分满足/偏离），并对偏离项说明原因及替代方案；未应答的条款按不利于投标人处理。</w:t>
      </w:r>
    </w:p>
    <w:p>
      <w:r>
        <w:t>9.21.3 本节所有技术参数均以货物到货验收时的实测值为准；实测不达标的，采购人有权要求退换货并按合同违约条款处理，由此产生的费用由承包人承担。</w:t>
      </w:r>
    </w:p>
    <w:p>
      <w:r>
        <w:br w:type="page"/>
      </w:r>
    </w:p>
    <w:p>
      <w:pPr>
        <w:pStyle w:val="Heading2"/>
      </w:pPr>
      <w:r>
        <w:t>第九章 技术规范与验收要求 9.22 运维与网络安全技术要求</w:t>
      </w:r>
    </w:p>
    <w:p>
      <w:r>
        <w:t>9.22.1 本节规定运维与网络安全技术要求的总体技术要求。承包人应确保所供货物与服务符合国家现行标准、行业标准及本招标文件技术需求的规定；标准之间不一致时按较高标准执行。</w:t>
      </w:r>
    </w:p>
    <w:p>
      <w:r>
        <w:t>9.22.2 承包人应在投标文件中对本节要求逐条应答，明确响应程度（满足/部分满足/偏离），并对偏离项说明原因及替代方案；未应答的条款按不利于投标人处理。</w:t>
      </w:r>
    </w:p>
    <w:p>
      <w:r>
        <w:t>9.22.3 本节所有技术参数均以货物到货验收时的实测值为准；实测不达标的，采购人有权要求退换货并按合同违约条款处理，由此产生的费用由承包人承担。</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某市政务服务中心智能化系统工程（货物及服务）</dc:title>
  <dc:subject/>
  <dc:creator>ai-bid-research fixture</dc:creator>
  <cp:keywords/>
  <dc:description>generated by python-docx</dc:description>
  <cp:lastModifiedBy/>
  <cp:revision>1</cp:revision>
  <dcterms:created xsi:type="dcterms:W3CDTF">2026-10-16T09:00:00Z</dcterms:created>
  <dcterms:modified xsi:type="dcterms:W3CDTF">2026-10-16T09:00:00Z</dcterms:modified>
  <cp:category/>
</cp:coreProperties>
</file>