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b w:val="1"/>
          <w:sz w:val="20"/>
          <w:szCs w:val="20"/>
          <w:rtl w:val="0"/>
        </w:rPr>
        <w:t xml:space="preserve">Paper Link :</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Agriculture | Free Full-Text | Smart Farming: Internet of Things (IoT)-Based Sustainable Agriculture (mdpi.com)</w:t>
        </w:r>
      </w:hyperlink>
      <w:r w:rsidDel="00000000" w:rsidR="00000000" w:rsidRPr="00000000">
        <w:rPr>
          <w:rtl w:val="0"/>
        </w:rPr>
      </w:r>
    </w:p>
    <w:p w:rsidR="00000000" w:rsidDel="00000000" w:rsidP="00000000" w:rsidRDefault="00000000" w:rsidRPr="00000000" w14:paraId="00000002">
      <w:pPr>
        <w:jc w:val="both"/>
        <w:rPr>
          <w:b w:val="1"/>
          <w:sz w:val="20"/>
          <w:szCs w:val="20"/>
        </w:rPr>
      </w:pPr>
      <w:r w:rsidDel="00000000" w:rsidR="00000000" w:rsidRPr="00000000">
        <w:rPr>
          <w:b w:val="1"/>
          <w:sz w:val="20"/>
          <w:szCs w:val="20"/>
          <w:rtl w:val="0"/>
        </w:rPr>
        <w:t xml:space="preserve">Paper Title : Smart Farming: Internet of Things (IoT)-Based Sustainable Agriculture </w:t>
      </w:r>
    </w:p>
    <w:p w:rsidR="00000000" w:rsidDel="00000000" w:rsidP="00000000" w:rsidRDefault="00000000" w:rsidRPr="00000000" w14:paraId="00000003">
      <w:pPr>
        <w:jc w:val="both"/>
        <w:rPr>
          <w:sz w:val="20"/>
          <w:szCs w:val="20"/>
          <w:u w:val="single"/>
        </w:rPr>
      </w:pPr>
      <w:r w:rsidDel="00000000" w:rsidR="00000000" w:rsidRPr="00000000">
        <w:rPr>
          <w:sz w:val="20"/>
          <w:szCs w:val="20"/>
          <w:u w:val="single"/>
          <w:rtl w:val="0"/>
        </w:rPr>
        <w:t xml:space="preserve">1 Summary</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1.1 Motivation</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The primary motivation lies in exploring the fusion of information and communication technology within agriculture, specifically focusing on wireless sensors in IoT applications. The purpose is to understand how these technologies revolutionize conventional farming methods and address challenges while enhancing sustainability and productivity. The hypothesis posits that integrating IoT and sensor technologies will significantly impact farming practices, improving efficiency and sustainability.</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1.2 Contribution </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The study's key contribution is in dissecting the applications of wireless sensors within IoT in agriculture. It sheds light on their pivotal role throughout the farming process, from initial planting to harvesting, and even extends to packaging and transportation phases. By emphasizing their significance, the paper underscores how these technologies elevate efficiency and sustainability in agricultural practices.</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1.3 Methodology</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The methodology employed involves a comprehensive review of the evolution of agriculture across different eras, from traditional to smart farming. It delves into the technological advancements, particularly focusing on IoT and sensor technologies, examining their historical context and current applications in precision agriculture. By mapping this evolution, the paper highlights the transformative potential of these technologies in modern farming practices.</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1.4 Conclusion </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The conclusions drawn from the study emphasize the transformative nature of IoT technologies, robotics, and artificial intelligence in agriculture. It underscores the pivotal role these advancements play in addressing existing challenges and enhancing productivity in modern farming. The study suggests that these technologies hold the key to sustainable and efficient agricultural practices moving forward.</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u w:val="single"/>
        </w:rPr>
      </w:pPr>
      <w:r w:rsidDel="00000000" w:rsidR="00000000" w:rsidRPr="00000000">
        <w:rPr>
          <w:sz w:val="20"/>
          <w:szCs w:val="20"/>
          <w:u w:val="single"/>
          <w:rtl w:val="0"/>
        </w:rPr>
        <w:t xml:space="preserve">2 Limitations </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2.1 First Limitation</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The primary limitation arises from the uneven suitability of land for agriculture due to various factors like soil quality, topography, and climate constraints. Additionally, the challenges in uniform technological integration across diverse agricultural landscapes pose significant obstacles to widespread implementation and adoption.</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2.2 Second Limitation</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Another significant limitation revolves around the complexity of crop characteristics, necessitating site-specific analyses for optimal yield. The reliance on traditional farming methods, predominantly manual observations, contrasts sharply with the demand for more automated, technology-driven solutions.</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u w:val="single"/>
        </w:rPr>
      </w:pPr>
      <w:r w:rsidDel="00000000" w:rsidR="00000000" w:rsidRPr="00000000">
        <w:rPr>
          <w:sz w:val="20"/>
          <w:szCs w:val="20"/>
          <w:u w:val="single"/>
          <w:rtl w:val="0"/>
        </w:rPr>
        <w:t xml:space="preserve">3 Synthesis </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The paper foresees a promising future for IoT applications in agriculture. It emphasizes their potential applications in optimizing production efficiency, resource management, and decision-making. Highlighting their transformative impact, the study suggests that these technologies can revolutionize farming practices, enhancing yields, sustainability, and environmental impact.</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dpi.com/2077-0472/12/10/1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