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58D" w:rsidRDefault="0000358D">
      <w:pPr>
        <w:rPr>
          <w:noProof/>
        </w:rPr>
      </w:pPr>
    </w:p>
    <w:p w:rsidR="008C625D" w:rsidRDefault="008C625D" w:rsidP="00D725E3">
      <w:pPr>
        <w:jc w:val="center"/>
        <w:rPr>
          <w:noProof/>
        </w:rPr>
      </w:pPr>
      <w:r>
        <w:rPr>
          <w:noProof/>
        </w:rPr>
        <w:t>Binding of WOW-1 Fab to CHO cells</w:t>
      </w:r>
      <w:r w:rsidR="00D725E3">
        <w:rPr>
          <w:noProof/>
        </w:rPr>
        <w:t xml:space="preserve"> expressing αVβ3 with mutations in the β3 TM domain</w:t>
      </w:r>
      <w:bookmarkStart w:id="0" w:name="_GoBack"/>
      <w:bookmarkEnd w:id="0"/>
    </w:p>
    <w:p w:rsidR="008C625D" w:rsidRDefault="008C625D">
      <w:r>
        <w:rPr>
          <w:noProof/>
        </w:rPr>
        <w:drawing>
          <wp:inline distT="0" distB="0" distL="0" distR="0" wp14:anchorId="572947A6" wp14:editId="65AE9088">
            <wp:extent cx="5943600" cy="404114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8C6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D0"/>
    <w:rsid w:val="0000358D"/>
    <w:rsid w:val="006C1FD0"/>
    <w:rsid w:val="008C625D"/>
    <w:rsid w:val="00D7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F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1F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F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litvinov\Documents\CHO%20cells%20expressing%20aVb3\AlphaVbeta3%20mutants%20with%20WOW-1.xls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>
        <c:manualLayout>
          <c:layoutTarget val="inner"/>
          <c:xMode val="edge"/>
          <c:yMode val="edge"/>
          <c:x val="3.9955604883462822E-2"/>
          <c:y val="3.4257748776508973E-2"/>
          <c:w val="0.94894561598224192"/>
          <c:h val="0.85481239804241438"/>
        </c:manualLayout>
      </c:layout>
      <c:barChart>
        <c:barDir val="col"/>
        <c:grouping val="clustered"/>
        <c:varyColors val="0"/>
        <c:ser>
          <c:idx val="0"/>
          <c:order val="0"/>
          <c:spPr>
            <a:noFill/>
            <a:ln w="12700">
              <a:solidFill>
                <a:srgbClr val="000000"/>
              </a:solidFill>
              <a:prstDash val="solid"/>
            </a:ln>
          </c:spPr>
          <c:invertIfNegative val="0"/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multiLvlStrRef>
              <c:f>Sheet1!$A$1:$B$25</c:f>
              <c:multiLvlStrCache>
                <c:ptCount val="25"/>
                <c:lvl>
                  <c:pt idx="0">
                    <c:v>I</c:v>
                  </c:pt>
                  <c:pt idx="1">
                    <c:v>L</c:v>
                  </c:pt>
                  <c:pt idx="2">
                    <c:v>V</c:v>
                  </c:pt>
                  <c:pt idx="3">
                    <c:v>V</c:v>
                  </c:pt>
                  <c:pt idx="4">
                    <c:v>L</c:v>
                  </c:pt>
                  <c:pt idx="5">
                    <c:v>L</c:v>
                  </c:pt>
                  <c:pt idx="6">
                    <c:v>S </c:v>
                  </c:pt>
                  <c:pt idx="7">
                    <c:v>V</c:v>
                  </c:pt>
                  <c:pt idx="8">
                    <c:v>M</c:v>
                  </c:pt>
                  <c:pt idx="9">
                    <c:v>G</c:v>
                  </c:pt>
                  <c:pt idx="10">
                    <c:v>A</c:v>
                  </c:pt>
                  <c:pt idx="11">
                    <c:v>I</c:v>
                  </c:pt>
                  <c:pt idx="12">
                    <c:v>L</c:v>
                  </c:pt>
                  <c:pt idx="13">
                    <c:v>L</c:v>
                  </c:pt>
                  <c:pt idx="14">
                    <c:v>I</c:v>
                  </c:pt>
                  <c:pt idx="15">
                    <c:v>G</c:v>
                  </c:pt>
                  <c:pt idx="16">
                    <c:v>L</c:v>
                  </c:pt>
                  <c:pt idx="17">
                    <c:v>A</c:v>
                  </c:pt>
                  <c:pt idx="18">
                    <c:v>A</c:v>
                  </c:pt>
                  <c:pt idx="19">
                    <c:v>L</c:v>
                  </c:pt>
                  <c:pt idx="20">
                    <c:v>L</c:v>
                  </c:pt>
                  <c:pt idx="21">
                    <c:v>I</c:v>
                  </c:pt>
                  <c:pt idx="22">
                    <c:v>W</c:v>
                  </c:pt>
                  <c:pt idx="24">
                    <c:v>wt</c:v>
                  </c:pt>
                </c:lvl>
                <c:lvl>
                  <c:pt idx="0">
                    <c:v>693</c:v>
                  </c:pt>
                  <c:pt idx="1">
                    <c:v>694</c:v>
                  </c:pt>
                  <c:pt idx="2">
                    <c:v>695</c:v>
                  </c:pt>
                  <c:pt idx="3">
                    <c:v>696</c:v>
                  </c:pt>
                  <c:pt idx="4">
                    <c:v>697</c:v>
                  </c:pt>
                  <c:pt idx="5">
                    <c:v>698</c:v>
                  </c:pt>
                  <c:pt idx="6">
                    <c:v>699</c:v>
                  </c:pt>
                  <c:pt idx="7">
                    <c:v>700</c:v>
                  </c:pt>
                  <c:pt idx="8">
                    <c:v>701</c:v>
                  </c:pt>
                  <c:pt idx="9">
                    <c:v>702</c:v>
                  </c:pt>
                  <c:pt idx="10">
                    <c:v>703</c:v>
                  </c:pt>
                  <c:pt idx="11">
                    <c:v>704</c:v>
                  </c:pt>
                  <c:pt idx="12">
                    <c:v>705</c:v>
                  </c:pt>
                  <c:pt idx="13">
                    <c:v>706</c:v>
                  </c:pt>
                  <c:pt idx="14">
                    <c:v>707</c:v>
                  </c:pt>
                  <c:pt idx="15">
                    <c:v>708</c:v>
                  </c:pt>
                  <c:pt idx="16">
                    <c:v>709</c:v>
                  </c:pt>
                  <c:pt idx="17">
                    <c:v>710</c:v>
                  </c:pt>
                  <c:pt idx="18">
                    <c:v>711</c:v>
                  </c:pt>
                  <c:pt idx="19">
                    <c:v>712</c:v>
                  </c:pt>
                  <c:pt idx="20">
                    <c:v>713</c:v>
                  </c:pt>
                  <c:pt idx="21">
                    <c:v>714</c:v>
                  </c:pt>
                  <c:pt idx="22">
                    <c:v>715</c:v>
                  </c:pt>
                </c:lvl>
              </c:multiLvlStrCache>
            </c:multiLvlStrRef>
          </c:cat>
          <c:val>
            <c:numRef>
              <c:f>Sheet1!$C$1:$C$25</c:f>
              <c:numCache>
                <c:formatCode>General</c:formatCode>
                <c:ptCount val="25"/>
                <c:pt idx="4">
                  <c:v>0.63052616299999997</c:v>
                </c:pt>
                <c:pt idx="5">
                  <c:v>1.4616321560000001</c:v>
                </c:pt>
                <c:pt idx="6">
                  <c:v>5.6213207150000004</c:v>
                </c:pt>
                <c:pt idx="7">
                  <c:v>7.4562032250000003</c:v>
                </c:pt>
                <c:pt idx="8">
                  <c:v>0.83047481499999998</c:v>
                </c:pt>
                <c:pt idx="9">
                  <c:v>2.0308147820000002</c:v>
                </c:pt>
                <c:pt idx="10">
                  <c:v>7.2199432950000002</c:v>
                </c:pt>
                <c:pt idx="11">
                  <c:v>5.8879285829999999</c:v>
                </c:pt>
                <c:pt idx="12">
                  <c:v>1.1534651410000001</c:v>
                </c:pt>
                <c:pt idx="14">
                  <c:v>6.5495122669999999</c:v>
                </c:pt>
                <c:pt idx="15">
                  <c:v>5.5691216050000003</c:v>
                </c:pt>
                <c:pt idx="18">
                  <c:v>1.358695652</c:v>
                </c:pt>
                <c:pt idx="19">
                  <c:v>2.817362052</c:v>
                </c:pt>
                <c:pt idx="20">
                  <c:v>1.7147435900000001</c:v>
                </c:pt>
                <c:pt idx="21">
                  <c:v>4.9273952095808404</c:v>
                </c:pt>
                <c:pt idx="24">
                  <c:v>9.1610987379361521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39757056"/>
        <c:axId val="139758592"/>
      </c:barChart>
      <c:catAx>
        <c:axId val="1397570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39758592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3975859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en-US"/>
          </a:p>
        </c:txPr>
        <c:crossAx val="139757056"/>
        <c:crosses val="autoZero"/>
        <c:crossBetween val="between"/>
        <c:majorUnit val="2"/>
      </c:valAx>
      <c:spPr>
        <a:solidFill>
          <a:srgbClr val="FFFFFF"/>
        </a:solidFill>
        <a:ln w="12700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 w="9525">
      <a:noFill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Rustem</dc:creator>
  <cp:lastModifiedBy>Rustem</cp:lastModifiedBy>
  <cp:revision>2</cp:revision>
  <cp:lastPrinted>2017-01-13T17:01:00Z</cp:lastPrinted>
  <dcterms:created xsi:type="dcterms:W3CDTF">2017-01-13T17:00:00Z</dcterms:created>
  <dcterms:modified xsi:type="dcterms:W3CDTF">2017-01-13T17:12:00Z</dcterms:modified>
</cp:coreProperties>
</file>