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pStyle w:val="Subtitle"/>
        <w:jc w:val="center"/>
      </w:pPr>
      <w:r>
        <w:rPr>
          <w:b/>
          <w:color w:val="0EA5C6"/>
          <w:sz w:val="22"/>
        </w:rPr>
        <w:t>PPT CONTENT BLUEPRINT</w:t>
      </w:r>
    </w:p>
    <w:p>
      <w:pPr>
        <w:pStyle w:val="Title"/>
        <w:jc w:val="center"/>
      </w:pPr>
      <w:r>
        <w:t>AI算力基础设施驱动下城市人工水系统代谢响应与条件化承载边界研究</w:t>
      </w:r>
    </w:p>
    <w:p>
      <w:pPr>
        <w:pStyle w:val="Subtitle"/>
        <w:jc w:val="center"/>
      </w:pPr>
      <w:r>
        <w:t>博士学位论文开题答辩 · 12页PPT逐页内容设计方案</w:t>
      </w:r>
    </w:p>
    <w:tbl>
      <w:tblPr>
        <w:tblW w:type="auto" w:w="0"/>
        <w:jc w:val="center"/>
        <w:tblLayout w:type="fixed"/>
        <w:tblLook w:firstColumn="1" w:firstRow="1" w:lastColumn="0" w:lastRow="0" w:noHBand="0" w:noVBand="1" w:val="04A0"/>
        <w:tblBorders>
          <w:top w:val="single" w:sz="10" w:color="0EA5C6"/>
          <w:left w:val="single" w:sz="10" w:color="0EA5C6"/>
          <w:bottom w:val="single" w:sz="10" w:color="0EA5C6"/>
          <w:right w:val="single" w:sz="10" w:color="0EA5C6"/>
          <w:insideH w:val="single" w:sz="10" w:color="0EA5C6"/>
          <w:insideV w:val="single" w:sz="10" w:color="0EA5C6"/>
        </w:tblBorders>
      </w:tblPr>
      <w:tblGrid>
        <w:gridCol w:w="9677"/>
      </w:tblGrid>
      <w:tr>
        <w:tc>
          <w:tcPr>
            <w:tcW w:type="dxa" w:w="9677"/>
            <w:shd w:fill="EAF8FB"/>
            <w:tcMar>
              <w:top w:w="120" w:type="dxa"/>
              <w:start w:w="160" w:type="dxa"/>
              <w:bottom w:w="120" w:type="dxa"/>
              <w:end w:w="160" w:type="dxa"/>
            </w:tcMar>
          </w:tcPr>
          <w:p>
            <w:pPr>
              <w:spacing w:after="0" w:line="276" w:lineRule="auto"/>
            </w:pPr>
            <w:r>
              <w:rPr>
                <w:rFonts w:ascii="Microsoft YaHei" w:hAnsi="Microsoft YaHei" w:eastAsia="Microsoft YaHei"/>
                <w:b/>
                <w:color w:val="0EA5C6"/>
              </w:rPr>
              <w:t xml:space="preserve">汇报主线  </w:t>
            </w:r>
            <w:r>
              <w:rPr>
                <w:rFonts w:ascii="Microsoft YaHei" w:hAnsi="Microsoft YaHei" w:eastAsia="Microsoft YaHei"/>
                <w:b/>
                <w:color w:val="092A55"/>
              </w:rPr>
              <w:t>先说明AI算力中心怎样进入城市水循环，再判断容量边界何时出现、限制环节怎样变化。</w:t>
            </w:r>
          </w:p>
        </w:tc>
      </w:tr>
    </w:tbl>
    <w:p>
      <w:pPr>
        <w:spacing w:after="0"/>
      </w:pPr>
    </w:p>
    <w:p>
      <w:pPr>
        <w:spacing w:after="500"/>
      </w:pPr>
    </w:p>
    <w:tbl>
      <w:tblPr>
        <w:tblW w:type="auto" w:w="0"/>
        <w:jc w:val="center"/>
        <w:tblLayout w:type="fixed"/>
        <w:tblLook w:firstColumn="1" w:firstRow="1" w:lastColumn="0" w:lastRow="0" w:noHBand="0" w:noVBand="1" w:val="04A0"/>
        <w:tblBorders>
          <w:top w:val="single" w:sz="6" w:color="C9D9E7"/>
          <w:left w:val="single" w:sz="6" w:color="C9D9E7"/>
          <w:bottom w:val="single" w:sz="6" w:color="C9D9E7"/>
          <w:right w:val="single" w:sz="6" w:color="C9D9E7"/>
          <w:insideH w:val="single" w:sz="6" w:color="C9D9E7"/>
          <w:insideV w:val="single" w:sz="6" w:color="C9D9E7"/>
        </w:tblBorders>
      </w:tblPr>
      <w:tblGrid>
        <w:gridCol w:w="2232"/>
        <w:gridCol w:w="7416"/>
      </w:tblGrid>
      <w:tr>
        <w:trPr>
          <w:tblHeader w:val="true"/>
        </w:trPr>
        <w:tc>
          <w:tcPr>
            <w:tcW w:type="dxa" w:w="2232"/>
            <w:shd w:fill="092A55"/>
            <w:vAlign w:val="center"/>
          </w:tcPr>
          <w:p>
            <w:pPr>
              <w:jc w:val="center"/>
            </w:pPr>
            <w:r>
              <w:rPr>
                <w:b/>
                <w:color w:val="FFFFFF"/>
                <w:sz w:val="19"/>
              </w:rPr>
              <w:t>项目</w:t>
            </w:r>
          </w:p>
        </w:tc>
        <w:tc>
          <w:tcPr>
            <w:tcW w:type="dxa" w:w="7416"/>
            <w:shd w:fill="092A55"/>
            <w:vAlign w:val="center"/>
          </w:tcPr>
          <w:p>
            <w:pPr>
              <w:jc w:val="center"/>
            </w:pPr>
            <w:r>
              <w:rPr>
                <w:b/>
                <w:color w:val="FFFFFF"/>
                <w:sz w:val="19"/>
              </w:rPr>
              <w:t>设计决定</w:t>
            </w:r>
          </w:p>
        </w:tc>
      </w:tr>
      <w:tr>
        <w:tc>
          <w:tcPr>
            <w:tcW w:type="dxa" w:w="2232"/>
            <w:shd w:fill="EAF8FB"/>
            <w:tcMar>
              <w:top w:w="90" w:type="dxa"/>
              <w:start w:w="120" w:type="dxa"/>
              <w:bottom w:w="90" w:type="dxa"/>
              <w:end w:w="120" w:type="dxa"/>
            </w:tcMar>
            <w:vAlign w:val="center"/>
          </w:tcPr>
          <w:p>
            <w:r>
              <w:rPr>
                <w:b/>
                <w:color w:val="092A55"/>
                <w:sz w:val="19"/>
              </w:rPr>
              <w:t>视觉体系</w:t>
            </w:r>
          </w:p>
        </w:tc>
        <w:tc>
          <w:tcPr>
            <w:tcW w:type="dxa" w:w="7416"/>
            <w:tcMar>
              <w:top w:w="90" w:type="dxa"/>
              <w:start w:w="120" w:type="dxa"/>
              <w:bottom w:w="90" w:type="dxa"/>
              <w:end w:w="120" w:type="dxa"/>
            </w:tcMar>
            <w:vAlign w:val="center"/>
          </w:tcPr>
          <w:p>
            <w:pPr>
              <w:spacing w:line="269" w:lineRule="auto" w:after="0"/>
            </w:pPr>
            <w:r>
              <w:rPr>
                <w:color w:val="17324D"/>
                <w:sz w:val="18"/>
              </w:rPr>
              <w:t>全套使用白色背景；深海蓝承担标题和正文层级，青色标记水流、边界与关键数字，冰蓝用于少量信息卡。</w:t>
            </w:r>
          </w:p>
        </w:tc>
      </w:tr>
      <w:tr>
        <w:tc>
          <w:tcPr>
            <w:tcW w:type="dxa" w:w="2232"/>
            <w:shd w:fill="EAF8FB"/>
            <w:tcMar>
              <w:top w:w="90" w:type="dxa"/>
              <w:start w:w="120" w:type="dxa"/>
              <w:bottom w:w="90" w:type="dxa"/>
              <w:end w:w="120" w:type="dxa"/>
            </w:tcMar>
            <w:vAlign w:val="center"/>
          </w:tcPr>
          <w:p>
            <w:r>
              <w:rPr>
                <w:b/>
                <w:color w:val="092A55"/>
                <w:sz w:val="19"/>
              </w:rPr>
              <w:t>汇报规模</w:t>
            </w:r>
          </w:p>
        </w:tc>
        <w:tc>
          <w:tcPr>
            <w:tcW w:type="dxa" w:w="7416"/>
            <w:tcMar>
              <w:top w:w="90" w:type="dxa"/>
              <w:start w:w="120" w:type="dxa"/>
              <w:bottom w:w="90" w:type="dxa"/>
              <w:end w:w="120" w:type="dxa"/>
            </w:tcMar>
            <w:vAlign w:val="center"/>
          </w:tcPr>
          <w:p>
            <w:pPr>
              <w:spacing w:line="269" w:lineRule="auto" w:after="0"/>
            </w:pPr>
            <w:r>
              <w:rPr>
                <w:color w:val="17324D"/>
                <w:sz w:val="18"/>
              </w:rPr>
              <w:t>12页主汇报，建议15–18分钟；每页约1.0–1.8分钟。</w:t>
            </w:r>
          </w:p>
        </w:tc>
      </w:tr>
      <w:tr>
        <w:tc>
          <w:tcPr>
            <w:tcW w:type="dxa" w:w="2232"/>
            <w:shd w:fill="EAF8FB"/>
            <w:tcMar>
              <w:top w:w="90" w:type="dxa"/>
              <w:start w:w="120" w:type="dxa"/>
              <w:bottom w:w="90" w:type="dxa"/>
              <w:end w:w="120" w:type="dxa"/>
            </w:tcMar>
            <w:vAlign w:val="center"/>
          </w:tcPr>
          <w:p>
            <w:r>
              <w:rPr>
                <w:b/>
                <w:color w:val="092A55"/>
                <w:sz w:val="19"/>
              </w:rPr>
              <w:t>内容原则</w:t>
            </w:r>
          </w:p>
        </w:tc>
        <w:tc>
          <w:tcPr>
            <w:tcW w:type="dxa" w:w="7416"/>
            <w:tcMar>
              <w:top w:w="90" w:type="dxa"/>
              <w:start w:w="120" w:type="dxa"/>
              <w:bottom w:w="90" w:type="dxa"/>
              <w:end w:w="120" w:type="dxa"/>
            </w:tcMar>
            <w:vAlign w:val="center"/>
          </w:tcPr>
          <w:p>
            <w:pPr>
              <w:spacing w:line="269" w:lineRule="auto" w:after="0"/>
            </w:pPr>
            <w:r>
              <w:rPr>
                <w:color w:val="17324D"/>
                <w:sz w:val="18"/>
              </w:rPr>
              <w:t>标题简短；每页围绕一个判断展开；图表、机制图和短句共同承载信息。</w:t>
            </w:r>
          </w:p>
        </w:tc>
      </w:tr>
      <w:tr>
        <w:tc>
          <w:tcPr>
            <w:tcW w:type="dxa" w:w="2232"/>
            <w:shd w:fill="EAF8FB"/>
            <w:tcMar>
              <w:top w:w="90" w:type="dxa"/>
              <w:start w:w="120" w:type="dxa"/>
              <w:bottom w:w="90" w:type="dxa"/>
              <w:end w:w="120" w:type="dxa"/>
            </w:tcMar>
            <w:vAlign w:val="center"/>
          </w:tcPr>
          <w:p>
            <w:r>
              <w:rPr>
                <w:b/>
                <w:color w:val="092A55"/>
                <w:sz w:val="19"/>
              </w:rPr>
              <w:t>当前版本</w:t>
            </w:r>
          </w:p>
        </w:tc>
        <w:tc>
          <w:tcPr>
            <w:tcW w:type="dxa" w:w="7416"/>
            <w:tcMar>
              <w:top w:w="90" w:type="dxa"/>
              <w:start w:w="120" w:type="dxa"/>
              <w:bottom w:w="90" w:type="dxa"/>
              <w:end w:w="120" w:type="dxa"/>
            </w:tcMar>
            <w:vAlign w:val="center"/>
          </w:tcPr>
          <w:p>
            <w:pPr>
              <w:spacing w:line="269" w:lineRule="auto" w:after="0"/>
            </w:pPr>
            <w:r>
              <w:rPr>
                <w:color w:val="17324D"/>
                <w:sz w:val="18"/>
              </w:rPr>
              <w:t>供导师/作者审阅的内容蓝图；确认后再生成可编辑PPTX。</w:t>
            </w:r>
          </w:p>
        </w:tc>
      </w:tr>
      <w:tr>
        <w:tc>
          <w:tcPr>
            <w:tcW w:type="dxa" w:w="2232"/>
            <w:shd w:fill="EAF8FB"/>
            <w:tcMar>
              <w:top w:w="90" w:type="dxa"/>
              <w:start w:w="120" w:type="dxa"/>
              <w:bottom w:w="90" w:type="dxa"/>
              <w:end w:w="120" w:type="dxa"/>
            </w:tcMar>
            <w:vAlign w:val="center"/>
          </w:tcPr>
          <w:p>
            <w:r>
              <w:rPr>
                <w:b/>
                <w:color w:val="092A55"/>
                <w:sz w:val="19"/>
              </w:rPr>
              <w:t>待补信息</w:t>
            </w:r>
          </w:p>
        </w:tc>
        <w:tc>
          <w:tcPr>
            <w:tcW w:type="dxa" w:w="7416"/>
            <w:tcMar>
              <w:top w:w="90" w:type="dxa"/>
              <w:start w:w="120" w:type="dxa"/>
              <w:bottom w:w="90" w:type="dxa"/>
              <w:end w:w="120" w:type="dxa"/>
            </w:tcMar>
            <w:vAlign w:val="center"/>
          </w:tcPr>
          <w:p>
            <w:pPr>
              <w:spacing w:line="269" w:lineRule="auto" w:after="0"/>
            </w:pPr>
            <w:r>
              <w:rPr>
                <w:color w:val="17324D"/>
                <w:sz w:val="18"/>
              </w:rPr>
              <w:t>汇报人：[姓名]；导师：[姓名]；培养单位：[单位]；答辩日期：[日期]。</w:t>
            </w:r>
          </w:p>
        </w:tc>
      </w:tr>
    </w:tbl>
    <w:p>
      <w:r>
        <w:br w:type="page"/>
      </w:r>
    </w:p>
    <w:p>
      <w:pPr>
        <w:pStyle w:val="Heading1"/>
      </w:pPr>
      <w:r>
        <w:t>一、总体汇报逻辑与页数安排</w:t>
      </w:r>
    </w:p>
    <w:p>
      <w:pPr>
        <w:pStyle w:val="Lead"/>
      </w:pPr>
      <w:r>
        <w:t>主汇报共12页，依次回答五个问题：为什么研究、已有研究走到哪里、准备怎样研究、预计得到什么、这项工作能否按期完成。内容覆盖研究背景、理论基础、研究现状、科学问题、假设、总体框架、研究设计、前期基础、创新、可行性、计划与预期成果。</w:t>
      </w:r>
    </w:p>
    <w:tbl>
      <w:tblPr>
        <w:tblW w:type="auto" w:w="0"/>
        <w:jc w:val="center"/>
        <w:tblLayout w:type="fixed"/>
        <w:tblLook w:firstColumn="1" w:firstRow="1" w:lastColumn="0" w:lastRow="0" w:noHBand="0" w:noVBand="1" w:val="04A0"/>
        <w:tblBorders>
          <w:top w:val="single" w:sz="6" w:color="C9D9E7"/>
          <w:left w:val="single" w:sz="6" w:color="C9D9E7"/>
          <w:bottom w:val="single" w:sz="6" w:color="C9D9E7"/>
          <w:right w:val="single" w:sz="6" w:color="C9D9E7"/>
          <w:insideH w:val="single" w:sz="6" w:color="C9D9E7"/>
          <w:insideV w:val="single" w:sz="6" w:color="C9D9E7"/>
        </w:tblBorders>
      </w:tblPr>
      <w:tblGrid>
        <w:gridCol w:w="648"/>
        <w:gridCol w:w="1944"/>
        <w:gridCol w:w="5976"/>
        <w:gridCol w:w="1080"/>
      </w:tblGrid>
      <w:tr>
        <w:trPr>
          <w:tblHeader w:val="true"/>
        </w:trPr>
        <w:tc>
          <w:tcPr>
            <w:tcW w:type="dxa" w:w="2469"/>
            <w:shd w:fill="092A55"/>
            <w:tcMar>
              <w:top w:w="90" w:type="dxa"/>
              <w:start w:w="120" w:type="dxa"/>
              <w:bottom w:w="90" w:type="dxa"/>
              <w:end w:w="120" w:type="dxa"/>
            </w:tcMar>
          </w:tcPr>
          <w:p>
            <w:pPr>
              <w:jc w:val="center"/>
            </w:pPr>
            <w:r>
              <w:rPr>
                <w:b/>
                <w:color w:val="FFFFFF"/>
                <w:sz w:val="18"/>
              </w:rPr>
              <w:t>页</w:t>
            </w:r>
          </w:p>
        </w:tc>
        <w:tc>
          <w:tcPr>
            <w:tcW w:type="dxa" w:w="2469"/>
            <w:shd w:fill="092A55"/>
            <w:tcMar>
              <w:top w:w="90" w:type="dxa"/>
              <w:start w:w="120" w:type="dxa"/>
              <w:bottom w:w="90" w:type="dxa"/>
              <w:end w:w="120" w:type="dxa"/>
            </w:tcMar>
          </w:tcPr>
          <w:p>
            <w:pPr>
              <w:jc w:val="center"/>
            </w:pPr>
            <w:r>
              <w:rPr>
                <w:b/>
                <w:color w:val="FFFFFF"/>
                <w:sz w:val="18"/>
              </w:rPr>
              <w:t>主题</w:t>
            </w:r>
          </w:p>
        </w:tc>
        <w:tc>
          <w:tcPr>
            <w:tcW w:type="dxa" w:w="2469"/>
            <w:shd w:fill="092A55"/>
            <w:tcMar>
              <w:top w:w="90" w:type="dxa"/>
              <w:start w:w="120" w:type="dxa"/>
              <w:bottom w:w="90" w:type="dxa"/>
              <w:end w:w="120" w:type="dxa"/>
            </w:tcMar>
          </w:tcPr>
          <w:p>
            <w:pPr>
              <w:jc w:val="center"/>
            </w:pPr>
            <w:r>
              <w:rPr>
                <w:b/>
                <w:color w:val="FFFFFF"/>
                <w:sz w:val="18"/>
              </w:rPr>
              <w:t>本页任务</w:t>
            </w:r>
          </w:p>
        </w:tc>
        <w:tc>
          <w:tcPr>
            <w:tcW w:type="dxa" w:w="2469"/>
            <w:shd w:fill="092A55"/>
            <w:tcMar>
              <w:top w:w="90" w:type="dxa"/>
              <w:start w:w="120" w:type="dxa"/>
              <w:bottom w:w="90" w:type="dxa"/>
              <w:end w:w="120" w:type="dxa"/>
            </w:tcMar>
          </w:tcPr>
          <w:p>
            <w:pPr>
              <w:jc w:val="center"/>
            </w:pPr>
            <w:r>
              <w:rPr>
                <w:b/>
                <w:color w:val="FFFFFF"/>
                <w:sz w:val="18"/>
              </w:rPr>
              <w:t>时间</w:t>
            </w:r>
          </w:p>
        </w:tc>
      </w:tr>
      <w:tr>
        <w:tc>
          <w:tcPr>
            <w:tcW w:type="dxa" w:w="648"/>
            <w:tcMar>
              <w:top w:w="90" w:type="dxa"/>
              <w:start w:w="120" w:type="dxa"/>
              <w:bottom w:w="90" w:type="dxa"/>
              <w:end w:w="120" w:type="dxa"/>
            </w:tcMar>
            <w:shd w:fill="EAF8FB"/>
          </w:tcPr>
          <w:p>
            <w:pPr>
              <w:spacing w:after="0" w:line="252" w:lineRule="auto"/>
            </w:pPr>
            <w:r>
              <w:rPr>
                <w:b/>
                <w:color w:val="092A55"/>
                <w:sz w:val="17"/>
              </w:rPr>
              <w:t>01</w:t>
            </w:r>
          </w:p>
        </w:tc>
        <w:tc>
          <w:tcPr>
            <w:tcW w:type="dxa" w:w="1944"/>
            <w:tcMar>
              <w:top w:w="90" w:type="dxa"/>
              <w:start w:w="120" w:type="dxa"/>
              <w:bottom w:w="90" w:type="dxa"/>
              <w:end w:w="120" w:type="dxa"/>
            </w:tcMar>
          </w:tcPr>
          <w:p>
            <w:pPr>
              <w:spacing w:after="0" w:line="252" w:lineRule="auto"/>
            </w:pPr>
            <w:r>
              <w:rPr>
                <w:b/>
                <w:color w:val="17324D"/>
                <w:sz w:val="17"/>
              </w:rPr>
              <w:t>课题概览</w:t>
            </w:r>
          </w:p>
        </w:tc>
        <w:tc>
          <w:tcPr>
            <w:tcW w:type="dxa" w:w="5976"/>
            <w:tcMar>
              <w:top w:w="90" w:type="dxa"/>
              <w:start w:w="120" w:type="dxa"/>
              <w:bottom w:w="90" w:type="dxa"/>
              <w:end w:w="120" w:type="dxa"/>
            </w:tcMar>
          </w:tcPr>
          <w:p>
            <w:pPr>
              <w:spacing w:after="0" w:line="252" w:lineRule="auto"/>
            </w:pPr>
            <w:r>
              <w:rPr>
                <w:b w:val="0"/>
                <w:color w:val="17324D"/>
                <w:sz w:val="17"/>
              </w:rPr>
              <w:t>说明研究对象、研究边界和核心判断。</w:t>
            </w:r>
          </w:p>
        </w:tc>
        <w:tc>
          <w:tcPr>
            <w:tcW w:type="dxa" w:w="1080"/>
            <w:tcMar>
              <w:top w:w="90" w:type="dxa"/>
              <w:start w:w="120" w:type="dxa"/>
              <w:bottom w:w="90" w:type="dxa"/>
              <w:end w:w="120" w:type="dxa"/>
            </w:tcMar>
          </w:tcPr>
          <w:p>
            <w:pPr>
              <w:spacing w:after="0" w:line="252" w:lineRule="auto"/>
            </w:pPr>
            <w:r>
              <w:rPr>
                <w:b w:val="0"/>
                <w:color w:val="17324D"/>
                <w:sz w:val="17"/>
              </w:rPr>
              <w:t>0.7 min</w:t>
            </w:r>
          </w:p>
        </w:tc>
      </w:tr>
      <w:tr>
        <w:tc>
          <w:tcPr>
            <w:tcW w:type="dxa" w:w="648"/>
            <w:tcMar>
              <w:top w:w="90" w:type="dxa"/>
              <w:start w:w="120" w:type="dxa"/>
              <w:bottom w:w="90" w:type="dxa"/>
              <w:end w:w="120" w:type="dxa"/>
            </w:tcMar>
            <w:shd w:fill="EAF8FB"/>
          </w:tcPr>
          <w:p>
            <w:pPr>
              <w:spacing w:after="0" w:line="252" w:lineRule="auto"/>
            </w:pPr>
            <w:r>
              <w:rPr>
                <w:b/>
                <w:color w:val="092A55"/>
                <w:sz w:val="17"/>
              </w:rPr>
              <w:t>02</w:t>
            </w:r>
          </w:p>
        </w:tc>
        <w:tc>
          <w:tcPr>
            <w:tcW w:type="dxa" w:w="1944"/>
            <w:tcMar>
              <w:top w:w="90" w:type="dxa"/>
              <w:start w:w="120" w:type="dxa"/>
              <w:bottom w:w="90" w:type="dxa"/>
              <w:end w:w="120" w:type="dxa"/>
            </w:tcMar>
          </w:tcPr>
          <w:p>
            <w:pPr>
              <w:spacing w:after="0" w:line="252" w:lineRule="auto"/>
            </w:pPr>
            <w:r>
              <w:rPr>
                <w:b/>
                <w:color w:val="17324D"/>
                <w:sz w:val="17"/>
              </w:rPr>
              <w:t>研究背景</w:t>
            </w:r>
          </w:p>
        </w:tc>
        <w:tc>
          <w:tcPr>
            <w:tcW w:type="dxa" w:w="5976"/>
            <w:tcMar>
              <w:top w:w="90" w:type="dxa"/>
              <w:start w:w="120" w:type="dxa"/>
              <w:bottom w:w="90" w:type="dxa"/>
              <w:end w:w="120" w:type="dxa"/>
            </w:tcMar>
          </w:tcPr>
          <w:p>
            <w:pPr>
              <w:spacing w:after="0" w:line="252" w:lineRule="auto"/>
            </w:pPr>
            <w:r>
              <w:rPr>
                <w:b w:val="0"/>
                <w:color w:val="17324D"/>
                <w:sz w:val="17"/>
              </w:rPr>
              <w:t>说明为什么问题从能源扩展到局地水系统与基础设施承载。</w:t>
            </w:r>
          </w:p>
        </w:tc>
        <w:tc>
          <w:tcPr>
            <w:tcW w:type="dxa" w:w="1080"/>
            <w:tcMar>
              <w:top w:w="90" w:type="dxa"/>
              <w:start w:w="120" w:type="dxa"/>
              <w:bottom w:w="90" w:type="dxa"/>
              <w:end w:w="120" w:type="dxa"/>
            </w:tcMar>
          </w:tcPr>
          <w:p>
            <w:pPr>
              <w:spacing w:after="0" w:line="252" w:lineRule="auto"/>
            </w:pPr>
            <w:r>
              <w:rPr>
                <w:b w:val="0"/>
                <w:color w:val="17324D"/>
                <w:sz w:val="17"/>
              </w:rPr>
              <w:t>1.4 min</w:t>
            </w:r>
          </w:p>
        </w:tc>
      </w:tr>
      <w:tr>
        <w:tc>
          <w:tcPr>
            <w:tcW w:type="dxa" w:w="648"/>
            <w:tcMar>
              <w:top w:w="90" w:type="dxa"/>
              <w:start w:w="120" w:type="dxa"/>
              <w:bottom w:w="90" w:type="dxa"/>
              <w:end w:w="120" w:type="dxa"/>
            </w:tcMar>
            <w:shd w:fill="EAF8FB"/>
          </w:tcPr>
          <w:p>
            <w:pPr>
              <w:spacing w:after="0" w:line="252" w:lineRule="auto"/>
            </w:pPr>
            <w:r>
              <w:rPr>
                <w:b/>
                <w:color w:val="092A55"/>
                <w:sz w:val="17"/>
              </w:rPr>
              <w:t>03</w:t>
            </w:r>
          </w:p>
        </w:tc>
        <w:tc>
          <w:tcPr>
            <w:tcW w:type="dxa" w:w="1944"/>
            <w:tcMar>
              <w:top w:w="90" w:type="dxa"/>
              <w:start w:w="120" w:type="dxa"/>
              <w:bottom w:w="90" w:type="dxa"/>
              <w:end w:w="120" w:type="dxa"/>
            </w:tcMar>
          </w:tcPr>
          <w:p>
            <w:pPr>
              <w:spacing w:after="0" w:line="252" w:lineRule="auto"/>
            </w:pPr>
            <w:r>
              <w:rPr>
                <w:b/>
                <w:color w:val="17324D"/>
                <w:sz w:val="17"/>
              </w:rPr>
              <w:t>理论基础</w:t>
            </w:r>
          </w:p>
        </w:tc>
        <w:tc>
          <w:tcPr>
            <w:tcW w:type="dxa" w:w="5976"/>
            <w:tcMar>
              <w:top w:w="90" w:type="dxa"/>
              <w:start w:w="120" w:type="dxa"/>
              <w:bottom w:w="90" w:type="dxa"/>
              <w:end w:w="120" w:type="dxa"/>
            </w:tcMar>
          </w:tcPr>
          <w:p>
            <w:pPr>
              <w:spacing w:after="0" w:line="252" w:lineRule="auto"/>
            </w:pPr>
            <w:r>
              <w:rPr>
                <w:b w:val="0"/>
                <w:color w:val="17324D"/>
                <w:sz w:val="17"/>
              </w:rPr>
              <w:t>将城市水代谢操作化为可计算的流、循环、结构距离与设施压力。</w:t>
            </w:r>
          </w:p>
        </w:tc>
        <w:tc>
          <w:tcPr>
            <w:tcW w:type="dxa" w:w="1080"/>
            <w:tcMar>
              <w:top w:w="90" w:type="dxa"/>
              <w:start w:w="120" w:type="dxa"/>
              <w:bottom w:w="90" w:type="dxa"/>
              <w:end w:w="120" w:type="dxa"/>
            </w:tcMar>
          </w:tcPr>
          <w:p>
            <w:pPr>
              <w:spacing w:after="0" w:line="252" w:lineRule="auto"/>
            </w:pPr>
            <w:r>
              <w:rPr>
                <w:b w:val="0"/>
                <w:color w:val="17324D"/>
                <w:sz w:val="17"/>
              </w:rPr>
              <w:t>1.3 min</w:t>
            </w:r>
          </w:p>
        </w:tc>
      </w:tr>
      <w:tr>
        <w:tc>
          <w:tcPr>
            <w:tcW w:type="dxa" w:w="648"/>
            <w:tcMar>
              <w:top w:w="90" w:type="dxa"/>
              <w:start w:w="120" w:type="dxa"/>
              <w:bottom w:w="90" w:type="dxa"/>
              <w:end w:w="120" w:type="dxa"/>
            </w:tcMar>
            <w:shd w:fill="EAF8FB"/>
          </w:tcPr>
          <w:p>
            <w:pPr>
              <w:spacing w:after="0" w:line="252" w:lineRule="auto"/>
            </w:pPr>
            <w:r>
              <w:rPr>
                <w:b/>
                <w:color w:val="092A55"/>
                <w:sz w:val="17"/>
              </w:rPr>
              <w:t>04</w:t>
            </w:r>
          </w:p>
        </w:tc>
        <w:tc>
          <w:tcPr>
            <w:tcW w:type="dxa" w:w="1944"/>
            <w:tcMar>
              <w:top w:w="90" w:type="dxa"/>
              <w:start w:w="120" w:type="dxa"/>
              <w:bottom w:w="90" w:type="dxa"/>
              <w:end w:w="120" w:type="dxa"/>
            </w:tcMar>
          </w:tcPr>
          <w:p>
            <w:pPr>
              <w:spacing w:after="0" w:line="252" w:lineRule="auto"/>
            </w:pPr>
            <w:r>
              <w:rPr>
                <w:b/>
                <w:color w:val="17324D"/>
                <w:sz w:val="17"/>
              </w:rPr>
              <w:t>研究现状</w:t>
            </w:r>
          </w:p>
        </w:tc>
        <w:tc>
          <w:tcPr>
            <w:tcW w:type="dxa" w:w="5976"/>
            <w:tcMar>
              <w:top w:w="90" w:type="dxa"/>
              <w:start w:w="120" w:type="dxa"/>
              <w:bottom w:w="90" w:type="dxa"/>
              <w:end w:w="120" w:type="dxa"/>
            </w:tcMar>
          </w:tcPr>
          <w:p>
            <w:pPr>
              <w:spacing w:after="0" w:line="252" w:lineRule="auto"/>
            </w:pPr>
            <w:r>
              <w:rPr>
                <w:b w:val="0"/>
                <w:color w:val="17324D"/>
                <w:sz w:val="17"/>
              </w:rPr>
              <w:t>梳理五个研究尺度，并落到本课题的四项工作。</w:t>
            </w:r>
          </w:p>
        </w:tc>
        <w:tc>
          <w:tcPr>
            <w:tcW w:type="dxa" w:w="1080"/>
            <w:tcMar>
              <w:top w:w="90" w:type="dxa"/>
              <w:start w:w="120" w:type="dxa"/>
              <w:bottom w:w="90" w:type="dxa"/>
              <w:end w:w="120" w:type="dxa"/>
            </w:tcMar>
          </w:tcPr>
          <w:p>
            <w:pPr>
              <w:spacing w:after="0" w:line="252" w:lineRule="auto"/>
            </w:pPr>
            <w:r>
              <w:rPr>
                <w:b w:val="0"/>
                <w:color w:val="17324D"/>
                <w:sz w:val="17"/>
              </w:rPr>
              <w:t>1.5 min</w:t>
            </w:r>
          </w:p>
        </w:tc>
      </w:tr>
      <w:tr>
        <w:tc>
          <w:tcPr>
            <w:tcW w:type="dxa" w:w="648"/>
            <w:tcMar>
              <w:top w:w="90" w:type="dxa"/>
              <w:start w:w="120" w:type="dxa"/>
              <w:bottom w:w="90" w:type="dxa"/>
              <w:end w:w="120" w:type="dxa"/>
            </w:tcMar>
            <w:shd w:fill="EAF8FB"/>
          </w:tcPr>
          <w:p>
            <w:pPr>
              <w:spacing w:after="0" w:line="252" w:lineRule="auto"/>
            </w:pPr>
            <w:r>
              <w:rPr>
                <w:b/>
                <w:color w:val="092A55"/>
                <w:sz w:val="17"/>
              </w:rPr>
              <w:t>05</w:t>
            </w:r>
          </w:p>
        </w:tc>
        <w:tc>
          <w:tcPr>
            <w:tcW w:type="dxa" w:w="1944"/>
            <w:tcMar>
              <w:top w:w="90" w:type="dxa"/>
              <w:start w:w="120" w:type="dxa"/>
              <w:bottom w:w="90" w:type="dxa"/>
              <w:end w:w="120" w:type="dxa"/>
            </w:tcMar>
          </w:tcPr>
          <w:p>
            <w:pPr>
              <w:spacing w:after="0" w:line="252" w:lineRule="auto"/>
            </w:pPr>
            <w:r>
              <w:rPr>
                <w:b/>
                <w:color w:val="17324D"/>
                <w:sz w:val="17"/>
              </w:rPr>
              <w:t>问题与假设</w:t>
            </w:r>
          </w:p>
        </w:tc>
        <w:tc>
          <w:tcPr>
            <w:tcW w:type="dxa" w:w="5976"/>
            <w:tcMar>
              <w:top w:w="90" w:type="dxa"/>
              <w:start w:w="120" w:type="dxa"/>
              <w:bottom w:w="90" w:type="dxa"/>
              <w:end w:w="120" w:type="dxa"/>
            </w:tcMar>
          </w:tcPr>
          <w:p>
            <w:pPr>
              <w:spacing w:after="0" w:line="252" w:lineRule="auto"/>
            </w:pPr>
            <w:r>
              <w:rPr>
                <w:b w:val="0"/>
                <w:color w:val="17324D"/>
                <w:sz w:val="17"/>
              </w:rPr>
              <w:t>呈现RQ1–RQ3、H1–H3及对应判据。</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06</w:t>
            </w:r>
          </w:p>
        </w:tc>
        <w:tc>
          <w:tcPr>
            <w:tcW w:type="dxa" w:w="1944"/>
            <w:tcMar>
              <w:top w:w="90" w:type="dxa"/>
              <w:start w:w="120" w:type="dxa"/>
              <w:bottom w:w="90" w:type="dxa"/>
              <w:end w:w="120" w:type="dxa"/>
            </w:tcMar>
          </w:tcPr>
          <w:p>
            <w:pPr>
              <w:spacing w:after="0" w:line="252" w:lineRule="auto"/>
            </w:pPr>
            <w:r>
              <w:rPr>
                <w:b/>
                <w:color w:val="17324D"/>
                <w:sz w:val="17"/>
              </w:rPr>
              <w:t>总体框架</w:t>
            </w:r>
          </w:p>
        </w:tc>
        <w:tc>
          <w:tcPr>
            <w:tcW w:type="dxa" w:w="5976"/>
            <w:tcMar>
              <w:top w:w="90" w:type="dxa"/>
              <w:start w:w="120" w:type="dxa"/>
              <w:bottom w:w="90" w:type="dxa"/>
              <w:end w:w="120" w:type="dxa"/>
            </w:tcMar>
          </w:tcPr>
          <w:p>
            <w:pPr>
              <w:spacing w:after="0" w:line="252" w:lineRule="auto"/>
            </w:pPr>
            <w:r>
              <w:rPr>
                <w:b w:val="0"/>
                <w:color w:val="17324D"/>
                <w:sz w:val="17"/>
              </w:rPr>
              <w:t>交代研究目标、范围和AI-UWM模块关系。</w:t>
            </w:r>
          </w:p>
        </w:tc>
        <w:tc>
          <w:tcPr>
            <w:tcW w:type="dxa" w:w="1080"/>
            <w:tcMar>
              <w:top w:w="90" w:type="dxa"/>
              <w:start w:w="120" w:type="dxa"/>
              <w:bottom w:w="90" w:type="dxa"/>
              <w:end w:w="120" w:type="dxa"/>
            </w:tcMar>
          </w:tcPr>
          <w:p>
            <w:pPr>
              <w:spacing w:after="0" w:line="252" w:lineRule="auto"/>
            </w:pPr>
            <w:r>
              <w:rPr>
                <w:b w:val="0"/>
                <w:color w:val="17324D"/>
                <w:sz w:val="17"/>
              </w:rPr>
              <w:t>1.5 min</w:t>
            </w:r>
          </w:p>
        </w:tc>
      </w:tr>
      <w:tr>
        <w:tc>
          <w:tcPr>
            <w:tcW w:type="dxa" w:w="648"/>
            <w:tcMar>
              <w:top w:w="90" w:type="dxa"/>
              <w:start w:w="120" w:type="dxa"/>
              <w:bottom w:w="90" w:type="dxa"/>
              <w:end w:w="120" w:type="dxa"/>
            </w:tcMar>
            <w:shd w:fill="EAF8FB"/>
          </w:tcPr>
          <w:p>
            <w:pPr>
              <w:spacing w:after="0" w:line="252" w:lineRule="auto"/>
            </w:pPr>
            <w:r>
              <w:rPr>
                <w:b/>
                <w:color w:val="092A55"/>
                <w:sz w:val="17"/>
              </w:rPr>
              <w:t>07</w:t>
            </w:r>
          </w:p>
        </w:tc>
        <w:tc>
          <w:tcPr>
            <w:tcW w:type="dxa" w:w="1944"/>
            <w:tcMar>
              <w:top w:w="90" w:type="dxa"/>
              <w:start w:w="120" w:type="dxa"/>
              <w:bottom w:w="90" w:type="dxa"/>
              <w:end w:w="120" w:type="dxa"/>
            </w:tcMar>
          </w:tcPr>
          <w:p>
            <w:pPr>
              <w:spacing w:after="0" w:line="252" w:lineRule="auto"/>
            </w:pPr>
            <w:r>
              <w:rPr>
                <w:b/>
                <w:color w:val="17324D"/>
                <w:sz w:val="17"/>
              </w:rPr>
              <w:t>作用机制</w:t>
            </w:r>
          </w:p>
        </w:tc>
        <w:tc>
          <w:tcPr>
            <w:tcW w:type="dxa" w:w="5976"/>
            <w:tcMar>
              <w:top w:w="90" w:type="dxa"/>
              <w:start w:w="120" w:type="dxa"/>
              <w:bottom w:w="90" w:type="dxa"/>
              <w:end w:w="120" w:type="dxa"/>
            </w:tcMar>
          </w:tcPr>
          <w:p>
            <w:pPr>
              <w:spacing w:after="0" w:line="252" w:lineRule="auto"/>
            </w:pPr>
            <w:r>
              <w:rPr>
                <w:b w:val="0"/>
                <w:color w:val="17324D"/>
                <w:sz w:val="17"/>
              </w:rPr>
              <w:t>解释IT容量如何转化为热、水、排污与回用闭环。</w:t>
            </w:r>
          </w:p>
        </w:tc>
        <w:tc>
          <w:tcPr>
            <w:tcW w:type="dxa" w:w="1080"/>
            <w:tcMar>
              <w:top w:w="90" w:type="dxa"/>
              <w:start w:w="120" w:type="dxa"/>
              <w:bottom w:w="90" w:type="dxa"/>
              <w:end w:w="120" w:type="dxa"/>
            </w:tcMar>
          </w:tcPr>
          <w:p>
            <w:pPr>
              <w:spacing w:after="0" w:line="252" w:lineRule="auto"/>
            </w:pPr>
            <w:r>
              <w:rPr>
                <w:b w:val="0"/>
                <w:color w:val="17324D"/>
                <w:sz w:val="17"/>
              </w:rPr>
              <w:t>1.7 min</w:t>
            </w:r>
          </w:p>
        </w:tc>
      </w:tr>
      <w:tr>
        <w:tc>
          <w:tcPr>
            <w:tcW w:type="dxa" w:w="648"/>
            <w:tcMar>
              <w:top w:w="90" w:type="dxa"/>
              <w:start w:w="120" w:type="dxa"/>
              <w:bottom w:w="90" w:type="dxa"/>
              <w:end w:w="120" w:type="dxa"/>
            </w:tcMar>
            <w:shd w:fill="EAF8FB"/>
          </w:tcPr>
          <w:p>
            <w:pPr>
              <w:spacing w:after="0" w:line="252" w:lineRule="auto"/>
            </w:pPr>
            <w:r>
              <w:rPr>
                <w:b/>
                <w:color w:val="092A55"/>
                <w:sz w:val="17"/>
              </w:rPr>
              <w:t>08</w:t>
            </w:r>
          </w:p>
        </w:tc>
        <w:tc>
          <w:tcPr>
            <w:tcW w:type="dxa" w:w="1944"/>
            <w:tcMar>
              <w:top w:w="90" w:type="dxa"/>
              <w:start w:w="120" w:type="dxa"/>
              <w:bottom w:w="90" w:type="dxa"/>
              <w:end w:w="120" w:type="dxa"/>
            </w:tcMar>
          </w:tcPr>
          <w:p>
            <w:pPr>
              <w:spacing w:after="0" w:line="252" w:lineRule="auto"/>
            </w:pPr>
            <w:r>
              <w:rPr>
                <w:b/>
                <w:color w:val="17324D"/>
                <w:sz w:val="17"/>
              </w:rPr>
              <w:t>研究设计</w:t>
            </w:r>
          </w:p>
        </w:tc>
        <w:tc>
          <w:tcPr>
            <w:tcW w:type="dxa" w:w="5976"/>
            <w:tcMar>
              <w:top w:w="90" w:type="dxa"/>
              <w:start w:w="120" w:type="dxa"/>
              <w:bottom w:w="90" w:type="dxa"/>
              <w:end w:w="120" w:type="dxa"/>
            </w:tcMar>
          </w:tcPr>
          <w:p>
            <w:pPr>
              <w:spacing w:after="0" w:line="252" w:lineRule="auto"/>
            </w:pPr>
            <w:r>
              <w:rPr>
                <w:b w:val="0"/>
                <w:color w:val="17324D"/>
                <w:sz w:val="17"/>
              </w:rPr>
              <w:t>交代案例、锚点、对照、时间尺度及质量门槛。</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09</w:t>
            </w:r>
          </w:p>
        </w:tc>
        <w:tc>
          <w:tcPr>
            <w:tcW w:type="dxa" w:w="1944"/>
            <w:tcMar>
              <w:top w:w="90" w:type="dxa"/>
              <w:start w:w="120" w:type="dxa"/>
              <w:bottom w:w="90" w:type="dxa"/>
              <w:end w:w="120" w:type="dxa"/>
            </w:tcMar>
          </w:tcPr>
          <w:p>
            <w:pPr>
              <w:spacing w:after="0" w:line="252" w:lineRule="auto"/>
            </w:pPr>
            <w:r>
              <w:rPr>
                <w:b/>
                <w:color w:val="17324D"/>
                <w:sz w:val="17"/>
              </w:rPr>
              <w:t>情景与不确定性</w:t>
            </w:r>
          </w:p>
        </w:tc>
        <w:tc>
          <w:tcPr>
            <w:tcW w:type="dxa" w:w="5976"/>
            <w:tcMar>
              <w:top w:w="90" w:type="dxa"/>
              <w:start w:w="120" w:type="dxa"/>
              <w:bottom w:w="90" w:type="dxa"/>
              <w:end w:w="120" w:type="dxa"/>
            </w:tcMar>
          </w:tcPr>
          <w:p>
            <w:pPr>
              <w:spacing w:after="0" w:line="252" w:lineRule="auto"/>
            </w:pPr>
            <w:r>
              <w:rPr>
                <w:b w:val="0"/>
                <w:color w:val="17324D"/>
                <w:sz w:val="17"/>
              </w:rPr>
              <w:t>展示2035路径、0–3 GW扫描、复合压力与三类不确定性。</w:t>
            </w:r>
          </w:p>
        </w:tc>
        <w:tc>
          <w:tcPr>
            <w:tcW w:type="dxa" w:w="1080"/>
            <w:tcMar>
              <w:top w:w="90" w:type="dxa"/>
              <w:start w:w="120" w:type="dxa"/>
              <w:bottom w:w="90" w:type="dxa"/>
              <w:end w:w="120" w:type="dxa"/>
            </w:tcMar>
          </w:tcPr>
          <w:p>
            <w:pPr>
              <w:spacing w:after="0" w:line="252" w:lineRule="auto"/>
            </w:pPr>
            <w:r>
              <w:rPr>
                <w:b w:val="0"/>
                <w:color w:val="17324D"/>
                <w:sz w:val="17"/>
              </w:rPr>
              <w:t>1.6 min</w:t>
            </w:r>
          </w:p>
        </w:tc>
      </w:tr>
      <w:tr>
        <w:tc>
          <w:tcPr>
            <w:tcW w:type="dxa" w:w="648"/>
            <w:tcMar>
              <w:top w:w="90" w:type="dxa"/>
              <w:start w:w="120" w:type="dxa"/>
              <w:bottom w:w="90" w:type="dxa"/>
              <w:end w:w="120" w:type="dxa"/>
            </w:tcMar>
            <w:shd w:fill="EAF8FB"/>
          </w:tcPr>
          <w:p>
            <w:pPr>
              <w:spacing w:after="0" w:line="252" w:lineRule="auto"/>
            </w:pPr>
            <w:r>
              <w:rPr>
                <w:b/>
                <w:color w:val="092A55"/>
                <w:sz w:val="17"/>
              </w:rPr>
              <w:t>10</w:t>
            </w:r>
          </w:p>
        </w:tc>
        <w:tc>
          <w:tcPr>
            <w:tcW w:type="dxa" w:w="1944"/>
            <w:tcMar>
              <w:top w:w="90" w:type="dxa"/>
              <w:start w:w="120" w:type="dxa"/>
              <w:bottom w:w="90" w:type="dxa"/>
              <w:end w:w="120" w:type="dxa"/>
            </w:tcMar>
          </w:tcPr>
          <w:p>
            <w:pPr>
              <w:spacing w:after="0" w:line="252" w:lineRule="auto"/>
            </w:pPr>
            <w:r>
              <w:rPr>
                <w:b/>
                <w:color w:val="17324D"/>
                <w:sz w:val="17"/>
              </w:rPr>
              <w:t>容量与瓶颈</w:t>
            </w:r>
          </w:p>
        </w:tc>
        <w:tc>
          <w:tcPr>
            <w:tcW w:type="dxa" w:w="5976"/>
            <w:tcMar>
              <w:top w:w="90" w:type="dxa"/>
              <w:start w:w="120" w:type="dxa"/>
              <w:bottom w:w="90" w:type="dxa"/>
              <w:end w:w="120" w:type="dxa"/>
            </w:tcMar>
          </w:tcPr>
          <w:p>
            <w:pPr>
              <w:spacing w:after="0" w:line="252" w:lineRule="auto"/>
            </w:pPr>
            <w:r>
              <w:rPr>
                <w:b w:val="0"/>
                <w:color w:val="17324D"/>
                <w:sz w:val="17"/>
              </w:rPr>
              <w:t>呈现四层容量、边界提前、瓶颈转换和再生水收益转折。</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11</w:t>
            </w:r>
          </w:p>
        </w:tc>
        <w:tc>
          <w:tcPr>
            <w:tcW w:type="dxa" w:w="1944"/>
            <w:tcMar>
              <w:top w:w="90" w:type="dxa"/>
              <w:start w:w="120" w:type="dxa"/>
              <w:bottom w:w="90" w:type="dxa"/>
              <w:end w:w="120" w:type="dxa"/>
            </w:tcMar>
          </w:tcPr>
          <w:p>
            <w:pPr>
              <w:spacing w:after="0" w:line="252" w:lineRule="auto"/>
            </w:pPr>
            <w:r>
              <w:rPr>
                <w:b/>
                <w:color w:val="17324D"/>
                <w:sz w:val="17"/>
              </w:rPr>
              <w:t>基础、创新与可行性</w:t>
            </w:r>
          </w:p>
        </w:tc>
        <w:tc>
          <w:tcPr>
            <w:tcW w:type="dxa" w:w="5976"/>
            <w:tcMar>
              <w:top w:w="90" w:type="dxa"/>
              <w:start w:w="120" w:type="dxa"/>
              <w:bottom w:w="90" w:type="dxa"/>
              <w:end w:w="120" w:type="dxa"/>
            </w:tcMar>
          </w:tcPr>
          <w:p>
            <w:pPr>
              <w:spacing w:after="0" w:line="252" w:lineRule="auto"/>
            </w:pPr>
            <w:r>
              <w:rPr>
                <w:b w:val="0"/>
                <w:color w:val="17324D"/>
                <w:sz w:val="17"/>
              </w:rPr>
              <w:t>结合模块进展、三项创新和风险预案说明研究基础。</w:t>
            </w:r>
          </w:p>
        </w:tc>
        <w:tc>
          <w:tcPr>
            <w:tcW w:type="dxa" w:w="1080"/>
            <w:tcMar>
              <w:top w:w="90" w:type="dxa"/>
              <w:start w:w="120" w:type="dxa"/>
              <w:bottom w:w="90" w:type="dxa"/>
              <w:end w:w="120" w:type="dxa"/>
            </w:tcMar>
          </w:tcPr>
          <w:p>
            <w:pPr>
              <w:spacing w:after="0" w:line="252" w:lineRule="auto"/>
            </w:pPr>
            <w:r>
              <w:rPr>
                <w:b w:val="0"/>
                <w:color w:val="17324D"/>
                <w:sz w:val="17"/>
              </w:rPr>
              <w:t>1.8 min</w:t>
            </w:r>
          </w:p>
        </w:tc>
      </w:tr>
      <w:tr>
        <w:tc>
          <w:tcPr>
            <w:tcW w:type="dxa" w:w="648"/>
            <w:tcMar>
              <w:top w:w="90" w:type="dxa"/>
              <w:start w:w="120" w:type="dxa"/>
              <w:bottom w:w="90" w:type="dxa"/>
              <w:end w:w="120" w:type="dxa"/>
            </w:tcMar>
            <w:shd w:fill="EAF8FB"/>
          </w:tcPr>
          <w:p>
            <w:pPr>
              <w:spacing w:after="0" w:line="252" w:lineRule="auto"/>
            </w:pPr>
            <w:r>
              <w:rPr>
                <w:b/>
                <w:color w:val="092A55"/>
                <w:sz w:val="17"/>
              </w:rPr>
              <w:t>12</w:t>
            </w:r>
          </w:p>
        </w:tc>
        <w:tc>
          <w:tcPr>
            <w:tcW w:type="dxa" w:w="1944"/>
            <w:tcMar>
              <w:top w:w="90" w:type="dxa"/>
              <w:start w:w="120" w:type="dxa"/>
              <w:bottom w:w="90" w:type="dxa"/>
              <w:end w:w="120" w:type="dxa"/>
            </w:tcMar>
          </w:tcPr>
          <w:p>
            <w:pPr>
              <w:spacing w:after="0" w:line="252" w:lineRule="auto"/>
            </w:pPr>
            <w:r>
              <w:rPr>
                <w:b/>
                <w:color w:val="17324D"/>
                <w:sz w:val="17"/>
              </w:rPr>
              <w:t>计划与成果</w:t>
            </w:r>
          </w:p>
        </w:tc>
        <w:tc>
          <w:tcPr>
            <w:tcW w:type="dxa" w:w="5976"/>
            <w:tcMar>
              <w:top w:w="90" w:type="dxa"/>
              <w:start w:w="120" w:type="dxa"/>
              <w:bottom w:w="90" w:type="dxa"/>
              <w:end w:w="120" w:type="dxa"/>
            </w:tcMar>
          </w:tcPr>
          <w:p>
            <w:pPr>
              <w:spacing w:after="0" w:line="252" w:lineRule="auto"/>
            </w:pPr>
            <w:r>
              <w:rPr>
                <w:b w:val="0"/>
                <w:color w:val="17324D"/>
                <w:sz w:val="17"/>
              </w:rPr>
              <w:t>给出五阶段安排、成果清单和总结。</w:t>
            </w:r>
          </w:p>
        </w:tc>
        <w:tc>
          <w:tcPr>
            <w:tcW w:type="dxa" w:w="1080"/>
            <w:tcMar>
              <w:top w:w="90" w:type="dxa"/>
              <w:start w:w="120" w:type="dxa"/>
              <w:bottom w:w="90" w:type="dxa"/>
              <w:end w:w="120" w:type="dxa"/>
            </w:tcMar>
          </w:tcPr>
          <w:p>
            <w:pPr>
              <w:spacing w:after="0" w:line="252" w:lineRule="auto"/>
            </w:pPr>
            <w:r>
              <w:rPr>
                <w:b w:val="0"/>
                <w:color w:val="17324D"/>
                <w:sz w:val="17"/>
              </w:rPr>
              <w:t>1.3 min</w:t>
            </w:r>
          </w:p>
        </w:tc>
      </w:tr>
    </w:tbl>
    <w:tbl>
      <w:tblPr>
        <w:tblW w:type="auto" w:w="0"/>
        <w:jc w:val="center"/>
        <w:tblLayout w:type="fixed"/>
        <w:tblLook w:firstColumn="1" w:firstRow="1" w:lastColumn="0" w:lastRow="0" w:noHBand="0" w:noVBand="1" w:val="04A0"/>
        <w:tblBorders>
          <w:top w:val="single" w:sz="10" w:color="0EA5C6"/>
          <w:left w:val="single" w:sz="10" w:color="0EA5C6"/>
          <w:bottom w:val="single" w:sz="10" w:color="0EA5C6"/>
          <w:right w:val="single" w:sz="10" w:color="0EA5C6"/>
          <w:insideH w:val="single" w:sz="10" w:color="0EA5C6"/>
          <w:insideV w:val="single" w:sz="10" w:color="0EA5C6"/>
        </w:tblBorders>
      </w:tblPr>
      <w:tblGrid>
        <w:gridCol w:w="9677"/>
      </w:tblGrid>
      <w:tr>
        <w:tc>
          <w:tcPr>
            <w:tcW w:type="dxa" w:w="9677"/>
            <w:shd w:fill="EAF8FB"/>
            <w:tcMar>
              <w:top w:w="120" w:type="dxa"/>
              <w:start w:w="160" w:type="dxa"/>
              <w:bottom w:w="120" w:type="dxa"/>
              <w:end w:w="160" w:type="dxa"/>
            </w:tcMar>
          </w:tcPr>
          <w:p>
            <w:pPr>
              <w:spacing w:after="0" w:line="276" w:lineRule="auto"/>
            </w:pPr>
            <w:r>
              <w:rPr>
                <w:rFonts w:ascii="Microsoft YaHei" w:hAnsi="Microsoft YaHei" w:eastAsia="Microsoft YaHei"/>
                <w:b/>
                <w:color w:val="0EA5C6"/>
              </w:rPr>
              <w:t xml:space="preserve">总时长建议  </w:t>
            </w:r>
            <w:r>
              <w:rPr>
                <w:rFonts w:ascii="Microsoft YaHei" w:hAnsi="Microsoft YaHei" w:eastAsia="Microsoft YaHei"/>
                <w:b/>
                <w:color w:val="092A55"/>
              </w:rPr>
              <w:t>正文控制在17分钟左右，预留3–5分钟回答“案例城市选择、数据可得性、模型可验证性、CAWCC是否过度概念化”等问题。</w:t>
            </w:r>
          </w:p>
        </w:tc>
      </w:tr>
    </w:tbl>
    <w:p>
      <w:pPr>
        <w:spacing w:after="0"/>
      </w:pPr>
    </w:p>
    <w:p>
      <w:r>
        <w:br w:type="page"/>
      </w:r>
    </w:p>
    <w:p>
      <w:pPr>
        <w:spacing w:after="20"/>
      </w:pPr>
      <w:r>
        <w:rPr>
          <w:b/>
          <w:color w:val="0EA5C6"/>
          <w:sz w:val="18"/>
        </w:rPr>
        <w:t>01</w:t>
      </w:r>
    </w:p>
    <w:p>
      <w:pPr>
        <w:spacing w:after="20"/>
      </w:pPr>
      <w:r>
        <w:rPr>
          <w:b/>
          <w:color w:val="092A55"/>
          <w:sz w:val="36"/>
        </w:rPr>
        <w:t>课题概览</w:t>
      </w:r>
    </w:p>
    <w:p>
      <w:pPr>
        <w:spacing w:after="160"/>
      </w:pPr>
      <w:r>
        <w:rPr>
          <w:b/>
          <w:color w:val="0EA5C6"/>
          <w:sz w:val="18"/>
        </w:rPr>
        <w:t>OVERVIEW</w:t>
      </w:r>
    </w:p>
    <w:p>
      <w:pPr>
        <w:pStyle w:val="Lead"/>
      </w:pPr>
      <w:r>
        <w:t>AI算力中心以高密度、连续且受气候影响的负荷形态进入城市水循环。</w:t>
      </w:r>
    </w:p>
    <w:p>
      <w:pPr>
        <w:pStyle w:val="Heading2"/>
      </w:pPr>
      <w:r>
        <w:t>页面内容</w:t>
      </w:r>
    </w:p>
    <w:p>
      <w:pPr>
        <w:pStyle w:val="ListBullet"/>
      </w:pPr>
      <w:r>
        <w:t>主标题：AI算力基础设施驱动下城市人工水系统代谢响应与条件化承载边界研究。</w:t>
      </w:r>
    </w:p>
    <w:p>
      <w:pPr>
        <w:pStyle w:val="ListBullet"/>
      </w:pPr>
      <w:r>
        <w:t>英文副标题：Urban Water Metabolism Responses and Conditional Carrying Capacity under AI Computing Infrastructure.</w:t>
      </w:r>
    </w:p>
    <w:p>
      <w:pPr>
        <w:pStyle w:val="ListBullet"/>
      </w:pPr>
      <w:r>
        <w:t>研究主线：AI算力中心如何改变城市水循环，并在什么条件下触及容量边界。</w:t>
      </w:r>
    </w:p>
    <w:p>
      <w:pPr>
        <w:pStyle w:val="ListBullet"/>
      </w:pPr>
      <w:r>
        <w:t>页脚信息：汇报人[姓名]｜导师[姓名]｜培养单位[单位]｜答辩日期[日期]。</w:t>
      </w:r>
    </w:p>
    <w:p>
      <w:pPr>
        <w:pStyle w:val="Heading2"/>
      </w:pPr>
      <w:r>
        <w:t>图表与视觉设计</w:t>
      </w:r>
    </w:p>
    <w:p>
      <w:pPr>
        <w:pStyle w:val="ListBullet"/>
      </w:pPr>
      <w:r>
        <w:t>主视觉采用“AI服务器/芯片—热排散—冷却水—城市给水—污水—再生水”闭环图标；水流弧线形成全套PPT重复母题。</w:t>
      </w:r>
    </w:p>
    <w:p>
      <w:pPr>
        <w:pStyle w:val="ListBullet"/>
      </w:pPr>
      <w:r>
        <w:t>封面与正文均使用白色背景；标题采用深海蓝，水流、容量边界和研究对象采用青色，局部冰蓝色块用于分区。</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左侧约60%放中英文题目与研究主线，右侧约40%放AI-UWM闭环主视觉；底部放身份信息。</w:t>
      </w:r>
    </w:p>
    <w:p>
      <w:pPr>
        <w:pStyle w:val="Heading2"/>
      </w:pPr>
      <w:r>
        <w:t>讲述思路</w:t>
      </w:r>
    </w:p>
    <w:p>
      <w:pPr>
        <w:pStyle w:val="ListBullet"/>
      </w:pPr>
      <w:r>
        <w:t>开场从一个直观事实切入：AI规模化部署产生大量热量，冷却需求会继续传导到供水、污水和再生水系统。</w:t>
      </w:r>
    </w:p>
    <w:p>
      <w:pPr>
        <w:pStyle w:val="ListBullet"/>
      </w:pPr>
      <w:r>
        <w:t>随后点明研究目标：识别不同城市条件下的可行容量，并找到限制环节发生变化的位置。</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开题报告摘要、1.1.1–1.1.3、1.4。</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开场用简短例子解释“城市人工水系统”和“条件化承载边界”，让封面同时承担破题作用。</w:t>
      </w:r>
    </w:p>
    <w:p>
      <w:r>
        <w:br w:type="page"/>
      </w:r>
    </w:p>
    <w:p>
      <w:pPr>
        <w:spacing w:after="20"/>
      </w:pPr>
      <w:r>
        <w:rPr>
          <w:b/>
          <w:color w:val="0EA5C6"/>
          <w:sz w:val="18"/>
        </w:rPr>
        <w:t>02</w:t>
      </w:r>
    </w:p>
    <w:p>
      <w:pPr>
        <w:spacing w:after="20"/>
      </w:pPr>
      <w:r>
        <w:rPr>
          <w:b/>
          <w:color w:val="092A55"/>
          <w:sz w:val="36"/>
        </w:rPr>
        <w:t>研究背景</w:t>
      </w:r>
    </w:p>
    <w:p>
      <w:pPr>
        <w:spacing w:after="160"/>
      </w:pPr>
      <w:r>
        <w:rPr>
          <w:b/>
          <w:color w:val="0EA5C6"/>
          <w:sz w:val="18"/>
        </w:rPr>
        <w:t>BACKGROUND</w:t>
      </w:r>
    </w:p>
    <w:p>
      <w:pPr>
        <w:pStyle w:val="Lead"/>
      </w:pPr>
      <w:r>
        <w:t>同样规模的AI算力中心，落在不同城市，会形成差别很大的用水压力。</w:t>
      </w:r>
    </w:p>
    <w:p>
      <w:pPr>
        <w:pStyle w:val="Heading2"/>
      </w:pPr>
      <w:r>
        <w:t>页面内容</w:t>
      </w:r>
    </w:p>
    <w:p>
      <w:pPr>
        <w:pStyle w:val="ListBullet"/>
      </w:pPr>
      <w:r>
        <w:t>算力设施扩张｜大语言模型、多模态生成、推理、视频与智能体推动GPU集群形成高功率密度、连续负荷节点。</w:t>
      </w:r>
    </w:p>
    <w:p>
      <w:pPr>
        <w:pStyle w:val="ListBullet"/>
      </w:pPr>
      <w:r>
        <w:t>城市差异｜数据中心用水同时受服务器效率、利用率、PUE、冷却技术、气候、电网与空间布局影响，单位工作负载水消耗可跨越四个数量级以上。</w:t>
      </w:r>
    </w:p>
    <w:p>
      <w:pPr>
        <w:pStyle w:val="ListBullet"/>
      </w:pPr>
      <w:r>
        <w:t>系统传导｜新增AI负荷沿“取水—给水—终端冷却—蒸发消耗—排污回流—污水处理—再生利用—环境排放”传播。</w:t>
      </w:r>
    </w:p>
    <w:p>
      <w:pPr>
        <w:pStyle w:val="ListBullet"/>
      </w:pPr>
      <w:r>
        <w:t>研究由年度用水量进一步深入到三个问题：水流结构怎样变化、设施峰值何时出现、城市还能容纳多少新增算力。</w:t>
      </w:r>
    </w:p>
    <w:p>
      <w:pPr>
        <w:pStyle w:val="Heading2"/>
      </w:pPr>
      <w:r>
        <w:t>图表与视觉设计</w:t>
      </w:r>
    </w:p>
    <w:p>
      <w:pPr>
        <w:pStyle w:val="ListBullet"/>
      </w:pPr>
      <w:r>
        <w:t>左上：AI计算需求/数据中心能耗趋势示意折线，表达增长方向，并采用报告中可核验的数据。</w:t>
      </w:r>
    </w:p>
    <w:p>
      <w:pPr>
        <w:pStyle w:val="ListBullet"/>
      </w:pPr>
      <w:r>
        <w:t>右上：城市差异对比卡——冷凉富水/再生水充足 vs. 炎热缺水/设施裕度低。</w:t>
      </w:r>
    </w:p>
    <w:p>
      <w:pPr>
        <w:pStyle w:val="ListBullet"/>
      </w:pPr>
      <w:r>
        <w:t>下半：一条城市水流传导链，用蒸发、回流与再生水三个分叉强调Withdrawal、Consumption、Return Flow不同。</w:t>
      </w:r>
    </w:p>
    <w:p>
      <w:pPr>
        <w:pStyle w:val="ListBullet"/>
      </w:pPr>
      <w:r>
        <w:t>设置大数字“&gt;4 orders of magnitude”作为证据锚点，并标注文献[7]。</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上部两列证据，下部横向传播链；页面以城市差异为中心，标题保持简短，副句给出本页判断。</w:t>
      </w:r>
    </w:p>
    <w:p>
      <w:pPr>
        <w:pStyle w:val="Heading2"/>
      </w:pPr>
      <w:r>
        <w:t>讲述思路</w:t>
      </w:r>
    </w:p>
    <w:p>
      <w:pPr>
        <w:pStyle w:val="ListBullet"/>
      </w:pPr>
      <w:r>
        <w:t>先讲AI规模化的物理性，再讲水影响的局地异质性，最后引出城市水系统这一研究边界。</w:t>
      </w:r>
    </w:p>
    <w:p>
      <w:pPr>
        <w:pStyle w:val="ListBullet"/>
      </w:pPr>
      <w:r>
        <w:t>本地物理水流、能源、运营碳和间接电力水足迹分别设账，结果逐项报告。</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IEA[1–3]；Mytton[6]；Lei等[7]；Xiao等[8]；Jiang等[9]；政策文件[10]。</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“四个数量级”需要注明是单位工作负载水消耗差异，按原文写作为单个数据中心年用水差异；趋势图采用可核验数据或明确标注为示意。</w:t>
      </w:r>
    </w:p>
    <w:p>
      <w:r>
        <w:br w:type="page"/>
      </w:r>
    </w:p>
    <w:p>
      <w:pPr>
        <w:spacing w:after="20"/>
      </w:pPr>
      <w:r>
        <w:rPr>
          <w:b/>
          <w:color w:val="0EA5C6"/>
          <w:sz w:val="18"/>
        </w:rPr>
        <w:t>03</w:t>
      </w:r>
    </w:p>
    <w:p>
      <w:pPr>
        <w:spacing w:after="20"/>
      </w:pPr>
      <w:r>
        <w:rPr>
          <w:b/>
          <w:color w:val="092A55"/>
          <w:sz w:val="36"/>
        </w:rPr>
        <w:t>理论基础</w:t>
      </w:r>
    </w:p>
    <w:p>
      <w:pPr>
        <w:spacing w:after="160"/>
      </w:pPr>
      <w:r>
        <w:rPr>
          <w:b/>
          <w:color w:val="0EA5C6"/>
          <w:sz w:val="18"/>
        </w:rPr>
        <w:t>THEORY</w:t>
      </w:r>
    </w:p>
    <w:p>
      <w:pPr>
        <w:pStyle w:val="Lead"/>
      </w:pPr>
      <w:r>
        <w:t>城市水代谢关注水从哪里来、怎样流动、在哪里消耗，又有多少回到系统中。</w:t>
      </w:r>
    </w:p>
    <w:p>
      <w:pPr>
        <w:pStyle w:val="Heading2"/>
      </w:pPr>
      <w:r>
        <w:t>页面内容</w:t>
      </w:r>
    </w:p>
    <w:p>
      <w:pPr>
        <w:pStyle w:val="ListBullet"/>
      </w:pPr>
      <w:r>
        <w:t>城市代谢｜城市是依赖外部水、能源和物质输入，通过内部转换、储存、再利用与输出维持运行的开放系统。</w:t>
      </w:r>
    </w:p>
    <w:p>
      <w:pPr>
        <w:pStyle w:val="ListBullet"/>
      </w:pPr>
      <w:r>
        <w:t>全水系统｜从单一供水/排水模拟转向覆盖给水、需求、污水、再生水和环境排放的全水循环质量守恒。</w:t>
      </w:r>
    </w:p>
    <w:p>
      <w:pPr>
        <w:pStyle w:val="ListBullet"/>
      </w:pPr>
      <w:r>
        <w:t>操作化对象：节点集合N、互斥完备的关键流路径集合L、逐日流量Q(t)。</w:t>
      </w:r>
    </w:p>
    <w:p>
      <w:pPr>
        <w:pStyle w:val="ListBullet"/>
      </w:pPr>
      <w:r>
        <w:t>四类核心代谢指标：淡水依赖率、内部循环率、消耗率、回流率；另用流份额总变差距离D_met度量路径结构重组。</w:t>
      </w:r>
    </w:p>
    <w:p>
      <w:pPr>
        <w:pStyle w:val="ListBullet"/>
      </w:pPr>
      <w:r>
        <w:t>解释规则：D_met接近0表示主要是规模增长；D_met增大表示水源—用户—污水—再利用路径份额发生重构。</w:t>
      </w:r>
    </w:p>
    <w:p>
      <w:pPr>
        <w:pStyle w:val="Heading2"/>
      </w:pPr>
      <w:r>
        <w:t>图表与视觉设计</w:t>
      </w:r>
    </w:p>
    <w:p>
      <w:pPr>
        <w:pStyle w:val="ListBullet"/>
      </w:pPr>
      <w:r>
        <w:t>中央放城市水循环网络：外部水源→WTW→城市用户/AI→WWTW→再生水→AI/其他用户→排放。</w:t>
      </w:r>
    </w:p>
    <w:p>
      <w:pPr>
        <w:pStyle w:val="ListBullet"/>
      </w:pPr>
      <w:r>
        <w:t>网络周围放四个指标环：Freshwater dependency、Internal cycling、Consumption、Return flow。</w:t>
      </w:r>
    </w:p>
    <w:p>
      <w:pPr>
        <w:pStyle w:val="ListBullet"/>
      </w:pPr>
      <w:r>
        <w:t>右下角用两组简化流份额条形图说明“总量增长”和“结构重组”的差异。</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中央网络图占约55%，左侧理论来源，右侧指标与解释；公式只保留D_met名称与含义，不在主PPT铺开完整推导。</w:t>
      </w:r>
    </w:p>
    <w:p>
      <w:pPr>
        <w:pStyle w:val="Heading2"/>
      </w:pPr>
      <w:r>
        <w:t>讲述思路</w:t>
      </w:r>
    </w:p>
    <w:p>
      <w:pPr>
        <w:pStyle w:val="ListBullet"/>
      </w:pPr>
      <w:r>
        <w:t>先把“代谢”落到可计算的节点、路径和指标上。</w:t>
      </w:r>
    </w:p>
    <w:p>
      <w:pPr>
        <w:pStyle w:val="ListBullet"/>
      </w:pPr>
      <w:r>
        <w:t>再区分真实结构变化与容量上限造成的机械折点。</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Wolman等[11–14]；WaterMet²、综合城市水模型与WSIMOD[15–19]；生态网络/系统动力学研究[20–22]；开题报告3.4。</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清楚说明D_met使用共同分母、路径互斥且合计为1；不满足条件的指标单独报告。</w:t>
      </w:r>
    </w:p>
    <w:p>
      <w:r>
        <w:br w:type="page"/>
      </w:r>
    </w:p>
    <w:p>
      <w:pPr>
        <w:spacing w:after="20"/>
      </w:pPr>
      <w:r>
        <w:rPr>
          <w:b/>
          <w:color w:val="0EA5C6"/>
          <w:sz w:val="18"/>
        </w:rPr>
        <w:t>04</w:t>
      </w:r>
    </w:p>
    <w:p>
      <w:pPr>
        <w:spacing w:after="20"/>
      </w:pPr>
      <w:r>
        <w:rPr>
          <w:b/>
          <w:color w:val="092A55"/>
          <w:sz w:val="36"/>
        </w:rPr>
        <w:t>研究现状</w:t>
      </w:r>
    </w:p>
    <w:p>
      <w:pPr>
        <w:spacing w:after="160"/>
      </w:pPr>
      <w:r>
        <w:rPr>
          <w:b/>
          <w:color w:val="0EA5C6"/>
          <w:sz w:val="18"/>
        </w:rPr>
        <w:t>RESEARCH PROGRESS</w:t>
      </w:r>
    </w:p>
    <w:p>
      <w:pPr>
        <w:pStyle w:val="Lead"/>
      </w:pPr>
      <w:r>
        <w:t>现有研究已覆盖模型、服务器和区域水足迹，城市全水循环和日尺度容量仍有较大研究空间。</w:t>
      </w:r>
    </w:p>
    <w:p>
      <w:pPr>
        <w:pStyle w:val="Heading2"/>
      </w:pPr>
      <w:r>
        <w:t>页面内容</w:t>
      </w:r>
    </w:p>
    <w:p>
      <w:pPr>
        <w:pStyle w:val="ListBullet"/>
      </w:pPr>
      <w:r>
        <w:t>尺度演进：工作负载/服务器 → 单体数据中心 → 区域/国家足迹 → 公共供水峰值 → 城市循环系统。</w:t>
      </w:r>
    </w:p>
    <w:p>
      <w:pPr>
        <w:pStyle w:val="ListBullet"/>
      </w:pPr>
      <w:r>
        <w:t>国外进展：AI能源与碳报告体系、数据中心直接/间接水足迹、概率情景预测、冷却生命周期评价、公共供水峰值及数据中心—污水厂协同。</w:t>
      </w:r>
    </w:p>
    <w:p>
      <w:pPr>
        <w:pStyle w:val="ListBullet"/>
      </w:pPr>
      <w:r>
        <w:t>国内进展：数据中心设施级水足迹与水资源短缺空间错配、绿色低碳政策、数据中心水资源使用效率标准，以及水资源承载力和城市水系统模拟。</w:t>
      </w:r>
    </w:p>
    <w:p>
      <w:pPr>
        <w:pStyle w:val="ListBullet"/>
      </w:pPr>
      <w:r>
        <w:t>设施—城市耦合｜有待建立IT容量到给水—污水—再生水的日尺度闭环。</w:t>
      </w:r>
    </w:p>
    <w:p>
      <w:pPr>
        <w:pStyle w:val="ListBullet"/>
      </w:pPr>
      <w:r>
        <w:t>代谢结构｜有待补充淡水依赖、消耗—回流和内部循环重构分析。</w:t>
      </w:r>
    </w:p>
    <w:p>
      <w:pPr>
        <w:pStyle w:val="ListBullet"/>
      </w:pPr>
      <w:r>
        <w:t>峰值与瓶颈｜需要量化“年均仍有余量、峰值已经承压”的幅度。</w:t>
      </w:r>
    </w:p>
    <w:p>
      <w:pPr>
        <w:pStyle w:val="ListBullet"/>
      </w:pPr>
      <w:r>
        <w:t>容量规划｜需要形成可直接用于规划的MW/GW IT安全容量及概率区间。</w:t>
      </w:r>
    </w:p>
    <w:p>
      <w:pPr>
        <w:pStyle w:val="Heading2"/>
      </w:pPr>
      <w:r>
        <w:t>图表与视觉设计</w:t>
      </w:r>
    </w:p>
    <w:p>
      <w:pPr>
        <w:pStyle w:val="ListBullet"/>
      </w:pPr>
      <w:r>
        <w:t>顶部用五尺度阶梯图，末端“Urban Loop”用青色高亮。</w:t>
      </w:r>
    </w:p>
    <w:p>
      <w:pPr>
        <w:pStyle w:val="ListBullet"/>
      </w:pPr>
      <w:r>
        <w:t>中部左右两栏分别概括国内/国外代表进展，用代表性研究归纳主要进展，底部用4张空白卡锁定研究增量。</w:t>
      </w:r>
    </w:p>
    <w:p>
      <w:pPr>
        <w:pStyle w:val="ListBullet"/>
      </w:pPr>
      <w:r>
        <w:t>角标注明2026年前沿预印本用于提出问题和设置对照，不作为关键参数唯一证据。</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上部35%做尺度演进，中部25%做国内外进展，下部40%做四个待推进工作。</w:t>
      </w:r>
    </w:p>
    <w:p>
      <w:pPr>
        <w:pStyle w:val="Heading2"/>
      </w:pPr>
      <w:r>
        <w:t>讲述思路</w:t>
      </w:r>
    </w:p>
    <w:p>
      <w:pPr>
        <w:pStyle w:val="ListBullet"/>
      </w:pPr>
      <w:r>
        <w:t>相关工作按研究尺度梳理文献，自然引出“为什么需要做城市循环模型”。</w:t>
      </w:r>
    </w:p>
    <w:p>
      <w:pPr>
        <w:pStyle w:val="ListBullet"/>
      </w:pPr>
      <w:r>
        <w:t>用三个可检验增量收束：守恒闭环、时间尺度偏差、瓶颈转换/再生水收益转折。</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AI/数据中心环境足迹[30–41]；冷却与再生水工程[42–52]；承载能力[53–61]；2026前沿[41,78,79]；标准[82–84]。</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预印本用于说明前沿问题，成熟文献和工程标准承担关键证据；国内外研究均从方法、尺度和标准三个方面归纳。</w:t>
      </w:r>
    </w:p>
    <w:p>
      <w:r>
        <w:br w:type="page"/>
      </w:r>
    </w:p>
    <w:p>
      <w:pPr>
        <w:spacing w:after="20"/>
      </w:pPr>
      <w:r>
        <w:rPr>
          <w:b/>
          <w:color w:val="0EA5C6"/>
          <w:sz w:val="18"/>
        </w:rPr>
        <w:t>05</w:t>
      </w:r>
    </w:p>
    <w:p>
      <w:pPr>
        <w:spacing w:after="20"/>
      </w:pPr>
      <w:r>
        <w:rPr>
          <w:b/>
          <w:color w:val="092A55"/>
          <w:sz w:val="36"/>
        </w:rPr>
        <w:t>问题与假设</w:t>
      </w:r>
    </w:p>
    <w:p>
      <w:pPr>
        <w:spacing w:after="160"/>
      </w:pPr>
      <w:r>
        <w:rPr>
          <w:b/>
          <w:color w:val="0EA5C6"/>
          <w:sz w:val="18"/>
        </w:rPr>
        <w:t>QUESTIONS &amp; HYPOTHESES</w:t>
      </w:r>
    </w:p>
    <w:p>
      <w:pPr>
        <w:pStyle w:val="Lead"/>
      </w:pPr>
      <w:r>
        <w:t>三个科学问题分别考察代谢结构、时间尺度和瓶颈转换，并用量化判据检验。</w:t>
      </w:r>
    </w:p>
    <w:p>
      <w:pPr>
        <w:pStyle w:val="Heading2"/>
      </w:pPr>
      <w:r>
        <w:t>页面内容</w:t>
      </w:r>
    </w:p>
    <w:p>
      <w:pPr>
        <w:pStyle w:val="ListBullet"/>
      </w:pPr>
      <w:r>
        <w:t>RQ1 / H1｜代谢结构响应：AI相对负荷是否引发稳定非线性结构区间？判据为非线性模型相对线性基准的交叉验证误差至少降低10%，并与等效普通工业节点比较。</w:t>
      </w:r>
    </w:p>
    <w:p>
      <w:pPr>
        <w:pStyle w:val="ListBullet"/>
      </w:pPr>
      <w:r>
        <w:t>RQ2 / H2｜时间尺度边界：年均、日尺度与极端周小时尺度给出怎样的CAWCC？更强命题要求边界提前随最小设施裕度下降、峰值重合升高而增加，并在留出城市解释至少60%变异；小时校核使CAWCC再降&gt;10%时需要修正日模型。</w:t>
      </w:r>
    </w:p>
    <w:p>
      <w:pPr>
        <w:pStyle w:val="ListBullet"/>
      </w:pPr>
      <w:r>
        <w:t>RQ3 / H3｜瓶颈与再生水转折：水源、接入点、给水、污水、再生水约束如何转换？主导约束分类在留出样本中准确率目标≥80%；再生水边际收益降至初始值20%以下时识别转折机制。</w:t>
      </w:r>
    </w:p>
    <w:p>
      <w:pPr>
        <w:pStyle w:val="ListBullet"/>
      </w:pPr>
      <w:r>
        <w:t>判断规则：达到阈值时支持相应假设；结果随抽样或先验明显变化时，报告适用条件和变化范围。</w:t>
      </w:r>
    </w:p>
    <w:p>
      <w:pPr>
        <w:pStyle w:val="Heading2"/>
      </w:pPr>
      <w:r>
        <w:t>图表与视觉设计</w:t>
      </w:r>
    </w:p>
    <w:p>
      <w:pPr>
        <w:pStyle w:val="ListBullet"/>
      </w:pPr>
      <w:r>
        <w:t>三行“RQ→机制→假设→判据”卡片，每行右端放大一个阈值：10%、60%/10%、80%/20%。</w:t>
      </w:r>
    </w:p>
    <w:p>
      <w:pPr>
        <w:pStyle w:val="ListBullet"/>
      </w:pPr>
      <w:r>
        <w:t>底部放AI节点与等效普通工业冷却节点对照示意：保持年用水、峰值热负荷和接入能力一致，只改变连续性、峰值时序与湿球温度响应。</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三行卡片占80%，底部对照图占20%；本页文字较多但通过四列结构压缩。</w:t>
      </w:r>
    </w:p>
    <w:p>
      <w:pPr>
        <w:pStyle w:val="Heading2"/>
      </w:pPr>
      <w:r>
        <w:t>讲述思路</w:t>
      </w:r>
    </w:p>
    <w:p>
      <w:pPr>
        <w:pStyle w:val="ListBullet"/>
      </w:pPr>
      <w:r>
        <w:t>答辩时先说问题，再说如何被证伪；说明AI节点与等效工业节点的差异由对照结果判断。</w:t>
      </w:r>
    </w:p>
    <w:p>
      <w:pPr>
        <w:pStyle w:val="ListBullet"/>
      </w:pPr>
      <w:r>
        <w:t>解释所有容量min/max截断点单独标记，机械折点单独标记，与代谢非线性分开解释。</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开题报告3.1–3.2、5.3.1。</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阈值需要与报告一致；“至少一类城市原型”按原文表述；H2的60%是解释变异比例，表示解释变异比例。</w:t>
      </w:r>
    </w:p>
    <w:p>
      <w:r>
        <w:br w:type="page"/>
      </w:r>
    </w:p>
    <w:p>
      <w:pPr>
        <w:spacing w:after="20"/>
      </w:pPr>
      <w:r>
        <w:rPr>
          <w:b/>
          <w:color w:val="0EA5C6"/>
          <w:sz w:val="18"/>
        </w:rPr>
        <w:t>06</w:t>
      </w:r>
    </w:p>
    <w:p>
      <w:pPr>
        <w:spacing w:after="20"/>
      </w:pPr>
      <w:r>
        <w:rPr>
          <w:b/>
          <w:color w:val="092A55"/>
          <w:sz w:val="36"/>
        </w:rPr>
        <w:t>总体框架</w:t>
      </w:r>
    </w:p>
    <w:p>
      <w:pPr>
        <w:spacing w:after="160"/>
      </w:pPr>
      <w:r>
        <w:rPr>
          <w:b/>
          <w:color w:val="0EA5C6"/>
          <w:sz w:val="18"/>
        </w:rPr>
        <w:t>FRAMEWORK</w:t>
      </w:r>
    </w:p>
    <w:p>
      <w:pPr>
        <w:pStyle w:val="Lead"/>
      </w:pPr>
      <w:r>
        <w:t>AI-UWM把算力中心的热与水过程接入城市水循环，并把模拟结果转化为容量判断。</w:t>
      </w:r>
    </w:p>
    <w:p>
      <w:pPr>
        <w:pStyle w:val="Heading2"/>
      </w:pPr>
      <w:r>
        <w:t>页面内容</w:t>
      </w:r>
    </w:p>
    <w:p>
      <w:pPr>
        <w:pStyle w:val="ListBullet"/>
      </w:pPr>
      <w:r>
        <w:t>总体目标：面向2035年AI算力扩张，建立边界透明、质量守恒、参数可审计、过程可验证、不确定性显式的AI—城市人工水系统代谢动态模型。</w:t>
      </w:r>
    </w:p>
    <w:p>
      <w:pPr>
        <w:pStyle w:val="ListBullet"/>
      </w:pPr>
      <w:r>
        <w:t>输入层：城市状态、传统需水、气象/气候、水源、设施能力、AI IT容量、负载、冷却架构、水质与政策。</w:t>
      </w:r>
    </w:p>
    <w:p>
      <w:pPr>
        <w:pStyle w:val="ListBullet"/>
      </w:pPr>
      <w:r>
        <w:t>过程层：AI能耗/热排散、冷却水量、水源分配、给水、污水、再生水、储量/溢流/缺口及能源—运营碳账户。</w:t>
      </w:r>
    </w:p>
    <w:p>
      <w:pPr>
        <w:pStyle w:val="ListBullet"/>
      </w:pPr>
      <w:r>
        <w:t>实验层：Baseline反事实、AI—等效工业对照、2035增长路径、0–3 GW容量扫描、高温—干旱复合压力。</w:t>
      </w:r>
    </w:p>
    <w:p>
      <w:pPr>
        <w:pStyle w:val="ListBullet"/>
      </w:pPr>
      <w:r>
        <w:t>输出层：代谢结构响应、年均—日—小时边界提前、四层CAWCC、主导/共同主导瓶颈、再生水收益转折、概率安全容量。</w:t>
      </w:r>
    </w:p>
    <w:p>
      <w:pPr>
        <w:pStyle w:val="ListBullet"/>
      </w:pPr>
      <w:r>
        <w:t>研究范围：聚焦城市水量与设施容量；管网瞬态、芯片级热仿真、CFD和电网扩容采用外部参数；核心模型通过验证后，再开展固定容量下的水—能—碳—成本比较。</w:t>
      </w:r>
    </w:p>
    <w:p>
      <w:pPr>
        <w:pStyle w:val="Heading2"/>
      </w:pPr>
      <w:r>
        <w:t>图表与视觉设计</w:t>
      </w:r>
    </w:p>
    <w:p>
      <w:pPr>
        <w:pStyle w:val="ListBullet"/>
      </w:pPr>
      <w:r>
        <w:t>主图采用四层纵向框架“Drivers → AI-UWM Process → Stress Tests → Decision Outputs”。</w:t>
      </w:r>
    </w:p>
    <w:p>
      <w:pPr>
        <w:pStyle w:val="ListBullet"/>
      </w:pPr>
      <w:r>
        <w:t>AI-UWM过程层绘成带回流的闭环，明确回流与再生水反馈；右侧放“Core / Conditional / Out of scope”范围标签。</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全页以总体框架图为主，文字只作为每层3–5个短标签；底部用一行范围控制。</w:t>
      </w:r>
    </w:p>
    <w:p>
      <w:pPr>
        <w:pStyle w:val="Heading2"/>
      </w:pPr>
      <w:r>
        <w:t>讲述思路</w:t>
      </w:r>
    </w:p>
    <w:p>
      <w:pPr>
        <w:pStyle w:val="ListBullet"/>
      </w:pPr>
      <w:r>
        <w:t>强调框架的博士论文主线，核心贡献集中在守恒闭环、容量边界和瓶颈转换。</w:t>
      </w:r>
    </w:p>
    <w:p>
      <w:pPr>
        <w:pStyle w:val="ListBullet"/>
      </w:pPr>
      <w:r>
        <w:t>指出本地物理水流与异地电力水足迹分账户核算，并在图中标清账户边界。</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开题报告1.4、3.3、摘要及第4–6章结构。</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框架图清楚呈现回流反馈、局部接入点和水质约束；“0–3 GW”标注为应力扫描。</w:t>
      </w:r>
    </w:p>
    <w:p>
      <w:r>
        <w:br w:type="page"/>
      </w:r>
    </w:p>
    <w:p>
      <w:pPr>
        <w:spacing w:after="20"/>
      </w:pPr>
      <w:r>
        <w:rPr>
          <w:b/>
          <w:color w:val="0EA5C6"/>
          <w:sz w:val="18"/>
        </w:rPr>
        <w:t>07</w:t>
      </w:r>
    </w:p>
    <w:p>
      <w:pPr>
        <w:spacing w:after="20"/>
      </w:pPr>
      <w:r>
        <w:rPr>
          <w:b/>
          <w:color w:val="092A55"/>
          <w:sz w:val="36"/>
        </w:rPr>
        <w:t>作用机制</w:t>
      </w:r>
    </w:p>
    <w:p>
      <w:pPr>
        <w:spacing w:after="160"/>
      </w:pPr>
      <w:r>
        <w:rPr>
          <w:b/>
          <w:color w:val="0EA5C6"/>
          <w:sz w:val="18"/>
        </w:rPr>
        <w:t>MECHANISM</w:t>
      </w:r>
    </w:p>
    <w:p>
      <w:pPr>
        <w:pStyle w:val="Lead"/>
      </w:pPr>
      <w:r>
        <w:t>现场用水由服务器侧热捕集和设施侧末端排热共同决定。</w:t>
      </w:r>
    </w:p>
    <w:p>
      <w:pPr>
        <w:pStyle w:val="Heading2"/>
      </w:pPr>
      <w:r>
        <w:t>页面内容</w:t>
      </w:r>
    </w:p>
    <w:p>
      <w:pPr>
        <w:pStyle w:val="ListBullet"/>
      </w:pPr>
      <w:r>
        <w:t>计算与能量：IT安装容量 × 负载率 → IT能耗；设施总能耗由PUE条件化；需排散热量由IT与设施能耗边界确定。</w:t>
      </w:r>
    </w:p>
    <w:p>
      <w:pPr>
        <w:pStyle w:val="ListBullet"/>
      </w:pPr>
      <w:r>
        <w:t>冷却架构二维化：服务器侧为空气冷却、direct-to-chip液冷、浸没式液冷；末端排热为蒸发湿式、干式、干湿混合等。</w:t>
      </w:r>
    </w:p>
    <w:p>
      <w:pPr>
        <w:pStyle w:val="ListBullet"/>
      </w:pPr>
      <w:r>
        <w:t>湿侧水量：冷却补水 = 蒸发 + 漂水 + 排污 − 内部回收；排污受浓缩倍数CoC、水质和温度/药剂负荷约束。</w:t>
      </w:r>
    </w:p>
    <w:p>
      <w:pPr>
        <w:pStyle w:val="ListBullet"/>
      </w:pPr>
      <w:r>
        <w:t>城市闭环：AI外部补水进入给水/再生水分配；蒸发进入需要恢复消耗；排污回流进入污水系统并可能转化为再生水。</w:t>
      </w:r>
    </w:p>
    <w:p>
      <w:pPr>
        <w:pStyle w:val="ListBullet"/>
      </w:pPr>
      <w:r>
        <w:t>总量闭合：外部输入 + 储量减少 = 消耗 + 环境排放 + 储量增加 + 未满足需求；漏损、处理损失、溢流和缺口均显式记账。</w:t>
      </w:r>
    </w:p>
    <w:p>
      <w:pPr>
        <w:pStyle w:val="ListBullet"/>
      </w:pPr>
      <w:r>
        <w:t>账户分离：本地Withdrawal/Consumption/Return Flow与间接电力水足迹分开报告；水系统能源和运营碳另建账户。</w:t>
      </w:r>
    </w:p>
    <w:p>
      <w:pPr>
        <w:pStyle w:val="Heading2"/>
      </w:pPr>
      <w:r>
        <w:t>图表与视觉设计</w:t>
      </w:r>
    </w:p>
    <w:p>
      <w:pPr>
        <w:pStyle w:val="ListBullet"/>
      </w:pPr>
      <w:r>
        <w:t>主图绘制两条耦合链：上方“IT→Energy→Heat→Cooling”，下方“Water source→WTW→AI→WWTW→Reclaimed water→AI”。</w:t>
      </w:r>
    </w:p>
    <w:p>
      <w:pPr>
        <w:pStyle w:val="ListBullet"/>
      </w:pPr>
      <w:r>
        <w:t>用青色宽箭头表达水流、深蓝细箭头表达能量、橙色节点表达热；水质/CoC作为控制阀。</w:t>
      </w:r>
    </w:p>
    <w:p>
      <w:pPr>
        <w:pStyle w:val="ListBullet"/>
      </w:pPr>
      <w:r>
        <w:t>右侧放3个小公式或关系式，只保留变量关系，不堆完整公式编号。</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左/中约70%为机制与闭环图，右侧30%为质量守恒、CoC和账户边界。</w:t>
      </w:r>
    </w:p>
    <w:p>
      <w:pPr>
        <w:pStyle w:val="Heading2"/>
      </w:pPr>
      <w:r>
        <w:t>讲述思路</w:t>
      </w:r>
    </w:p>
    <w:p>
      <w:pPr>
        <w:pStyle w:val="ListBullet"/>
      </w:pPr>
      <w:r>
        <w:t>先解释服务器侧和末端排热的区别，这是评委最容易追问的工程点。</w:t>
      </w:r>
    </w:p>
    <w:p>
      <w:pPr>
        <w:pStyle w:val="ListBullet"/>
      </w:pPr>
      <w:r>
        <w:t>再说明为什么排污既是污水压力，也可能成为再生水源，从而导致非单调可行域。</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开题报告4.1–4.15；冷却综述[40–47]；再生水工程[48–52]。</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需要把PUE直接等同于水耗；清楚呈现漂水、排污、内部回收和水质约束；液冷节水效果随末端排热和气候条件变化。</w:t>
      </w:r>
    </w:p>
    <w:p>
      <w:r>
        <w:br w:type="page"/>
      </w:r>
    </w:p>
    <w:p>
      <w:pPr>
        <w:spacing w:after="20"/>
      </w:pPr>
      <w:r>
        <w:rPr>
          <w:b/>
          <w:color w:val="0EA5C6"/>
          <w:sz w:val="18"/>
        </w:rPr>
        <w:t>08</w:t>
      </w:r>
    </w:p>
    <w:p>
      <w:pPr>
        <w:spacing w:after="20"/>
      </w:pPr>
      <w:r>
        <w:rPr>
          <w:b/>
          <w:color w:val="092A55"/>
          <w:sz w:val="36"/>
        </w:rPr>
        <w:t>研究设计</w:t>
      </w:r>
    </w:p>
    <w:p>
      <w:pPr>
        <w:spacing w:after="160"/>
      </w:pPr>
      <w:r>
        <w:rPr>
          <w:b/>
          <w:color w:val="0EA5C6"/>
          <w:sz w:val="18"/>
        </w:rPr>
        <w:t>STUDY DESIGN</w:t>
      </w:r>
    </w:p>
    <w:p>
      <w:pPr>
        <w:pStyle w:val="Lead"/>
      </w:pPr>
      <w:r>
        <w:t>深度案例还原真实时序，城市锚点检验结果方向，连续参数扫描寻找一般规律。</w:t>
      </w:r>
    </w:p>
    <w:p>
      <w:pPr>
        <w:pStyle w:val="Heading2"/>
      </w:pPr>
      <w:r>
        <w:t>页面内容</w:t>
      </w:r>
    </w:p>
    <w:p>
      <w:pPr>
        <w:pStyle w:val="ListBullet"/>
      </w:pPr>
      <w:r>
        <w:t>三层设计：①1个深度案例城市，连续≥3年的日尺度供水/污水/再生水和小时气象；②3–6个轻量锚点城市，覆盖水资源裕度、热环境和再生水能力差异；③连续合成参数空间，用于响应面与机制识别。</w:t>
      </w:r>
    </w:p>
    <w:p>
      <w:pPr>
        <w:pStyle w:val="ListBullet"/>
      </w:pPr>
      <w:r>
        <w:t>数据门槛：水务日尺度≥3年；气象小时尺度≥3年且时段重叠；核心序列缺失率≤20%；设施设计/可用/安全能力分账；AI技术架构与边界可追溯。</w:t>
      </w:r>
    </w:p>
    <w:p>
      <w:pPr>
        <w:pStyle w:val="ListBullet"/>
      </w:pPr>
      <w:r>
        <w:t>对照设计：AI与等效普通工业冷却节点保持城市状态、年用水量、峰值热负荷和局部接入能力一致，只改变负荷连续性、峰值时序和气候敏感性。</w:t>
      </w:r>
    </w:p>
    <w:p>
      <w:pPr>
        <w:pStyle w:val="ListBullet"/>
      </w:pPr>
      <w:r>
        <w:t>时间尺度：日尺度为主模型；选择至少6个互不重叠的极端周，每周连续168小时，覆盖高温、干旱、传统需求峰值及组合。</w:t>
      </w:r>
    </w:p>
    <w:p>
      <w:pPr>
        <w:pStyle w:val="ListBullet"/>
      </w:pPr>
      <w:r>
        <w:t>四层可信度：Verification → Process Benchmark → Literature Benchmark → Structural Robustness。</w:t>
      </w:r>
    </w:p>
    <w:p>
      <w:pPr>
        <w:pStyle w:val="ListBullet"/>
      </w:pPr>
      <w:r>
        <w:t>预注册验收：质量平衡残差≤10⁻⁸；独立验证KGE≥0.60、|PBIAS|≤15%；过程Benchmark中位绝对百分误差≤15%、90分位≤30%；外部锚点瓶颈方向一致率≥80%。</w:t>
      </w:r>
    </w:p>
    <w:p>
      <w:pPr>
        <w:pStyle w:val="Heading2"/>
      </w:pPr>
      <w:r>
        <w:t>图表与视觉设计</w:t>
      </w:r>
    </w:p>
    <w:p>
      <w:pPr>
        <w:pStyle w:val="ListBullet"/>
      </w:pPr>
      <w:r>
        <w:t>左侧三层金字塔/阶梯图，标出每层的用途和数据要求。</w:t>
      </w:r>
    </w:p>
    <w:p>
      <w:pPr>
        <w:pStyle w:val="ListBullet"/>
      </w:pPr>
      <w:r>
        <w:t>右上放“数据—校准—时间留出—外部核验”流程；右下放四层验证门与四个关键阈值。</w:t>
      </w:r>
    </w:p>
    <w:p>
      <w:pPr>
        <w:pStyle w:val="ListBullet"/>
      </w:pPr>
      <w:r>
        <w:t>底部用两个负荷曲线对比AI节点与等效工业节点的时序差异。</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三栏结构：案例设计35%、数据与时间尺度30%、验证门槛35%；阈值用大号数字。</w:t>
      </w:r>
    </w:p>
    <w:p>
      <w:pPr>
        <w:pStyle w:val="Heading2"/>
      </w:pPr>
      <w:r>
        <w:t>讲述思路</w:t>
      </w:r>
    </w:p>
    <w:p>
      <w:pPr>
        <w:pStyle w:val="ListBullet"/>
      </w:pPr>
      <w:r>
        <w:t>外部锚点用于检验结果方向和瓶颈类型，完整时序校准由深度案例承担。</w:t>
      </w:r>
    </w:p>
    <w:p>
      <w:pPr>
        <w:pStyle w:val="ListBullet"/>
      </w:pPr>
      <w:r>
        <w:t>解释各模块通过相应门槛后进入CAWCC综合判断。</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开题报告5.1–5.2、5.3.1、5.6–5.9及表5-1。</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≥3年、≤20%、≥6×168h、10⁻⁸、KGE/PBIAS和Benchmark阈值需要准确；文献Benchmark与独立验证分别报告。</w:t>
      </w:r>
    </w:p>
    <w:p>
      <w:r>
        <w:br w:type="page"/>
      </w:r>
    </w:p>
    <w:p>
      <w:pPr>
        <w:spacing w:after="20"/>
      </w:pPr>
      <w:r>
        <w:rPr>
          <w:b/>
          <w:color w:val="0EA5C6"/>
          <w:sz w:val="18"/>
        </w:rPr>
        <w:t>09</w:t>
      </w:r>
    </w:p>
    <w:p>
      <w:pPr>
        <w:spacing w:after="20"/>
      </w:pPr>
      <w:r>
        <w:rPr>
          <w:b/>
          <w:color w:val="092A55"/>
          <w:sz w:val="36"/>
        </w:rPr>
        <w:t>情景与不确定性</w:t>
      </w:r>
    </w:p>
    <w:p>
      <w:pPr>
        <w:spacing w:after="160"/>
      </w:pPr>
      <w:r>
        <w:rPr>
          <w:b/>
          <w:color w:val="0EA5C6"/>
          <w:sz w:val="18"/>
        </w:rPr>
        <w:t>SCENARIOS &amp; UNCERTAINTY</w:t>
      </w:r>
    </w:p>
    <w:p>
      <w:pPr>
        <w:pStyle w:val="Lead"/>
      </w:pPr>
      <w:r>
        <w:t>增长情景、容量扫描和参数概率各自回答一个问题，三类结果分开呈现。</w:t>
      </w:r>
    </w:p>
    <w:p>
      <w:pPr>
        <w:pStyle w:val="Heading2"/>
      </w:pPr>
      <w:r>
        <w:t>页面内容</w:t>
      </w:r>
    </w:p>
    <w:p>
      <w:pPr>
        <w:pStyle w:val="ListBullet"/>
      </w:pPr>
      <w:r>
        <w:t>容量设置：2035低、中、高增长路径与0–3 GW IT应力扫描分别计算；先按25–50 MW步长扫描，再在边界附近细化，精度取5 MW或边界1%中的较严值。</w:t>
      </w:r>
    </w:p>
    <w:p>
      <w:pPr>
        <w:pStyle w:val="ListBullet"/>
      </w:pPr>
      <w:r>
        <w:t>技术组合：服务器侧热捕集与设施侧末端排热交叉组合；水源设置淡水优先、目标再生水比例和reclaimed-first；工程措施包括给水、污水、再生水扩容，输配提升和漏损降低。</w:t>
      </w:r>
    </w:p>
    <w:p>
      <w:pPr>
        <w:pStyle w:val="ListBullet"/>
      </w:pPr>
      <w:r>
        <w:t>气候组合：设置基准、高温、干旱或水源折减、高温叠加干旱，以及传统需求响应，并保留变量之间的相关关系。</w:t>
      </w:r>
    </w:p>
    <w:p>
      <w:pPr>
        <w:pStyle w:val="ListBullet"/>
      </w:pPr>
      <w:r>
        <w:t>参数不确定性：PUE、负载率、CoC、回流率等采用联合或条件分布，通过Monte Carlo传播。</w:t>
      </w:r>
    </w:p>
    <w:p>
      <w:pPr>
        <w:pStyle w:val="ListBullet"/>
      </w:pPr>
      <w:r>
        <w:t>敏感性分析：先用Morris筛选主要参数，初始设置不少于20条轨迹；近似独立输入采用Sobol，N从1024起逐倍增加；相关输入采用Shapley effects，并报告95%置信区间。</w:t>
      </w:r>
    </w:p>
    <w:p>
      <w:pPr>
        <w:pStyle w:val="ListBullet"/>
      </w:pPr>
      <w:r>
        <w:t>模型与未来变化：比较机理冷却模型和经验WUE模型；AI增长、长期气候、政策与扩容时点采用离散情景和scenario discovery。</w:t>
      </w:r>
    </w:p>
    <w:p>
      <w:pPr>
        <w:pStyle w:val="ListBullet"/>
      </w:pPr>
      <w:r>
        <w:t>代理模型要求：独立测试R²≥0.95，边界附近相对误差≤5%；最终边界点回到机理模型复算。</w:t>
      </w:r>
    </w:p>
    <w:p>
      <w:pPr>
        <w:pStyle w:val="Heading2"/>
      </w:pPr>
      <w:r>
        <w:t>图表与视觉设计</w:t>
      </w:r>
    </w:p>
    <w:p>
      <w:pPr>
        <w:pStyle w:val="ListBullet"/>
      </w:pPr>
      <w:r>
        <w:t>做成“城市状态 × AI容量 × 技术 × 水源 × 气候 × 政策”的六维实验矩阵，中心突出CAWCC搜索。</w:t>
      </w:r>
    </w:p>
    <w:p>
      <w:pPr>
        <w:pStyle w:val="ListBullet"/>
      </w:pPr>
      <w:r>
        <w:t>右侧三层不确定性漏斗：Parameter probability / Structural comparison / Deep futures。</w:t>
      </w:r>
    </w:p>
    <w:p>
      <w:pPr>
        <w:pStyle w:val="ListBullet"/>
      </w:pPr>
      <w:r>
        <w:t>底部放样本收敛小图，展示排序变化&lt;0.05才停止。</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左侧约60%放实验矩阵，右侧40%放不确定性与收敛规则；算法公式留在备份页。</w:t>
      </w:r>
    </w:p>
    <w:p>
      <w:pPr>
        <w:pStyle w:val="Heading2"/>
      </w:pPr>
      <w:r>
        <w:t>讲述思路</w:t>
      </w:r>
    </w:p>
    <w:p>
      <w:pPr>
        <w:pStyle w:val="ListBullet"/>
      </w:pPr>
      <w:r>
        <w:t>解释0–3 GW用于覆盖从单设施到区域集群的绝对应力范围。</w:t>
      </w:r>
    </w:p>
    <w:p>
      <w:pPr>
        <w:pStyle w:val="ListBullet"/>
      </w:pPr>
      <w:r>
        <w:t>说明相关输入相关输入采用Shapley effects，近似独立输入采用Sobol，两类结果分别解释。</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开题报告5.3–5.5、5.8；Morris/Sobol[64–68]；Shapley[81]；CMIP6/IPCC[76,77,80]。</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情景与概率需要分层；深度未来情景以离散情景呈现；代理模型门槛完整保留。</w:t>
      </w:r>
    </w:p>
    <w:p>
      <w:r>
        <w:br w:type="page"/>
      </w:r>
    </w:p>
    <w:p>
      <w:pPr>
        <w:spacing w:after="20"/>
      </w:pPr>
      <w:r>
        <w:rPr>
          <w:b/>
          <w:color w:val="0EA5C6"/>
          <w:sz w:val="18"/>
        </w:rPr>
        <w:t>10</w:t>
      </w:r>
    </w:p>
    <w:p>
      <w:pPr>
        <w:spacing w:after="20"/>
      </w:pPr>
      <w:r>
        <w:rPr>
          <w:b/>
          <w:color w:val="092A55"/>
          <w:sz w:val="36"/>
        </w:rPr>
        <w:t>容量与瓶颈</w:t>
      </w:r>
    </w:p>
    <w:p>
      <w:pPr>
        <w:spacing w:after="160"/>
      </w:pPr>
      <w:r>
        <w:rPr>
          <w:b/>
          <w:color w:val="0EA5C6"/>
          <w:sz w:val="18"/>
        </w:rPr>
        <w:t>CAPACITY &amp; BOTTLENECKS</w:t>
      </w:r>
    </w:p>
    <w:p>
      <w:pPr>
        <w:pStyle w:val="Lead"/>
      </w:pPr>
      <w:r>
        <w:t>CAWCC给出特定城市状态、技术方案和风险偏好下的可行容量范围。</w:t>
      </w:r>
    </w:p>
    <w:p>
      <w:pPr>
        <w:pStyle w:val="Heading2"/>
      </w:pPr>
      <w:r>
        <w:t>页面内容</w:t>
      </w:r>
    </w:p>
    <w:p>
      <w:pPr>
        <w:pStyle w:val="ListBullet"/>
      </w:pPr>
      <w:r>
        <w:t>四层CAWCC：物理可行容量（质量守恒和绝对能力）→工程安全容量（安全裕度、接入点、峰值和水质）→政策可接受容量（民生服务、环境和分配规则）→概率安全容量（参数不确定性与风险容忍）。</w:t>
      </w:r>
    </w:p>
    <w:p>
      <w:pPr>
        <w:pStyle w:val="ListBullet"/>
      </w:pPr>
      <w:r>
        <w:t>约束集合：外部水源、局部接入点、WTW给水、WWTW污水、再生水处理与输配、峰值可靠性、基本民生服务、水质与CoC。</w:t>
      </w:r>
    </w:p>
    <w:p>
      <w:pPr>
        <w:pStyle w:val="ListBullet"/>
      </w:pPr>
      <w:r>
        <w:t>时间尺度：比较年均、日尺度、日尺度叠加高温、日尺度叠加干旱以及高温干旱复合情景，计算边界提前比例BAR；小时校核使CAWCC再降超过10%时，为日模型加入峰值修正。</w:t>
      </w:r>
    </w:p>
    <w:p>
      <w:pPr>
        <w:pStyle w:val="ListBullet"/>
      </w:pPr>
      <w:r>
        <w:t>瓶颈识别：计算每项约束首次失效的容量，记录near-binding约束，并报告各项约束成为主导或共同主导瓶颈的频率。</w:t>
      </w:r>
    </w:p>
    <w:p>
      <w:pPr>
        <w:pStyle w:val="ListBullet"/>
      </w:pPr>
      <w:r>
        <w:t>再生水转折：当边际收益降到初始值的20%以下，继续判断限制来自水源、水质、处理能力、输配能力还是用户竞争。</w:t>
      </w:r>
    </w:p>
    <w:p>
      <w:pPr>
        <w:pStyle w:val="ListBullet"/>
      </w:pPr>
      <w:r>
        <w:t>非单调可行域：同时报告全部可行区间、首次失效容量、中间不可行区和最终失效容量。</w:t>
      </w:r>
    </w:p>
    <w:p>
      <w:pPr>
        <w:pStyle w:val="ListBullet"/>
      </w:pPr>
      <w:r>
        <w:t>成果图表：容量—代谢响应面、四层CAWCC阶梯图、BAR分解瀑布图、瓶颈相图、再生水边际收益曲线和概率边界带。</w:t>
      </w:r>
    </w:p>
    <w:p>
      <w:pPr>
        <w:pStyle w:val="Heading2"/>
      </w:pPr>
      <w:r>
        <w:t>图表与视觉设计</w:t>
      </w:r>
    </w:p>
    <w:p>
      <w:pPr>
        <w:pStyle w:val="ListBullet"/>
      </w:pPr>
      <w:r>
        <w:t>左侧四层容量阶梯，标出每层新增约束。</w:t>
      </w:r>
    </w:p>
    <w:p>
      <w:pPr>
        <w:pStyle w:val="ListBullet"/>
      </w:pPr>
      <w:r>
        <w:t>中部年均/日/小时三条容量曲线与BAR箭头。</w:t>
      </w:r>
    </w:p>
    <w:p>
      <w:pPr>
        <w:pStyle w:val="ListBullet"/>
      </w:pPr>
      <w:r>
        <w:t>右侧瓶颈热图和再生水边际收益曲线，用青→橙表示瓶颈迁移。</w:t>
      </w:r>
    </w:p>
    <w:p>
      <w:pPr>
        <w:pStyle w:val="ListBullet"/>
      </w:pPr>
      <w:r>
        <w:t>页脚固定列出每个结果需要携带的条件：城市状态、技术、水源政策、气候、服务优先级、阈值、风险容忍。</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三联图构成全套答辩的核心结果预期页；这是最重要的一页，可讲1.8–2.0分钟。</w:t>
      </w:r>
    </w:p>
    <w:p>
      <w:pPr>
        <w:pStyle w:val="Heading2"/>
      </w:pPr>
      <w:r>
        <w:t>讲述思路</w:t>
      </w:r>
    </w:p>
    <w:p>
      <w:pPr>
        <w:pStyle w:val="ListBullet"/>
      </w:pPr>
      <w:r>
        <w:t>先定义四层，再解释时间尺度导致的边界提前，最后讲瓶颈转换和再生水转折。</w:t>
      </w:r>
    </w:p>
    <w:p>
      <w:pPr>
        <w:pStyle w:val="ListBullet"/>
      </w:pPr>
      <w:r>
        <w:t>强调容量结果的条件性和可复现性，回应“承载力是否只是一个综合指数”的潜在质疑。</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开题报告6.6–6.10。</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完整保留局部接入点、基本服务和水质约束；非单调时同时报告首次失效、全部可行区间和最终失效容量；容量搜索精度为5 MW或1%取较严者。</w:t>
      </w:r>
    </w:p>
    <w:p>
      <w:r>
        <w:br w:type="page"/>
      </w:r>
    </w:p>
    <w:p>
      <w:pPr>
        <w:spacing w:after="20"/>
      </w:pPr>
      <w:r>
        <w:rPr>
          <w:b/>
          <w:color w:val="0EA5C6"/>
          <w:sz w:val="18"/>
        </w:rPr>
        <w:t>11</w:t>
      </w:r>
    </w:p>
    <w:p>
      <w:pPr>
        <w:spacing w:after="20"/>
      </w:pPr>
      <w:r>
        <w:rPr>
          <w:b/>
          <w:color w:val="092A55"/>
          <w:sz w:val="36"/>
        </w:rPr>
        <w:t>基础、创新与可行性</w:t>
      </w:r>
    </w:p>
    <w:p>
      <w:pPr>
        <w:spacing w:after="160"/>
      </w:pPr>
      <w:r>
        <w:rPr>
          <w:b/>
          <w:color w:val="0EA5C6"/>
          <w:sz w:val="18"/>
        </w:rPr>
        <w:t>FOUNDATION, INNOVATION &amp; FEASIBILITY</w:t>
      </w:r>
    </w:p>
    <w:p>
      <w:pPr>
        <w:pStyle w:val="Lead"/>
      </w:pPr>
      <w:r>
        <w:t>已有模型框架支撑后续开发，三项创新均配有清晰的验证方法。</w:t>
      </w:r>
    </w:p>
    <w:p>
      <w:pPr>
        <w:pStyle w:val="Heading2"/>
      </w:pPr>
      <w:r>
        <w:t>页面内容</w:t>
      </w:r>
    </w:p>
    <w:p>
      <w:pPr>
        <w:pStyle w:val="ListBullet"/>
      </w:pPr>
      <w:r>
        <w:t>前期基础：城市资源代谢模拟框架已完成部分开发，现有模块能够处理水源、给水、终端需求、污水处理和再生利用的日尺度计算，并已预留情景与不确定性分析接口。</w:t>
      </w:r>
    </w:p>
    <w:p>
      <w:pPr>
        <w:pStyle w:val="ListBullet"/>
      </w:pPr>
      <w:r>
        <w:t>开发安排：M1处理AI冷却与局部质量平衡；M2连接城市水务闭环、接入点与水质；M3计算日尺度和小时尺度CAWCC并识别瓶颈；M4处理参数与结构不确定性。</w:t>
      </w:r>
    </w:p>
    <w:p>
      <w:pPr>
        <w:pStyle w:val="ListBullet"/>
      </w:pPr>
      <w:r>
        <w:t>跨尺度闭合｜从IT容量、能耗和热排散推到Withdrawal、Consumption与Return Flow，再接入给水、污水、再生水、接入点和排污水质；等效工业对照用于识别AI负荷的时序特点。</w:t>
      </w:r>
    </w:p>
    <w:p>
      <w:pPr>
        <w:pStyle w:val="ListBullet"/>
      </w:pPr>
      <w:r>
        <w:t>边界解释｜把承载能力分成物理、工程、政策和概率四层容量，再用设施裕度、峰值重合与湿球温度解释边界提前和瓶颈转换。</w:t>
      </w:r>
    </w:p>
    <w:p>
      <w:pPr>
        <w:pStyle w:val="ListBullet"/>
      </w:pPr>
      <w:r>
        <w:t>概率边界与转折｜在相关输入下报告CAWCC置信区间、主导或共同主导瓶颈的概率，并判断再生水收益转折由哪一项活动约束触发。</w:t>
      </w:r>
    </w:p>
    <w:p>
      <w:pPr>
        <w:pStyle w:val="ListBullet"/>
      </w:pPr>
      <w:r>
        <w:t>可行性安排：开题后3个月完成数据审计；核心序列缺失率超过20%时更换案例或调整验证范围；设置至少3个外部锚点和6个极端周；敏感性分析达到收敛要求后形成结论。</w:t>
      </w:r>
    </w:p>
    <w:p>
      <w:pPr>
        <w:pStyle w:val="ListBullet"/>
      </w:pPr>
      <w:r>
        <w:t>研究节奏：核心闭环通过五项门槛后开展固定容量的水—能—碳—成本比较；多目标容量优化与适应路径列入后续拓展。</w:t>
      </w:r>
    </w:p>
    <w:p>
      <w:pPr>
        <w:pStyle w:val="Heading2"/>
      </w:pPr>
      <w:r>
        <w:t>图表与视觉设计</w:t>
      </w:r>
    </w:p>
    <w:p>
      <w:pPr>
        <w:pStyle w:val="ListBullet"/>
      </w:pPr>
      <w:r>
        <w:t>左侧M1–M4成熟度路线图，已完成部分用实色、待完成用描边。</w:t>
      </w:r>
    </w:p>
    <w:p>
      <w:pPr>
        <w:pStyle w:val="ListBullet"/>
      </w:pPr>
      <w:r>
        <w:t>中部三张创新卡，每张均写“已有研究→本研究增量→验证方式”。</w:t>
      </w:r>
    </w:p>
    <w:p>
      <w:pPr>
        <w:pStyle w:val="ListBullet"/>
      </w:pPr>
      <w:r>
        <w:t>右侧可行性闸门与风险应对：Data / Scale / Attribution / Scope。</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三栏结构：前期基础25%、创新45%、可行性30%；三项创新都写清研究增量和验证方式。</w:t>
      </w:r>
    </w:p>
    <w:p>
      <w:pPr>
        <w:pStyle w:val="Heading2"/>
      </w:pPr>
      <w:r>
        <w:t>讲述思路</w:t>
      </w:r>
    </w:p>
    <w:p>
      <w:pPr>
        <w:pStyle w:val="ListBullet"/>
      </w:pPr>
      <w:r>
        <w:t>先证明已有基础和最小闭环路径，再讲三项创新，最后用硬门槛回应可完成性。</w:t>
      </w:r>
    </w:p>
    <w:p>
      <w:pPr>
        <w:pStyle w:val="ListBullet"/>
      </w:pPr>
      <w:r>
        <w:t>提醒评委：可辨识参数给出估计值；信息不足的参数给出范围，并分析范围对结论的影响。</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开题报告7.1–7.4。</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“已完成”只表述报告明确写明的部分开发与接口，模型校准进度按现有记录表述；三项创新分别对应验证判据。</w:t>
      </w:r>
    </w:p>
    <w:p>
      <w:r>
        <w:br w:type="page"/>
      </w:r>
    </w:p>
    <w:p>
      <w:pPr>
        <w:spacing w:after="20"/>
      </w:pPr>
      <w:r>
        <w:rPr>
          <w:b/>
          <w:color w:val="0EA5C6"/>
          <w:sz w:val="18"/>
        </w:rPr>
        <w:t>12</w:t>
      </w:r>
    </w:p>
    <w:p>
      <w:pPr>
        <w:spacing w:after="20"/>
      </w:pPr>
      <w:r>
        <w:rPr>
          <w:b/>
          <w:color w:val="092A55"/>
          <w:sz w:val="36"/>
        </w:rPr>
        <w:t>计划与成果</w:t>
      </w:r>
    </w:p>
    <w:p>
      <w:pPr>
        <w:spacing w:after="160"/>
      </w:pPr>
      <w:r>
        <w:rPr>
          <w:b/>
          <w:color w:val="0EA5C6"/>
          <w:sz w:val="18"/>
        </w:rPr>
        <w:t>TIMELINE &amp; OUTPUTS</w:t>
      </w:r>
    </w:p>
    <w:p>
      <w:pPr>
        <w:pStyle w:val="Lead"/>
      </w:pPr>
      <w:r>
        <w:t>研究分五个阶段推进，最终形成模型、容量边界、机制认识和可复现资料。</w:t>
      </w:r>
    </w:p>
    <w:p>
      <w:pPr>
        <w:pStyle w:val="Heading2"/>
      </w:pPr>
      <w:r>
        <w:t>页面内容</w:t>
      </w:r>
    </w:p>
    <w:p>
      <w:pPr>
        <w:pStyle w:val="ListBullet"/>
      </w:pPr>
      <w:r>
        <w:t>阶段1｜2026.09–2027.06：数据审计、案例/锚点锁定、数据字典、AI冷却—城市水务最小闭环、单元测试和过程Benchmark；验收质量平衡≤10⁻⁸。</w:t>
      </w:r>
    </w:p>
    <w:p>
      <w:pPr>
        <w:pStyle w:val="ListBullet"/>
      </w:pPr>
      <w:r>
        <w:t>阶段2｜2027.07–2028.03：深度案例校准、时间留出验证、外部城市锚定、AI—等效工业对照和代谢结构响应；形成第一篇论文与可复现模型版本。</w:t>
      </w:r>
    </w:p>
    <w:p>
      <w:pPr>
        <w:pStyle w:val="ListBullet"/>
      </w:pPr>
      <w:r>
        <w:t>阶段3｜2028.04–2028.12：年均—日尺度—极端周小时校核、高温—干旱压力和四层CAWCC；形成边界置信区间、峰值修正规则与第二篇论文。</w:t>
      </w:r>
    </w:p>
    <w:p>
      <w:pPr>
        <w:pStyle w:val="ListBullet"/>
      </w:pPr>
      <w:r>
        <w:t>阶段4｜2029.01–2029.09：Morris/Sobol/Shapley、结构比较、瓶颈转换和再生水收益转折；外部瓶颈分类准确率目标≥80%，形成第三篇论文。</w:t>
      </w:r>
    </w:p>
    <w:p>
      <w:pPr>
        <w:pStyle w:val="ListBullet"/>
      </w:pPr>
      <w:r>
        <w:t>阶段5｜2029.10–2030.06：核心达标后开展固定容量水—能—碳—成本负担转移检验，完成论文整合、代码与参数证据库归档及送审稿。</w:t>
      </w:r>
    </w:p>
    <w:p>
      <w:pPr>
        <w:pStyle w:val="ListBullet"/>
      </w:pPr>
      <w:r>
        <w:t>七类成果：验证模型与版本化代码；容量—代谢—峰值响应面；四层CAWCC；边界提前与峰值修正规则；瓶颈转换模型；再生水收益转折机制；数据字典、证据表、验证记录、情景清单与可重复脚本。</w:t>
      </w:r>
    </w:p>
    <w:p>
      <w:pPr>
        <w:pStyle w:val="ListBullet"/>
      </w:pPr>
      <w:r>
        <w:t>收束结论：AI容量随城市状态、技术架构、水源配置、气候压力、服务优先级、安全阈值与风险容忍共同定义。</w:t>
      </w:r>
    </w:p>
    <w:p>
      <w:pPr>
        <w:pStyle w:val="Heading2"/>
      </w:pPr>
      <w:r>
        <w:t>图表与视觉设计</w:t>
      </w:r>
    </w:p>
    <w:p>
      <w:pPr>
        <w:pStyle w:val="ListBullet"/>
      </w:pPr>
      <w:r>
        <w:t>上部用2026.09–2030.06横向Gantt图，阶段颜色由冰蓝逐步过渡到青色。</w:t>
      </w:r>
    </w:p>
    <w:p>
      <w:pPr>
        <w:pStyle w:val="ListBullet"/>
      </w:pPr>
      <w:r>
        <w:t>下部左侧放7项交付物图标；右侧用冰蓝浅底、深海蓝文字呈现核心结论。</w:t>
      </w:r>
    </w:p>
    <w:p>
      <w:pPr>
        <w:pStyle w:val="ListBullet"/>
      </w:pPr>
      <w:r>
        <w:t>结束页保持白色背景，并保留研究结论、研究路径和讨论入口。</w:t>
      </w:r>
    </w:p>
    <w:p>
      <w:pPr>
        <w:spacing w:after="50"/>
      </w:pPr>
      <w:r>
        <w:rPr>
          <w:rFonts w:ascii="Microsoft YaHei" w:hAnsi="Microsoft YaHei" w:eastAsia="Microsoft YaHei"/>
          <w:b/>
          <w:color w:val="092A55"/>
        </w:rPr>
        <w:t>版式：</w:t>
      </w:r>
      <w:r>
        <w:rPr>
          <w:rFonts w:ascii="Microsoft YaHei" w:hAnsi="Microsoft YaHei" w:eastAsia="Microsoft YaHei"/>
          <w:b w:val="0"/>
          <w:color w:val="17324D"/>
        </w:rPr>
        <w:t>时间轴占55%，成果与核心结论占45%；右下角可放“Questions &amp; Discussion”。</w:t>
      </w:r>
    </w:p>
    <w:p>
      <w:pPr>
        <w:pStyle w:val="Heading2"/>
      </w:pPr>
      <w:r>
        <w:t>讲述思路</w:t>
      </w:r>
    </w:p>
    <w:p>
      <w:pPr>
        <w:pStyle w:val="ListBullet"/>
      </w:pPr>
      <w:r>
        <w:t>每个阶段同时列出时间、任务和验收结果。</w:t>
      </w:r>
    </w:p>
    <w:p>
      <w:pPr>
        <w:pStyle w:val="ListBullet"/>
      </w:pPr>
      <w:r>
        <w:t>最后重复研究主张：CAWCC是条件化可行域，研究价值在于把AI规划与城市水系统状态连接起来。</w:t>
      </w:r>
    </w:p>
    <w:p>
      <w:pPr>
        <w:spacing w:after="50"/>
      </w:pPr>
      <w:r>
        <w:rPr>
          <w:rFonts w:ascii="Microsoft YaHei" w:hAnsi="Microsoft YaHei" w:eastAsia="Microsoft YaHei"/>
          <w:b/>
          <w:color w:val="0EA5C6"/>
        </w:rPr>
        <w:t>证据来源：</w:t>
      </w:r>
      <w:r>
        <w:rPr>
          <w:rFonts w:ascii="Microsoft YaHei" w:hAnsi="Microsoft YaHei" w:eastAsia="Microsoft YaHei"/>
          <w:b w:val="0"/>
          <w:color w:val="17324D"/>
        </w:rPr>
        <w:t>开题报告7.5–7.7。</w:t>
      </w:r>
    </w:p>
    <w:p>
      <w:pPr>
        <w:spacing w:after="50"/>
      </w:pPr>
      <w:r>
        <w:rPr>
          <w:rFonts w:ascii="Microsoft YaHei" w:hAnsi="Microsoft YaHei" w:eastAsia="Microsoft YaHei"/>
          <w:b/>
          <w:color w:val="C94A4A"/>
        </w:rPr>
        <w:t>核对：</w:t>
      </w:r>
      <w:r>
        <w:rPr>
          <w:rFonts w:ascii="Microsoft YaHei" w:hAnsi="Microsoft YaHei" w:eastAsia="Microsoft YaHei"/>
          <w:b w:val="0"/>
          <w:color w:val="17324D"/>
        </w:rPr>
        <w:t>日期、阶段顺序和验收门槛需保持原文一致；“三篇论文”表述为阶段性计划，作为阶段性安排表述。</w:t>
      </w:r>
    </w:p>
    <w:p>
      <w:r>
        <w:br w:type="page"/>
      </w:r>
    </w:p>
    <w:p>
      <w:pPr>
        <w:pStyle w:val="Heading1"/>
      </w:pPr>
      <w:r>
        <w:t>三、生成PPTX前的统一检查与修改清单</w:t>
      </w:r>
    </w:p>
    <w:p>
      <w:pPr>
        <w:pStyle w:val="Lead"/>
      </w:pPr>
      <w:r>
        <w:t>以下检查用于把本内容蓝图转化为最终PPTX。确认本Word方案后，将按此清单执行至少一次生成—渲染—逐页检查—修改—复核循环。</w:t>
      </w:r>
    </w:p>
    <w:tbl>
      <w:tblPr>
        <w:tblW w:type="auto" w:w="0"/>
        <w:jc w:val="center"/>
        <w:tblLayout w:type="fixed"/>
        <w:tblLook w:firstColumn="1" w:firstRow="1" w:lastColumn="0" w:lastRow="0" w:noHBand="0" w:noVBand="1" w:val="04A0"/>
        <w:tblBorders>
          <w:top w:val="single" w:sz="6" w:color="C9D9E7"/>
          <w:left w:val="single" w:sz="6" w:color="C9D9E7"/>
          <w:bottom w:val="single" w:sz="6" w:color="C9D9E7"/>
          <w:right w:val="single" w:sz="6" w:color="C9D9E7"/>
          <w:insideH w:val="single" w:sz="6" w:color="C9D9E7"/>
          <w:insideV w:val="single" w:sz="6" w:color="C9D9E7"/>
        </w:tblBorders>
      </w:tblPr>
      <w:tblGrid>
        <w:gridCol w:w="1800"/>
        <w:gridCol w:w="7848"/>
      </w:tblGrid>
      <w:tr>
        <w:trPr>
          <w:tblHeader w:val="true"/>
        </w:trPr>
        <w:tc>
          <w:tcPr>
            <w:tcW w:type="dxa" w:w="1800"/>
            <w:shd w:fill="092A55"/>
            <w:vAlign w:val="center"/>
          </w:tcPr>
          <w:p>
            <w:pPr>
              <w:jc w:val="center"/>
            </w:pPr>
            <w:r>
              <w:rPr>
                <w:b/>
                <w:color w:val="FFFFFF"/>
                <w:sz w:val="19"/>
              </w:rPr>
              <w:t>检查项</w:t>
            </w:r>
          </w:p>
        </w:tc>
        <w:tc>
          <w:tcPr>
            <w:tcW w:type="dxa" w:w="7848"/>
            <w:shd w:fill="092A55"/>
            <w:vAlign w:val="center"/>
          </w:tcPr>
          <w:p>
            <w:pPr>
              <w:jc w:val="center"/>
            </w:pPr>
            <w:r>
              <w:rPr>
                <w:b/>
                <w:color w:val="FFFFFF"/>
                <w:sz w:val="19"/>
              </w:rPr>
              <w:t>验收标准</w:t>
            </w:r>
          </w:p>
        </w:tc>
      </w:tr>
      <w:tr>
        <w:tc>
          <w:tcPr>
            <w:tcW w:type="dxa" w:w="1800"/>
            <w:shd w:fill="EAF8FB"/>
            <w:tcMar>
              <w:top w:w="90" w:type="dxa"/>
              <w:start w:w="120" w:type="dxa"/>
              <w:bottom w:w="90" w:type="dxa"/>
              <w:end w:w="120" w:type="dxa"/>
            </w:tcMar>
            <w:vAlign w:val="center"/>
          </w:tcPr>
          <w:p>
            <w:r>
              <w:rPr>
                <w:b/>
                <w:color w:val="092A55"/>
                <w:sz w:val="19"/>
              </w:rPr>
              <w:t>内容完整性</w:t>
            </w:r>
          </w:p>
        </w:tc>
        <w:tc>
          <w:tcPr>
            <w:tcW w:type="dxa" w:w="7848"/>
            <w:tcMar>
              <w:top w:w="90" w:type="dxa"/>
              <w:start w:w="120" w:type="dxa"/>
              <w:bottom w:w="90" w:type="dxa"/>
              <w:end w:w="120" w:type="dxa"/>
            </w:tcMar>
            <w:vAlign w:val="center"/>
          </w:tcPr>
          <w:p>
            <w:pPr>
              <w:spacing w:line="269" w:lineRule="auto" w:after="0"/>
            </w:pPr>
            <w:r>
              <w:rPr>
                <w:color w:val="17324D"/>
                <w:sz w:val="18"/>
              </w:rPr>
              <w:t>12页是否完整覆盖背景、理论、现状、问题、假设、框架、机制、设计、不确定性、CAWCC、前期基础、创新、可行性、计划和成果。</w:t>
            </w:r>
          </w:p>
        </w:tc>
      </w:tr>
      <w:tr>
        <w:tc>
          <w:tcPr>
            <w:tcW w:type="dxa" w:w="1800"/>
            <w:shd w:fill="EAF8FB"/>
            <w:tcMar>
              <w:top w:w="90" w:type="dxa"/>
              <w:start w:w="120" w:type="dxa"/>
              <w:bottom w:w="90" w:type="dxa"/>
              <w:end w:w="120" w:type="dxa"/>
            </w:tcMar>
            <w:vAlign w:val="center"/>
          </w:tcPr>
          <w:p>
            <w:r>
              <w:rPr>
                <w:b/>
                <w:color w:val="092A55"/>
                <w:sz w:val="19"/>
              </w:rPr>
              <w:t>术语一致性</w:t>
            </w:r>
          </w:p>
        </w:tc>
        <w:tc>
          <w:tcPr>
            <w:tcW w:type="dxa" w:w="7848"/>
            <w:tcMar>
              <w:top w:w="90" w:type="dxa"/>
              <w:start w:w="120" w:type="dxa"/>
              <w:bottom w:w="90" w:type="dxa"/>
              <w:end w:w="120" w:type="dxa"/>
            </w:tcMar>
            <w:vAlign w:val="center"/>
          </w:tcPr>
          <w:p>
            <w:pPr>
              <w:spacing w:line="269" w:lineRule="auto" w:after="0"/>
            </w:pPr>
            <w:r>
              <w:rPr>
                <w:color w:val="17324D"/>
                <w:sz w:val="18"/>
              </w:rPr>
              <w:t>全套统一使用“AI算力中心/AI节点”“城市人工水系统”“AI-UWM”“CAWCC”；Withdrawal、Consumption、Return Flow分别使用。</w:t>
            </w:r>
          </w:p>
        </w:tc>
      </w:tr>
      <w:tr>
        <w:tc>
          <w:tcPr>
            <w:tcW w:type="dxa" w:w="1800"/>
            <w:shd w:fill="EAF8FB"/>
            <w:tcMar>
              <w:top w:w="90" w:type="dxa"/>
              <w:start w:w="120" w:type="dxa"/>
              <w:bottom w:w="90" w:type="dxa"/>
              <w:end w:w="120" w:type="dxa"/>
            </w:tcMar>
            <w:vAlign w:val="center"/>
          </w:tcPr>
          <w:p>
            <w:r>
              <w:rPr>
                <w:b/>
                <w:color w:val="092A55"/>
                <w:sz w:val="19"/>
              </w:rPr>
              <w:t>边界一致性</w:t>
            </w:r>
          </w:p>
        </w:tc>
        <w:tc>
          <w:tcPr>
            <w:tcW w:type="dxa" w:w="7848"/>
            <w:tcMar>
              <w:top w:w="90" w:type="dxa"/>
              <w:start w:w="120" w:type="dxa"/>
              <w:bottom w:w="90" w:type="dxa"/>
              <w:end w:w="120" w:type="dxa"/>
            </w:tcMar>
            <w:vAlign w:val="center"/>
          </w:tcPr>
          <w:p>
            <w:pPr>
              <w:spacing w:line="269" w:lineRule="auto" w:after="0"/>
            </w:pPr>
            <w:r>
              <w:rPr>
                <w:color w:val="17324D"/>
                <w:sz w:val="18"/>
              </w:rPr>
              <w:t>本地物理水流、间接电力水足迹、水系统能源和运营碳分账户；0–3 GW标注为应力扫描。</w:t>
            </w:r>
          </w:p>
        </w:tc>
      </w:tr>
      <w:tr>
        <w:tc>
          <w:tcPr>
            <w:tcW w:type="dxa" w:w="1800"/>
            <w:shd w:fill="EAF8FB"/>
            <w:tcMar>
              <w:top w:w="90" w:type="dxa"/>
              <w:start w:w="120" w:type="dxa"/>
              <w:bottom w:w="90" w:type="dxa"/>
              <w:end w:w="120" w:type="dxa"/>
            </w:tcMar>
            <w:vAlign w:val="center"/>
          </w:tcPr>
          <w:p>
            <w:r>
              <w:rPr>
                <w:b/>
                <w:color w:val="092A55"/>
                <w:sz w:val="19"/>
              </w:rPr>
              <w:t>数据真实性</w:t>
            </w:r>
          </w:p>
        </w:tc>
        <w:tc>
          <w:tcPr>
            <w:tcW w:type="dxa" w:w="7848"/>
            <w:tcMar>
              <w:top w:w="90" w:type="dxa"/>
              <w:start w:w="120" w:type="dxa"/>
              <w:bottom w:w="90" w:type="dxa"/>
              <w:end w:w="120" w:type="dxa"/>
            </w:tcMar>
            <w:vAlign w:val="center"/>
          </w:tcPr>
          <w:p>
            <w:pPr>
              <w:spacing w:line="269" w:lineRule="auto" w:after="0"/>
            </w:pPr>
            <w:r>
              <w:rPr>
                <w:color w:val="17324D"/>
                <w:sz w:val="18"/>
              </w:rPr>
              <w:t>仅使用开题报告及可核验文献中的数值；图表机制图统一标注“示意”。</w:t>
            </w:r>
          </w:p>
        </w:tc>
      </w:tr>
      <w:tr>
        <w:tc>
          <w:tcPr>
            <w:tcW w:type="dxa" w:w="1800"/>
            <w:shd w:fill="EAF8FB"/>
            <w:tcMar>
              <w:top w:w="90" w:type="dxa"/>
              <w:start w:w="120" w:type="dxa"/>
              <w:bottom w:w="90" w:type="dxa"/>
              <w:end w:w="120" w:type="dxa"/>
            </w:tcMar>
            <w:vAlign w:val="center"/>
          </w:tcPr>
          <w:p>
            <w:r>
              <w:rPr>
                <w:b/>
                <w:color w:val="092A55"/>
                <w:sz w:val="19"/>
              </w:rPr>
              <w:t>阈值准确性</w:t>
            </w:r>
          </w:p>
        </w:tc>
        <w:tc>
          <w:tcPr>
            <w:tcW w:type="dxa" w:w="7848"/>
            <w:tcMar>
              <w:top w:w="90" w:type="dxa"/>
              <w:start w:w="120" w:type="dxa"/>
              <w:bottom w:w="90" w:type="dxa"/>
              <w:end w:w="120" w:type="dxa"/>
            </w:tcMar>
            <w:vAlign w:val="center"/>
          </w:tcPr>
          <w:p>
            <w:pPr>
              <w:spacing w:line="269" w:lineRule="auto" w:after="0"/>
            </w:pPr>
            <w:r>
              <w:rPr>
                <w:color w:val="17324D"/>
                <w:sz w:val="18"/>
              </w:rPr>
              <w:t>10%、60%、80%、20%、10⁻⁸、KGE≥0.60、|PBIAS|≤15%、Benchmark 15%/30%、R²≥0.95、边界误差≤5%逐项核对。</w:t>
            </w:r>
          </w:p>
        </w:tc>
      </w:tr>
      <w:tr>
        <w:tc>
          <w:tcPr>
            <w:tcW w:type="dxa" w:w="1800"/>
            <w:shd w:fill="EAF8FB"/>
            <w:tcMar>
              <w:top w:w="90" w:type="dxa"/>
              <w:start w:w="120" w:type="dxa"/>
              <w:bottom w:w="90" w:type="dxa"/>
              <w:end w:w="120" w:type="dxa"/>
            </w:tcMar>
            <w:vAlign w:val="center"/>
          </w:tcPr>
          <w:p>
            <w:r>
              <w:rPr>
                <w:b/>
                <w:color w:val="092A55"/>
                <w:sz w:val="19"/>
              </w:rPr>
              <w:t>视觉密度</w:t>
            </w:r>
          </w:p>
        </w:tc>
        <w:tc>
          <w:tcPr>
            <w:tcW w:type="dxa" w:w="7848"/>
            <w:tcMar>
              <w:top w:w="90" w:type="dxa"/>
              <w:start w:w="120" w:type="dxa"/>
              <w:bottom w:w="90" w:type="dxa"/>
              <w:end w:w="120" w:type="dxa"/>
            </w:tcMar>
            <w:vAlign w:val="center"/>
          </w:tcPr>
          <w:p>
            <w:pPr>
              <w:spacing w:line="269" w:lineRule="auto" w:after="0"/>
            </w:pPr>
            <w:r>
              <w:rPr>
                <w:color w:val="17324D"/>
                <w:sz w:val="18"/>
              </w:rPr>
              <w:t>每页至少一个核心视觉；屏幕正文控制为4–7个短信息块；Word中的讲述逻辑在PPT中提炼为讲稿提示。</w:t>
            </w:r>
          </w:p>
        </w:tc>
      </w:tr>
      <w:tr>
        <w:tc>
          <w:tcPr>
            <w:tcW w:type="dxa" w:w="1800"/>
            <w:shd w:fill="EAF8FB"/>
            <w:tcMar>
              <w:top w:w="90" w:type="dxa"/>
              <w:start w:w="120" w:type="dxa"/>
              <w:bottom w:w="90" w:type="dxa"/>
              <w:end w:w="120" w:type="dxa"/>
            </w:tcMar>
            <w:vAlign w:val="center"/>
          </w:tcPr>
          <w:p>
            <w:r>
              <w:rPr>
                <w:b/>
                <w:color w:val="092A55"/>
                <w:sz w:val="19"/>
              </w:rPr>
              <w:t>字号与对比</w:t>
            </w:r>
          </w:p>
        </w:tc>
        <w:tc>
          <w:tcPr>
            <w:tcW w:type="dxa" w:w="7848"/>
            <w:tcMar>
              <w:top w:w="90" w:type="dxa"/>
              <w:start w:w="120" w:type="dxa"/>
              <w:bottom w:w="90" w:type="dxa"/>
              <w:end w:w="120" w:type="dxa"/>
            </w:tcMar>
            <w:vAlign w:val="center"/>
          </w:tcPr>
          <w:p>
            <w:pPr>
              <w:spacing w:line="269" w:lineRule="auto" w:after="0"/>
            </w:pPr>
            <w:r>
              <w:rPr>
                <w:color w:val="17324D"/>
                <w:sz w:val="18"/>
              </w:rPr>
              <w:t>标题≥30 pt，正文原则上≥16 pt，图注≥10–11 pt；白底配深海蓝正文，青色用于重点，浅色卡片保持清晰边界。</w:t>
            </w:r>
          </w:p>
        </w:tc>
      </w:tr>
      <w:tr>
        <w:tc>
          <w:tcPr>
            <w:tcW w:type="dxa" w:w="1800"/>
            <w:shd w:fill="EAF8FB"/>
            <w:tcMar>
              <w:top w:w="90" w:type="dxa"/>
              <w:start w:w="120" w:type="dxa"/>
              <w:bottom w:w="90" w:type="dxa"/>
              <w:end w:w="120" w:type="dxa"/>
            </w:tcMar>
            <w:vAlign w:val="center"/>
          </w:tcPr>
          <w:p>
            <w:r>
              <w:rPr>
                <w:b/>
                <w:color w:val="092A55"/>
                <w:sz w:val="19"/>
              </w:rPr>
              <w:t>版式一致</w:t>
            </w:r>
          </w:p>
        </w:tc>
        <w:tc>
          <w:tcPr>
            <w:tcW w:type="dxa" w:w="7848"/>
            <w:tcMar>
              <w:top w:w="90" w:type="dxa"/>
              <w:start w:w="120" w:type="dxa"/>
              <w:bottom w:w="90" w:type="dxa"/>
              <w:end w:w="120" w:type="dxa"/>
            </w:tcMar>
            <w:vAlign w:val="center"/>
          </w:tcPr>
          <w:p>
            <w:pPr>
              <w:spacing w:line="269" w:lineRule="auto" w:after="0"/>
            </w:pPr>
            <w:r>
              <w:rPr>
                <w:color w:val="17324D"/>
                <w:sz w:val="18"/>
              </w:rPr>
              <w:t>统一页码、标题位置、边距、卡片圆角、线条宽度和图例规则；标题区保持简洁。</w:t>
            </w:r>
          </w:p>
        </w:tc>
      </w:tr>
      <w:tr>
        <w:tc>
          <w:tcPr>
            <w:tcW w:type="dxa" w:w="1800"/>
            <w:shd w:fill="EAF8FB"/>
            <w:tcMar>
              <w:top w:w="90" w:type="dxa"/>
              <w:start w:w="120" w:type="dxa"/>
              <w:bottom w:w="90" w:type="dxa"/>
              <w:end w:w="120" w:type="dxa"/>
            </w:tcMar>
            <w:vAlign w:val="center"/>
          </w:tcPr>
          <w:p>
            <w:r>
              <w:rPr>
                <w:b/>
                <w:color w:val="092A55"/>
                <w:sz w:val="19"/>
              </w:rPr>
              <w:t>机制正确</w:t>
            </w:r>
          </w:p>
        </w:tc>
        <w:tc>
          <w:tcPr>
            <w:tcW w:type="dxa" w:w="7848"/>
            <w:tcMar>
              <w:top w:w="90" w:type="dxa"/>
              <w:start w:w="120" w:type="dxa"/>
              <w:bottom w:w="90" w:type="dxa"/>
              <w:end w:w="120" w:type="dxa"/>
            </w:tcMar>
            <w:vAlign w:val="center"/>
          </w:tcPr>
          <w:p>
            <w:pPr>
              <w:spacing w:line="269" w:lineRule="auto" w:after="0"/>
            </w:pPr>
            <w:r>
              <w:rPr>
                <w:color w:val="17324D"/>
                <w:sz w:val="18"/>
              </w:rPr>
              <w:t>AI-UWM闭环需要呈现蒸发消耗、排污回流、再生利用、损失/溢流/储量/缺口；液冷与末端排热分开。</w:t>
            </w:r>
          </w:p>
        </w:tc>
      </w:tr>
      <w:tr>
        <w:tc>
          <w:tcPr>
            <w:tcW w:type="dxa" w:w="1800"/>
            <w:shd w:fill="EAF8FB"/>
            <w:tcMar>
              <w:top w:w="90" w:type="dxa"/>
              <w:start w:w="120" w:type="dxa"/>
              <w:bottom w:w="90" w:type="dxa"/>
              <w:end w:w="120" w:type="dxa"/>
            </w:tcMar>
            <w:vAlign w:val="center"/>
          </w:tcPr>
          <w:p>
            <w:r>
              <w:rPr>
                <w:b/>
                <w:color w:val="092A55"/>
                <w:sz w:val="19"/>
              </w:rPr>
              <w:t>论证克制</w:t>
            </w:r>
          </w:p>
        </w:tc>
        <w:tc>
          <w:tcPr>
            <w:tcW w:type="dxa" w:w="7848"/>
            <w:tcMar>
              <w:top w:w="90" w:type="dxa"/>
              <w:start w:w="120" w:type="dxa"/>
              <w:bottom w:w="90" w:type="dxa"/>
              <w:end w:w="120" w:type="dxa"/>
            </w:tcMar>
            <w:vAlign w:val="center"/>
          </w:tcPr>
          <w:p>
            <w:pPr>
              <w:spacing w:line="269" w:lineRule="auto" w:after="0"/>
            </w:pPr>
            <w:r>
              <w:rPr>
                <w:color w:val="17324D"/>
                <w:sz w:val="18"/>
              </w:rPr>
              <w:t>AI特异性、跨城市可迁移性和再生水收益均作为待检验命题，均按待检验命题表述。</w:t>
            </w:r>
          </w:p>
        </w:tc>
      </w:tr>
      <w:tr>
        <w:tc>
          <w:tcPr>
            <w:tcW w:type="dxa" w:w="1800"/>
            <w:shd w:fill="EAF8FB"/>
            <w:tcMar>
              <w:top w:w="90" w:type="dxa"/>
              <w:start w:w="120" w:type="dxa"/>
              <w:bottom w:w="90" w:type="dxa"/>
              <w:end w:w="120" w:type="dxa"/>
            </w:tcMar>
            <w:vAlign w:val="center"/>
          </w:tcPr>
          <w:p>
            <w:r>
              <w:rPr>
                <w:b/>
                <w:color w:val="092A55"/>
                <w:sz w:val="19"/>
              </w:rPr>
              <w:t>答辩节奏</w:t>
            </w:r>
          </w:p>
        </w:tc>
        <w:tc>
          <w:tcPr>
            <w:tcW w:type="dxa" w:w="7848"/>
            <w:tcMar>
              <w:top w:w="90" w:type="dxa"/>
              <w:start w:w="120" w:type="dxa"/>
              <w:bottom w:w="90" w:type="dxa"/>
              <w:end w:w="120" w:type="dxa"/>
            </w:tcMar>
            <w:vAlign w:val="center"/>
          </w:tcPr>
          <w:p>
            <w:pPr>
              <w:spacing w:line="269" w:lineRule="auto" w:after="0"/>
            </w:pPr>
            <w:r>
              <w:rPr>
                <w:color w:val="17324D"/>
                <w:sz w:val="18"/>
              </w:rPr>
              <w:t>17分钟左右完成正文；第5、8、10、11页为重点页；封面和总结页不超时。</w:t>
            </w:r>
          </w:p>
        </w:tc>
      </w:tr>
      <w:tr>
        <w:tc>
          <w:tcPr>
            <w:tcW w:type="dxa" w:w="1800"/>
            <w:shd w:fill="EAF8FB"/>
            <w:tcMar>
              <w:top w:w="90" w:type="dxa"/>
              <w:start w:w="120" w:type="dxa"/>
              <w:bottom w:w="90" w:type="dxa"/>
              <w:end w:w="120" w:type="dxa"/>
            </w:tcMar>
            <w:vAlign w:val="center"/>
          </w:tcPr>
          <w:p>
            <w:r>
              <w:rPr>
                <w:b/>
                <w:color w:val="092A55"/>
                <w:sz w:val="19"/>
              </w:rPr>
              <w:t>最终QA</w:t>
            </w:r>
          </w:p>
        </w:tc>
        <w:tc>
          <w:tcPr>
            <w:tcW w:type="dxa" w:w="7848"/>
            <w:tcMar>
              <w:top w:w="90" w:type="dxa"/>
              <w:start w:w="120" w:type="dxa"/>
              <w:bottom w:w="90" w:type="dxa"/>
              <w:end w:w="120" w:type="dxa"/>
            </w:tcMar>
            <w:vAlign w:val="center"/>
          </w:tcPr>
          <w:p>
            <w:pPr>
              <w:spacing w:line="269" w:lineRule="auto" w:after="0"/>
            </w:pPr>
            <w:r>
              <w:rPr>
                <w:color w:val="17324D"/>
                <w:sz w:val="18"/>
              </w:rPr>
              <w:t>PPTX生成后逐页渲染，检查重叠、裁切、字体替换、图例与标题错位；至少完成一次修复后复核。</w:t>
            </w:r>
          </w:p>
        </w:tc>
      </w:tr>
    </w:tbl>
    <w:tbl>
      <w:tblPr>
        <w:tblW w:type="auto" w:w="0"/>
        <w:jc w:val="center"/>
        <w:tblLayout w:type="fixed"/>
        <w:tblLook w:firstColumn="1" w:firstRow="1" w:lastColumn="0" w:lastRow="0" w:noHBand="0" w:noVBand="1" w:val="04A0"/>
        <w:tblBorders>
          <w:top w:val="single" w:sz="10" w:color="0EA5C6"/>
          <w:left w:val="single" w:sz="10" w:color="0EA5C6"/>
          <w:bottom w:val="single" w:sz="10" w:color="0EA5C6"/>
          <w:right w:val="single" w:sz="10" w:color="0EA5C6"/>
          <w:insideH w:val="single" w:sz="10" w:color="0EA5C6"/>
          <w:insideV w:val="single" w:sz="10" w:color="0EA5C6"/>
        </w:tblBorders>
      </w:tblPr>
      <w:tblGrid>
        <w:gridCol w:w="9677"/>
      </w:tblGrid>
      <w:tr>
        <w:tc>
          <w:tcPr>
            <w:tcW w:type="dxa" w:w="9677"/>
            <w:shd w:fill="EAF8FB"/>
            <w:tcMar>
              <w:top w:w="120" w:type="dxa"/>
              <w:start w:w="160" w:type="dxa"/>
              <w:bottom w:w="120" w:type="dxa"/>
              <w:end w:w="160" w:type="dxa"/>
            </w:tcMar>
          </w:tcPr>
          <w:p>
            <w:pPr>
              <w:spacing w:after="0" w:line="276" w:lineRule="auto"/>
            </w:pPr>
            <w:r>
              <w:rPr>
                <w:rFonts w:ascii="Microsoft YaHei" w:hAnsi="Microsoft YaHei" w:eastAsia="Microsoft YaHei"/>
                <w:b/>
                <w:color w:val="0EA5C6"/>
              </w:rPr>
              <w:t xml:space="preserve">建议审阅方式  </w:t>
            </w:r>
            <w:r>
              <w:rPr>
                <w:rFonts w:ascii="Microsoft YaHei" w:hAnsi="Microsoft YaHei" w:eastAsia="Microsoft YaHei"/>
                <w:b/>
                <w:color w:val="092A55"/>
              </w:rPr>
              <w:t>请直接在Word中按“页码—修改意见”批注；尤其确认第5页阈值、第6页研究边界、第8页数据门槛、第10页CAWCC定义与第12页进度安排。</w:t>
            </w:r>
          </w:p>
        </w:tc>
      </w:tr>
    </w:tbl>
    <w:p>
      <w:pPr>
        <w:spacing w:after="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5D7185"/>
        <w:sz w:val="16"/>
      </w:rPr>
      <w:t>审阅稿 · 基于《开题报告_0.8_聚焦强化版》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D7185"/>
        <w:sz w:val="16"/>
      </w:rPr>
      <w:t>AI-UWM 开题答辩PPT逐页内容设计方案  |  A类白底蓝青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74" w:lineRule="auto"/>
    </w:pPr>
    <w:rPr>
      <w:rFonts w:ascii="Microsoft YaHei" w:hAnsi="Microsoft YaHei" w:eastAsia="Microsoft YaHei"/>
      <w:color w:val="1732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b/>
      <w:bCs/>
      <w:color w:val="092A55"/>
      <w:sz w:val="36"/>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Microsoft YaHei" w:hAnsi="Microsoft YaHei" w:eastAsia="Microsoft YaHei"/>
      <w:b/>
      <w:bCs/>
      <w:color w:val="092A55"/>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Microsoft YaHei" w:hAnsi="Microsoft YaHei" w:eastAsia="Microsoft YaHei"/>
      <w:b/>
      <w:bCs/>
      <w:color w:val="0EA5C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092A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icrosoft YaHei" w:hAnsi="Microsoft YaHei" w:eastAsia="Microsoft YaHei"/>
      <w:b/>
      <w:i/>
      <w:iCs/>
      <w:color w:val="5D71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64" w:lineRule="auto"/>
      <w:ind w:left="547" w:hanging="274"/>
      <w:contextualSpacing/>
    </w:pPr>
    <w:rPr>
      <w:rFonts w:ascii="Microsoft YaHei" w:hAnsi="Microsoft YaHei" w:eastAsia="Microsoft YaHei"/>
      <w:color w:val="17324D"/>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4" w:line="264" w:lineRule="auto"/>
      <w:ind w:left="547" w:hanging="274"/>
      <w:contextualSpacing/>
    </w:pPr>
    <w:rPr>
      <w:rFonts w:ascii="Microsoft YaHei" w:hAnsi="Microsoft YaHei" w:eastAsia="Microsoft YaHei"/>
      <w:color w:val="17324D"/>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74" w:lineRule="auto"/>
    </w:pPr>
    <w:rPr>
      <w:rFonts w:ascii="Microsoft YaHei" w:hAnsi="Microsoft YaHei" w:eastAsia="Microsoft YaHei"/>
      <w:b/>
      <w:color w:val="092A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AI城市水代谢开题答辩PPT逐页内容设计方案（A类）</dc:title>
  <dc:subject>基于开题报告_0.8_聚焦强化版的12页开题答辩PPT内容蓝图</dc:subject>
  <dc:creator>Codex</dc:creator>
  <cp:keywords>AI-UWM; CAWCC; 城市水代谢; 开题答辩; PPT计划</cp:keywords>
  <dc:description>generated by python-docx</dc:description>
  <cp:lastModifiedBy/>
  <cp:revision>1</cp:revision>
  <dcterms:created xsi:type="dcterms:W3CDTF">2013-12-23T23:15:00Z</dcterms:created>
  <dcterms:modified xsi:type="dcterms:W3CDTF">2013-12-23T23:15:00Z</dcterms:modified>
  <cp:category/>
</cp:coreProperties>
</file>