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34EE5882">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_Toc9809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_Toc9809 \h </w:instrText>
      </w:r>
      <w:r>
        <w:fldChar w:fldCharType="separate"/>
      </w:r>
      <w:r>
        <w:t>4</w:t>
      </w:r>
      <w:r>
        <w:fldChar w:fldCharType="end"/>
      </w:r>
      <w:r>
        <w:fldChar w:fldCharType="end"/>
      </w:r>
    </w:p>
    <w:p w14:paraId="242A7AB1">
      <w:pPr>
        <w:pStyle w:val="12"/>
        <w:tabs>
          <w:tab w:val="right" w:leader="dot" w:pos="9075"/>
        </w:tabs>
      </w:pPr>
      <w:r>
        <w:fldChar w:fldCharType="begin"/>
      </w:r>
      <w:r>
        <w:instrText xml:space="preserve"> HYPERLINK \l _Toc730 </w:instrText>
      </w:r>
      <w:r>
        <w:fldChar w:fldCharType="separate"/>
      </w:r>
      <w:r>
        <w:rPr>
          <w:rFonts w:ascii="Times New Roman" w:hAnsi="Times New Roman" w:eastAsia="黑体" w:cs="Times New Roman"/>
          <w:bCs/>
          <w:szCs w:val="28"/>
        </w:rPr>
        <w:t>1.1 课题来源</w:t>
      </w:r>
      <w:r>
        <w:tab/>
      </w:r>
      <w:r>
        <w:fldChar w:fldCharType="begin"/>
      </w:r>
      <w:r>
        <w:instrText xml:space="preserve"> PAGEREF _Toc730 \h </w:instrText>
      </w:r>
      <w:r>
        <w:fldChar w:fldCharType="separate"/>
      </w:r>
      <w:r>
        <w:t>4</w:t>
      </w:r>
      <w:r>
        <w:fldChar w:fldCharType="end"/>
      </w:r>
      <w:r>
        <w:fldChar w:fldCharType="end"/>
      </w:r>
    </w:p>
    <w:p w14:paraId="33687872">
      <w:pPr>
        <w:pStyle w:val="12"/>
        <w:tabs>
          <w:tab w:val="right" w:leader="dot" w:pos="9075"/>
        </w:tabs>
      </w:pPr>
      <w:r>
        <w:fldChar w:fldCharType="begin"/>
      </w:r>
      <w:r>
        <w:instrText xml:space="preserve"> HYPERLINK \l _Toc21779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_Toc21779 \h </w:instrText>
      </w:r>
      <w:r>
        <w:fldChar w:fldCharType="separate"/>
      </w:r>
      <w:r>
        <w:t>4</w:t>
      </w:r>
      <w:r>
        <w:fldChar w:fldCharType="end"/>
      </w:r>
      <w:r>
        <w:fldChar w:fldCharType="end"/>
      </w:r>
    </w:p>
    <w:p w14:paraId="05F9B334">
      <w:pPr>
        <w:pStyle w:val="11"/>
        <w:tabs>
          <w:tab w:val="right" w:leader="dot" w:pos="9075"/>
        </w:tabs>
      </w:pPr>
      <w:r>
        <w:fldChar w:fldCharType="begin"/>
      </w:r>
      <w:r>
        <w:instrText xml:space="preserve"> HYPERLINK \l _Toc4379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_Toc4379 \h </w:instrText>
      </w:r>
      <w:r>
        <w:fldChar w:fldCharType="separate"/>
      </w:r>
      <w:r>
        <w:t>6</w:t>
      </w:r>
      <w:r>
        <w:fldChar w:fldCharType="end"/>
      </w:r>
      <w:r>
        <w:fldChar w:fldCharType="end"/>
      </w:r>
    </w:p>
    <w:p w14:paraId="4E5388BB">
      <w:pPr>
        <w:pStyle w:val="12"/>
        <w:tabs>
          <w:tab w:val="right" w:leader="dot" w:pos="9075"/>
        </w:tabs>
      </w:pPr>
      <w:r>
        <w:fldChar w:fldCharType="begin"/>
      </w:r>
      <w:r>
        <w:instrText xml:space="preserve"> HYPERLINK \l _Toc18013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_Toc18013 \h </w:instrText>
      </w:r>
      <w:r>
        <w:fldChar w:fldCharType="separate"/>
      </w:r>
      <w:r>
        <w:t>6</w:t>
      </w:r>
      <w:r>
        <w:fldChar w:fldCharType="end"/>
      </w:r>
      <w:r>
        <w:fldChar w:fldCharType="end"/>
      </w:r>
    </w:p>
    <w:p w14:paraId="52E68352">
      <w:pPr>
        <w:pStyle w:val="5"/>
        <w:tabs>
          <w:tab w:val="right" w:leader="dot" w:pos="9075"/>
        </w:tabs>
      </w:pPr>
      <w:r>
        <w:fldChar w:fldCharType="begin"/>
      </w:r>
      <w:r>
        <w:instrText xml:space="preserve"> HYPERLINK \l _Toc9782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_Toc9782 \h </w:instrText>
      </w:r>
      <w:r>
        <w:fldChar w:fldCharType="separate"/>
      </w:r>
      <w:r>
        <w:t>6</w:t>
      </w:r>
      <w:r>
        <w:fldChar w:fldCharType="end"/>
      </w:r>
      <w:r>
        <w:fldChar w:fldCharType="end"/>
      </w:r>
    </w:p>
    <w:p w14:paraId="7714D22A">
      <w:pPr>
        <w:pStyle w:val="5"/>
        <w:tabs>
          <w:tab w:val="right" w:leader="dot" w:pos="9075"/>
        </w:tabs>
      </w:pPr>
      <w:r>
        <w:fldChar w:fldCharType="begin"/>
      </w:r>
      <w:r>
        <w:instrText xml:space="preserve"> HYPERLINK \l _Toc5313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_Toc5313 \h </w:instrText>
      </w:r>
      <w:r>
        <w:fldChar w:fldCharType="separate"/>
      </w:r>
      <w:r>
        <w:t>6</w:t>
      </w:r>
      <w:r>
        <w:fldChar w:fldCharType="end"/>
      </w:r>
      <w:r>
        <w:fldChar w:fldCharType="end"/>
      </w:r>
    </w:p>
    <w:p w14:paraId="591E1E3B">
      <w:pPr>
        <w:pStyle w:val="5"/>
        <w:tabs>
          <w:tab w:val="right" w:leader="dot" w:pos="9075"/>
        </w:tabs>
      </w:pPr>
      <w:r>
        <w:fldChar w:fldCharType="begin"/>
      </w:r>
      <w:r>
        <w:instrText xml:space="preserve"> HYPERLINK \l _Toc14354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_Toc14354 \h </w:instrText>
      </w:r>
      <w:r>
        <w:fldChar w:fldCharType="separate"/>
      </w:r>
      <w:r>
        <w:t>6</w:t>
      </w:r>
      <w:r>
        <w:fldChar w:fldCharType="end"/>
      </w:r>
      <w:r>
        <w:fldChar w:fldCharType="end"/>
      </w:r>
    </w:p>
    <w:p w14:paraId="13095757">
      <w:pPr>
        <w:pStyle w:val="5"/>
        <w:tabs>
          <w:tab w:val="right" w:leader="dot" w:pos="9075"/>
        </w:tabs>
      </w:pPr>
      <w:r>
        <w:fldChar w:fldCharType="begin"/>
      </w:r>
      <w:r>
        <w:instrText xml:space="preserve"> HYPERLINK \l _Toc30135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_Toc30135 \h </w:instrText>
      </w:r>
      <w:r>
        <w:fldChar w:fldCharType="separate"/>
      </w:r>
      <w:r>
        <w:t>7</w:t>
      </w:r>
      <w:r>
        <w:fldChar w:fldCharType="end"/>
      </w:r>
      <w:r>
        <w:fldChar w:fldCharType="end"/>
      </w:r>
    </w:p>
    <w:p w14:paraId="49DCF42E">
      <w:pPr>
        <w:pStyle w:val="5"/>
        <w:tabs>
          <w:tab w:val="right" w:leader="dot" w:pos="9075"/>
        </w:tabs>
      </w:pPr>
      <w:r>
        <w:fldChar w:fldCharType="begin"/>
      </w:r>
      <w:r>
        <w:instrText xml:space="preserve"> HYPERLINK \l _Toc10413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_Toc10413 \h </w:instrText>
      </w:r>
      <w:r>
        <w:fldChar w:fldCharType="separate"/>
      </w:r>
      <w:r>
        <w:t>7</w:t>
      </w:r>
      <w:r>
        <w:fldChar w:fldCharType="end"/>
      </w:r>
      <w:r>
        <w:fldChar w:fldCharType="end"/>
      </w:r>
    </w:p>
    <w:p w14:paraId="7F05078F">
      <w:pPr>
        <w:pStyle w:val="12"/>
        <w:tabs>
          <w:tab w:val="right" w:leader="dot" w:pos="9075"/>
        </w:tabs>
      </w:pPr>
      <w:r>
        <w:fldChar w:fldCharType="begin"/>
      </w:r>
      <w:r>
        <w:instrText xml:space="preserve"> HYPERLINK \l _Toc25610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_Toc25610 \h </w:instrText>
      </w:r>
      <w:r>
        <w:fldChar w:fldCharType="separate"/>
      </w:r>
      <w:r>
        <w:t>7</w:t>
      </w:r>
      <w:r>
        <w:fldChar w:fldCharType="end"/>
      </w:r>
      <w:r>
        <w:fldChar w:fldCharType="end"/>
      </w:r>
    </w:p>
    <w:p w14:paraId="34E953F0">
      <w:pPr>
        <w:pStyle w:val="12"/>
        <w:tabs>
          <w:tab w:val="right" w:leader="dot" w:pos="9075"/>
        </w:tabs>
      </w:pPr>
      <w:r>
        <w:fldChar w:fldCharType="begin"/>
      </w:r>
      <w:r>
        <w:instrText xml:space="preserve"> HYPERLINK \l _Toc11620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_Toc11620 \h </w:instrText>
      </w:r>
      <w:r>
        <w:fldChar w:fldCharType="separate"/>
      </w:r>
      <w:r>
        <w:t>8</w:t>
      </w:r>
      <w:r>
        <w:fldChar w:fldCharType="end"/>
      </w:r>
      <w:r>
        <w:fldChar w:fldCharType="end"/>
      </w:r>
    </w:p>
    <w:p w14:paraId="25BB0E9F">
      <w:pPr>
        <w:pStyle w:val="11"/>
        <w:tabs>
          <w:tab w:val="right" w:leader="dot" w:pos="9075"/>
        </w:tabs>
      </w:pPr>
      <w:r>
        <w:fldChar w:fldCharType="begin"/>
      </w:r>
      <w:r>
        <w:instrText xml:space="preserve"> HYPERLINK \l _Toc13945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_Toc13945 \h </w:instrText>
      </w:r>
      <w:r>
        <w:fldChar w:fldCharType="separate"/>
      </w:r>
      <w:r>
        <w:t>9</w:t>
      </w:r>
      <w:r>
        <w:fldChar w:fldCharType="end"/>
      </w:r>
      <w:r>
        <w:fldChar w:fldCharType="end"/>
      </w:r>
    </w:p>
    <w:p w14:paraId="6BDA182C">
      <w:pPr>
        <w:pStyle w:val="12"/>
        <w:tabs>
          <w:tab w:val="right" w:leader="dot" w:pos="9075"/>
        </w:tabs>
      </w:pPr>
      <w:r>
        <w:fldChar w:fldCharType="begin"/>
      </w:r>
      <w:r>
        <w:instrText xml:space="preserve"> HYPERLINK \l _Toc9600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_Toc9600 \h </w:instrText>
      </w:r>
      <w:r>
        <w:fldChar w:fldCharType="separate"/>
      </w:r>
      <w:r>
        <w:t>9</w:t>
      </w:r>
      <w:r>
        <w:fldChar w:fldCharType="end"/>
      </w:r>
      <w:r>
        <w:fldChar w:fldCharType="end"/>
      </w:r>
    </w:p>
    <w:p w14:paraId="7D9CB7F6">
      <w:pPr>
        <w:pStyle w:val="12"/>
        <w:tabs>
          <w:tab w:val="right" w:leader="dot" w:pos="9075"/>
        </w:tabs>
      </w:pPr>
      <w:r>
        <w:fldChar w:fldCharType="begin"/>
      </w:r>
      <w:r>
        <w:instrText xml:space="preserve"> HYPERLINK \l _Toc19587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_Toc19587 \h </w:instrText>
      </w:r>
      <w:r>
        <w:fldChar w:fldCharType="separate"/>
      </w:r>
      <w:r>
        <w:t>10</w:t>
      </w:r>
      <w:r>
        <w:fldChar w:fldCharType="end"/>
      </w:r>
      <w:r>
        <w:fldChar w:fldCharType="end"/>
      </w:r>
    </w:p>
    <w:p w14:paraId="2F48328D">
      <w:pPr>
        <w:pStyle w:val="12"/>
        <w:tabs>
          <w:tab w:val="right" w:leader="dot" w:pos="9075"/>
        </w:tabs>
      </w:pPr>
      <w:r>
        <w:fldChar w:fldCharType="begin"/>
      </w:r>
      <w:r>
        <w:instrText xml:space="preserve"> HYPERLINK \l _Toc611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_Toc611 \h </w:instrText>
      </w:r>
      <w:r>
        <w:fldChar w:fldCharType="separate"/>
      </w:r>
      <w:r>
        <w:t>10</w:t>
      </w:r>
      <w:r>
        <w:fldChar w:fldCharType="end"/>
      </w:r>
      <w:r>
        <w:fldChar w:fldCharType="end"/>
      </w:r>
    </w:p>
    <w:p w14:paraId="18D58270">
      <w:pPr>
        <w:pStyle w:val="12"/>
        <w:tabs>
          <w:tab w:val="right" w:leader="dot" w:pos="9075"/>
        </w:tabs>
      </w:pPr>
      <w:r>
        <w:fldChar w:fldCharType="begin"/>
      </w:r>
      <w:r>
        <w:instrText xml:space="preserve"> HYPERLINK \l _Toc2683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_Toc2683 \h </w:instrText>
      </w:r>
      <w:r>
        <w:fldChar w:fldCharType="separate"/>
      </w:r>
      <w:r>
        <w:t>12</w:t>
      </w:r>
      <w:r>
        <w:fldChar w:fldCharType="end"/>
      </w:r>
      <w:r>
        <w:fldChar w:fldCharType="end"/>
      </w:r>
    </w:p>
    <w:p w14:paraId="04CDCF18">
      <w:pPr>
        <w:pStyle w:val="12"/>
        <w:tabs>
          <w:tab w:val="right" w:leader="dot" w:pos="9075"/>
        </w:tabs>
      </w:pPr>
      <w:r>
        <w:fldChar w:fldCharType="begin"/>
      </w:r>
      <w:r>
        <w:instrText xml:space="preserve"> HYPERLINK \l _Toc13755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_Toc13755 \h </w:instrText>
      </w:r>
      <w:r>
        <w:fldChar w:fldCharType="separate"/>
      </w:r>
      <w:r>
        <w:t>13</w:t>
      </w:r>
      <w:r>
        <w:fldChar w:fldCharType="end"/>
      </w:r>
      <w:r>
        <w:fldChar w:fldCharType="end"/>
      </w:r>
    </w:p>
    <w:p w14:paraId="737D9C26">
      <w:pPr>
        <w:pStyle w:val="12"/>
        <w:tabs>
          <w:tab w:val="right" w:leader="dot" w:pos="9075"/>
        </w:tabs>
      </w:pPr>
      <w:r>
        <w:fldChar w:fldCharType="begin"/>
      </w:r>
      <w:r>
        <w:instrText xml:space="preserve"> HYPERLINK \l _Toc26453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_Toc26453 \h </w:instrText>
      </w:r>
      <w:r>
        <w:fldChar w:fldCharType="separate"/>
      </w:r>
      <w:r>
        <w:t>16</w:t>
      </w:r>
      <w:r>
        <w:fldChar w:fldCharType="end"/>
      </w:r>
      <w:r>
        <w:fldChar w:fldCharType="end"/>
      </w:r>
    </w:p>
    <w:p w14:paraId="0F45D251">
      <w:pPr>
        <w:pStyle w:val="12"/>
        <w:tabs>
          <w:tab w:val="right" w:leader="dot" w:pos="9075"/>
        </w:tabs>
      </w:pPr>
      <w:r>
        <w:fldChar w:fldCharType="begin"/>
      </w:r>
      <w:r>
        <w:instrText xml:space="preserve"> HYPERLINK \l _Toc32420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_Toc32420 \h </w:instrText>
      </w:r>
      <w:r>
        <w:fldChar w:fldCharType="separate"/>
      </w:r>
      <w:r>
        <w:t>16</w:t>
      </w:r>
      <w:r>
        <w:fldChar w:fldCharType="end"/>
      </w:r>
      <w:r>
        <w:fldChar w:fldCharType="end"/>
      </w:r>
    </w:p>
    <w:p w14:paraId="60B6FEFA">
      <w:pPr>
        <w:pStyle w:val="11"/>
        <w:tabs>
          <w:tab w:val="right" w:leader="dot" w:pos="9075"/>
        </w:tabs>
      </w:pPr>
      <w:r>
        <w:fldChar w:fldCharType="begin"/>
      </w:r>
      <w:r>
        <w:instrText xml:space="preserve"> HYPERLINK \l _Toc8657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_Toc8657 \h </w:instrText>
      </w:r>
      <w:r>
        <w:fldChar w:fldCharType="separate"/>
      </w:r>
      <w:r>
        <w:t>18</w:t>
      </w:r>
      <w:r>
        <w:fldChar w:fldCharType="end"/>
      </w:r>
      <w:r>
        <w:fldChar w:fldCharType="end"/>
      </w:r>
    </w:p>
    <w:p w14:paraId="5AC73275">
      <w:pPr>
        <w:pStyle w:val="12"/>
        <w:tabs>
          <w:tab w:val="right" w:leader="dot" w:pos="9075"/>
        </w:tabs>
      </w:pPr>
      <w:r>
        <w:fldChar w:fldCharType="begin"/>
      </w:r>
      <w:r>
        <w:instrText xml:space="preserve"> HYPERLINK \l _Toc29869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_Toc29869 \h </w:instrText>
      </w:r>
      <w:r>
        <w:fldChar w:fldCharType="separate"/>
      </w:r>
      <w:r>
        <w:t>18</w:t>
      </w:r>
      <w:r>
        <w:fldChar w:fldCharType="end"/>
      </w:r>
      <w:r>
        <w:fldChar w:fldCharType="end"/>
      </w:r>
    </w:p>
    <w:p w14:paraId="44823BB8">
      <w:pPr>
        <w:pStyle w:val="12"/>
        <w:tabs>
          <w:tab w:val="right" w:leader="dot" w:pos="9075"/>
        </w:tabs>
      </w:pPr>
      <w:r>
        <w:fldChar w:fldCharType="begin"/>
      </w:r>
      <w:r>
        <w:instrText xml:space="preserve"> HYPERLINK \l _Toc8163 </w:instrText>
      </w:r>
      <w:r>
        <w:fldChar w:fldCharType="separate"/>
      </w:r>
      <w:r>
        <w:rPr>
          <w:rFonts w:ascii="Times New Roman" w:hAnsi="Times New Roman" w:eastAsia="黑体" w:cs="Times New Roman"/>
          <w:bCs/>
          <w:szCs w:val="28"/>
        </w:rPr>
        <w:t>4.2 预期创新</w:t>
      </w:r>
      <w:r>
        <w:tab/>
      </w:r>
      <w:r>
        <w:fldChar w:fldCharType="begin"/>
      </w:r>
      <w:r>
        <w:instrText xml:space="preserve"> PAGEREF _Toc8163 \h </w:instrText>
      </w:r>
      <w:r>
        <w:fldChar w:fldCharType="separate"/>
      </w:r>
      <w:r>
        <w:t>18</w:t>
      </w:r>
      <w:r>
        <w:fldChar w:fldCharType="end"/>
      </w:r>
      <w:r>
        <w:fldChar w:fldCharType="end"/>
      </w:r>
    </w:p>
    <w:p w14:paraId="66166625">
      <w:pPr>
        <w:pStyle w:val="12"/>
        <w:tabs>
          <w:tab w:val="right" w:leader="dot" w:pos="9075"/>
        </w:tabs>
      </w:pPr>
      <w:r>
        <w:fldChar w:fldCharType="begin"/>
      </w:r>
      <w:r>
        <w:instrText xml:space="preserve"> HYPERLINK \l _Toc26639 </w:instrText>
      </w:r>
      <w:r>
        <w:fldChar w:fldCharType="separate"/>
      </w:r>
      <w:r>
        <w:rPr>
          <w:rFonts w:ascii="Times New Roman" w:hAnsi="Times New Roman" w:eastAsia="黑体" w:cs="Times New Roman"/>
          <w:bCs/>
          <w:szCs w:val="28"/>
        </w:rPr>
        <w:t>4.3 预期成果</w:t>
      </w:r>
      <w:r>
        <w:tab/>
      </w:r>
      <w:r>
        <w:fldChar w:fldCharType="begin"/>
      </w:r>
      <w:r>
        <w:instrText xml:space="preserve"> PAGEREF _Toc26639 \h </w:instrText>
      </w:r>
      <w:r>
        <w:fldChar w:fldCharType="separate"/>
      </w:r>
      <w:r>
        <w:t>19</w:t>
      </w:r>
      <w:r>
        <w:fldChar w:fldCharType="end"/>
      </w:r>
      <w:r>
        <w:fldChar w:fldCharType="end"/>
      </w:r>
    </w:p>
    <w:p w14:paraId="1DB6D466">
      <w:pPr>
        <w:pStyle w:val="12"/>
        <w:tabs>
          <w:tab w:val="right" w:leader="dot" w:pos="9075"/>
        </w:tabs>
      </w:pPr>
      <w:r>
        <w:fldChar w:fldCharType="begin"/>
      </w:r>
      <w:r>
        <w:instrText xml:space="preserve"> HYPERLINK \l _Toc21140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_Toc21140 \h </w:instrText>
      </w:r>
      <w:r>
        <w:fldChar w:fldCharType="separate"/>
      </w:r>
      <w:r>
        <w:t>19</w:t>
      </w:r>
      <w:r>
        <w:fldChar w:fldCharType="end"/>
      </w:r>
      <w:r>
        <w:fldChar w:fldCharType="end"/>
      </w:r>
    </w:p>
    <w:p w14:paraId="55C9EB4E">
      <w:pPr>
        <w:pStyle w:val="11"/>
        <w:tabs>
          <w:tab w:val="right" w:leader="dot" w:pos="9075"/>
        </w:tabs>
      </w:pPr>
      <w:r>
        <w:fldChar w:fldCharType="begin"/>
      </w:r>
      <w:r>
        <w:instrText xml:space="preserve"> HYPERLINK \l _Toc10395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_Toc10395 \h </w:instrText>
      </w:r>
      <w:r>
        <w:fldChar w:fldCharType="separate"/>
      </w:r>
      <w:r>
        <w:t>19</w:t>
      </w:r>
      <w:r>
        <w:fldChar w:fldCharType="end"/>
      </w:r>
      <w:r>
        <w:fldChar w:fldCharType="end"/>
      </w:r>
    </w:p>
    <w:p w14:paraId="2FB3F5E2">
      <w:pPr>
        <w:pStyle w:val="11"/>
        <w:tabs>
          <w:tab w:val="right" w:leader="dot" w:pos="9075"/>
        </w:tabs>
      </w:pPr>
      <w:r>
        <w:fldChar w:fldCharType="begin"/>
      </w:r>
      <w:r>
        <w:instrText xml:space="preserve"> HYPERLINK \l _Toc2477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_Toc2477 \h </w:instrText>
      </w:r>
      <w:r>
        <w:fldChar w:fldCharType="separate"/>
      </w:r>
      <w:r>
        <w:t>19</w:t>
      </w:r>
      <w:r>
        <w:fldChar w:fldCharType="end"/>
      </w:r>
      <w:r>
        <w:fldChar w:fldCharType="end"/>
      </w:r>
    </w:p>
    <w:p w14:paraId="737D4B87">
      <w:pPr>
        <w:pStyle w:val="11"/>
        <w:tabs>
          <w:tab w:val="right" w:leader="dot" w:pos="9075"/>
        </w:tabs>
      </w:pPr>
      <w:r>
        <w:fldChar w:fldCharType="begin"/>
      </w:r>
      <w:r>
        <w:instrText xml:space="preserve"> HYPERLINK \l _Toc4402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_Toc4402 \h </w:instrText>
      </w:r>
      <w:r>
        <w:fldChar w:fldCharType="separate"/>
      </w:r>
      <w:r>
        <w:t>20</w:t>
      </w:r>
      <w:r>
        <w:fldChar w:fldCharType="end"/>
      </w:r>
      <w:r>
        <w:fldChar w:fldCharType="end"/>
      </w:r>
    </w:p>
    <w:p w14:paraId="13BBDDCC">
      <w:pPr>
        <w:pStyle w:val="12"/>
        <w:tabs>
          <w:tab w:val="right" w:leader="dot" w:pos="9075"/>
        </w:tabs>
      </w:pPr>
      <w:r>
        <w:fldChar w:fldCharType="begin"/>
      </w:r>
      <w:r>
        <w:instrText xml:space="preserve"> HYPERLINK \l _Toc15846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_Toc15846 \h </w:instrText>
      </w:r>
      <w:r>
        <w:fldChar w:fldCharType="separate"/>
      </w:r>
      <w:r>
        <w:t>20</w:t>
      </w:r>
      <w:r>
        <w:fldChar w:fldCharType="end"/>
      </w:r>
      <w:r>
        <w:fldChar w:fldCharType="end"/>
      </w:r>
    </w:p>
    <w:p w14:paraId="770125AE">
      <w:pPr>
        <w:pStyle w:val="12"/>
        <w:tabs>
          <w:tab w:val="right" w:leader="dot" w:pos="9075"/>
        </w:tabs>
      </w:pPr>
      <w:r>
        <w:fldChar w:fldCharType="begin"/>
      </w:r>
      <w:r>
        <w:instrText xml:space="preserve"> HYPERLINK \l _Toc25526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_Toc25526 \h </w:instrText>
      </w:r>
      <w:r>
        <w:fldChar w:fldCharType="separate"/>
      </w:r>
      <w:r>
        <w:t>20</w:t>
      </w:r>
      <w:r>
        <w:fldChar w:fldCharType="end"/>
      </w:r>
      <w:r>
        <w:fldChar w:fldCharType="end"/>
      </w:r>
    </w:p>
    <w:p w14:paraId="69260B55">
      <w:pPr>
        <w:pStyle w:val="11"/>
        <w:tabs>
          <w:tab w:val="right" w:leader="dot" w:pos="9075"/>
        </w:tabs>
      </w:pPr>
      <w:r>
        <w:fldChar w:fldCharType="begin"/>
      </w:r>
      <w:r>
        <w:instrText xml:space="preserve"> HYPERLINK \l _Toc19828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_Toc19828 \h </w:instrText>
      </w:r>
      <w:r>
        <w:fldChar w:fldCharType="separate"/>
      </w:r>
      <w:r>
        <w:t>21</w:t>
      </w:r>
      <w:r>
        <w:fldChar w:fldCharType="end"/>
      </w:r>
      <w:r>
        <w:fldChar w:fldCharType="end"/>
      </w:r>
      <w:bookmarkStart w:id="61" w:name="_GoBack"/>
      <w:bookmarkEnd w:id="61"/>
    </w:p>
    <w:p w14:paraId="36321108">
      <w:pPr>
        <w:pStyle w:val="12"/>
        <w:tabs>
          <w:tab w:val="right" w:leader="dot" w:pos="9075"/>
        </w:tabs>
      </w:pPr>
      <w:r>
        <w:fldChar w:fldCharType="begin"/>
      </w:r>
      <w:r>
        <w:instrText xml:space="preserve"> HYPERLINK \l _Toc8666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_Toc8666 \h </w:instrText>
      </w:r>
      <w:r>
        <w:fldChar w:fldCharType="separate"/>
      </w:r>
      <w:r>
        <w:t>21</w:t>
      </w:r>
      <w:r>
        <w:fldChar w:fldCharType="end"/>
      </w:r>
      <w:r>
        <w:fldChar w:fldCharType="end"/>
      </w:r>
    </w:p>
    <w:p w14:paraId="79A88000">
      <w:pPr>
        <w:pStyle w:val="11"/>
        <w:tabs>
          <w:tab w:val="right" w:leader="dot" w:pos="9075"/>
        </w:tabs>
      </w:pPr>
      <w:r>
        <w:fldChar w:fldCharType="begin"/>
      </w:r>
      <w:r>
        <w:instrText xml:space="preserve"> HYPERLINK \l _Toc17968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_Toc17968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9809"/>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730"/>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的原型系统（Archetype System）建模：以代表性气候带、水资源禀赋与供排水设施水平的组合定义若干原型城市水系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31920"/>
      <w:bookmarkStart w:id="5" w:name="_Toc2177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10098"/>
      <w:bookmarkStart w:id="8" w:name="_Toc4379"/>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8013"/>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978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[16]，相关综述指出子系统连接、尺度转换、校准和不确定性处理的关键边界[12,17]；WSIMOD以节点—弧线结构实现水量水质守恒和模块复用[13]，系统动力学等方法用于反馈分析和决策[18]，多目标建模与集成—系统动力学路径的适用边界也已被系统比较[19]。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[20]。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5313"/>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[21]，后续研究比较了不同核算边界与指标，并指出水源或处理技术变化可能造成能源与排放转移[22,23]。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14354"/>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AI环境足迹研究已形成能源和碳核算基础，涵盖训练能耗量化[25]、Green AI理念[26]与人工智能碳影响综述[27]，但相关核算以设施与模型生命周期为边界，对城市供排水系统反馈的描述仍不足。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[28]进一步说明水耗随气候条件与冷却技术显著变化，AI模型水足迹也具有显著时空差异[29]。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数据中心—污水厂协同研究展示了数—水共生潜力[30]。</w:t>
      </w:r>
    </w:p>
    <w:p w14:paraId="4E28DE6E">
      <w:pPr>
        <w:pStyle w:val="24"/>
        <w:pageBreakBefore w:val="0"/>
        <w:ind w:firstLine="0" w:firstLineChars="0"/>
        <w:outlineLvl w:val="2"/>
      </w:pPr>
      <w:bookmarkStart w:id="17" w:name="_Toc8135"/>
      <w:bookmarkStart w:id="18" w:name="_Toc30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[31,32]，指出液冷的高热流密度优势及集成控制挑战[33]，生命周期评价方法也被用于比较冷却方案的环境影响[34]。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0413"/>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水资源系统可用可靠性、恢复性和脆弱性评价服务绩效[35]；稳健优化与动态适应路径可处理极端干旱等气候不确定性，并支持分阶段决策[36,37]。这些方法为多压力情景、失效判据和干预时序提供依据。</w:t>
      </w:r>
    </w:p>
    <w:p w14:paraId="1B245A3B">
      <w:pPr>
        <w:pStyle w:val="23"/>
        <w:pageBreakBefore w:val="0"/>
        <w:ind w:firstLine="0" w:firstLineChars="0"/>
        <w:outlineLvl w:val="1"/>
      </w:pPr>
      <w:bookmarkStart w:id="21" w:name="_Toc14570"/>
      <w:bookmarkStart w:id="22" w:name="_Toc25610"/>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[38]，设计承载容量进一步纳入工程供给能力[39]；案例研究表明人口、经济、供水和环境存在非线性反馈，承载状态随发展情景变化[40]，承载力极限的存在性也获得实证检验[41]。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[42]，并从城市代谢视角总结水—能耦合和资源转移效应[43]。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[44]；国家标准也规定了水资源使用效率口径[45]。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Dai等结合系统动力学与GIS模拟流域社会经济与水量利用的时空变化，发现承载阈值随系统状态与压力变化[46]，为条件化承载边界提供了直接依据。</w:t>
      </w:r>
    </w:p>
    <w:p w14:paraId="1D67D740">
      <w:r>
        <w:t>Cai等构建北京物理—虚拟水循环生态网络，识别了水配送、漏损、污水处理和再生水对系统韧性的作用[47]；本课题将在原型系统参数域中检验水源结构调整对AI承载边界和主导瓶颈的影响。</w:t>
      </w:r>
    </w:p>
    <w:p w14:paraId="7E14F926">
      <w:r>
        <w:t>Zou等将生态网络分析与NSGA-II[48]双目标优化结合，在北京水代谢网络中同步优化能耗和韧性[49]；本课题进一步把瓶颈识别和干预分析扩展到AI负荷及冷却过程。</w:t>
      </w:r>
    </w:p>
    <w:p w14:paraId="39638A3E">
      <w:pPr>
        <w:pStyle w:val="23"/>
        <w:pageBreakBefore w:val="0"/>
        <w:ind w:firstLine="0" w:firstLineChars="0"/>
        <w:outlineLvl w:val="1"/>
      </w:pPr>
      <w:bookmarkStart w:id="23" w:name="_Toc15689"/>
      <w:bookmarkStart w:id="24" w:name="_Toc11620"/>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21069"/>
      <w:bookmarkStart w:id="26" w:name="_Toc13945"/>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9600"/>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19587"/>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611"/>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数据中心是空间上高度集中的超大型单体点源负荷（单一园区IT容量可达百兆瓦乃至吉瓦量级），而由WaterMet²、WSIMOD等综合城市水系统模型演化而来的AI-UWM本质上是集总式（Lumped）宏观分区节点网络，不解析管网拓扑与节点间空间距离；若仅按全市总量评价，点源强度会被平均余量掩盖。为此，模型把AI设为独立的高强度需求节点并单独设置“局部接入”约束（见表3-2），把局部接入能力、接入距离与厂内回用比例列为外生参数做敏感性检验；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按循环水量与进出水温差确定循环流量；湿式排热的蒸发量由循环流量、进出塔水温与气象条件决定，湿球温度构成冷却塔出水温度的物理下限；补水量为蒸发量、飘散损失与排污量之和，排污量取决于浓缩倍数。提高浓缩倍数或改用干式排热在降低补水的同时也减少排污，二者通过再生水源量相互牵连。干式排热以空气显热换热取代蒸发潜热换热，换热温差与风机功耗大幅上升，可用逼近度随湿球温度升高而恶化，高温时段单位排热的能耗代价最高，因此干式替代实质上把部分水约束转换为电力约束，其可行范围受峰值电力与接网容量限制（见表3-2扩展约束）。模型把干湿混合比例设为外生方案参数，同步核算补水量与排热能耗；设施能耗以随负载率变化的效率曲线计算，而非固定电能使用效率（Power Usage Effectiveness, PUE），以反映低负载工况下的能耗与排热增量。</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[50,51]，工业冷却再生水回用条件参见综述[52]，数据中心用水效率按水资源使用效率（Water Use Efficiency, WUE）标准统一口径[45]。</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AI负荷的日内过程按训练与推理两类负载分别设定：训练负载按近似连续基荷处理，推理负载按跟随城市用电负荷曲线的日分布处理，二者按占比合成日内负载系数 α(t)，其日均值与波动幅度由工程文献与公开运行资料确定并纳入敏感性分析。α(t) 取常数时模型退化为恒定满负荷情形，用于检验峰值叠加是否仅由高温决定；取日分布时用于识别AI负荷峰值与传统需水峰值的重合程度。城市用电峰值与用水峰值通常不在同一时刻，模型通过改变两者相位差检验“错峰”与“重合”两种情形，分离“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存在非对称关系：蒸发与飘散损失属不可回收消耗，不返回城市污水系统，相同取水量下蒸发损失率越高，回流量越少。模型把“蒸发损失—回流量—再生水可利用源量”作为显式核算链条，用于描述不同冷却方式对水循环路径的影响；在城市尺度下，该链条的作用表现为改变AI用水结构与水源配置需求。缺水情景下冷却系统提高浓缩倍数或改用干式排热，城市同时提高非传统水源配置比例，二者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主要来源于居民、工业、商业与公共设施的综合污水，数据中心排水在城市污水总量中的占比通常较小，即便在算力规模快速扩张、取排水集中于单一园区的情况下，其增量仍不足以显著改变城市再生水可利用源量；城市尺度承载边界的变化由新增取水需求与峰值供水压力决定。</w:t>
      </w:r>
    </w:p>
    <w:p w14:paraId="37CFF01D">
      <w:pPr>
        <w:pStyle w:val="23"/>
        <w:pageBreakBefore w:val="0"/>
        <w:ind w:firstLine="0" w:firstLineChars="0"/>
        <w:outlineLvl w:val="1"/>
      </w:pPr>
      <w:bookmarkStart w:id="31" w:name="_Toc2683"/>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w:t>
      </w:r>
    </w:p>
    <w:p w14:paraId="4C4D39AF">
      <w:pPr>
        <w:pStyle w:val="23"/>
        <w:pageBreakBefore w:val="0"/>
        <w:ind w:firstLine="0" w:firstLineChars="0"/>
        <w:outlineLvl w:val="1"/>
      </w:pPr>
      <w:bookmarkStart w:id="32" w:name="_Toc13755"/>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随城市水系统状态、供水配置、气候条件与服务可靠性要求变化；AI规模增加使各约束的剩余裕度下降，当某一约束最先达到失效条件时，即形成该条件下的承载边界。各类约束的阈值来源于设计能力、工程标准、公开运行资料或明确的情景假设，并在参数表中记录来源与适用条件，核心约束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r>
        <w:rPr>
          <w:rFonts w:hint="eastAsia" w:cs="Times New Roman"/>
          <w:sz w:val="24"/>
          <w:szCs w:val="24"/>
          <w:lang w:eastAsia="zh-CN"/>
        </w:rPr>
        <w:t>，</w:t>
      </w:r>
      <w:r>
        <w:rPr>
          <w:rFonts w:hint="eastAsia" w:cs="Times New Roman"/>
          <w:sz w:val="24"/>
          <w:szCs w:val="24"/>
          <w:lang w:val="en-US" w:eastAsia="zh-CN"/>
        </w:rPr>
        <w:t>如</w:t>
      </w:r>
      <w:r>
        <w:rPr>
          <w:rFonts w:ascii="Times New Roman" w:hAnsi="Times New Roman" w:eastAsia="宋体" w:cs="Times New Roman"/>
          <w:sz w:val="24"/>
          <w:szCs w:val="24"/>
        </w:rPr>
        <w:t>：</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w:t>
      </w:r>
    </w:p>
    <w:p w14:paraId="7330F92D">
      <w:pPr>
        <w:spacing w:before="0" w:after="0" w:line="360" w:lineRule="auto"/>
        <w:ind w:firstLine="420"/>
      </w:pPr>
      <w:r>
        <w:rPr>
          <w:rFonts w:ascii="Times New Roman" w:hAnsi="Times New Roman" w:eastAsia="宋体"/>
          <w:sz w:val="24"/>
          <w:szCs w:val="24"/>
        </w:rPr>
        <w:t>AI-UWM同时描述设施尺度与城市尺度的水量过程，二者在承载评价中的作用不同：设施尺度的内部回用与排放过程用于核算水量路径，城市尺度的承载边界则由新增取水需求、峰值供水压力与公共设施能力决定。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使能耗峰值与水量峰值同时纳入核算。碳排放阈值取决于区域电网结构与政策情景，缺乏可迁移的物理失效阈值，故不参与承载边界求解，而在求得承载边界后于固定AI容量下与水耗并列核算，用于识别节水措施可能造成的能耗与碳排放转移；模型由此定位为以水系统物理承载力为主、能—碳效应作为外部环境影响后评估的分析框架。同理，以干式排热替代湿冷是以显著提高的风机与制冷能耗换取补水削减，其能耗代价随湿球温度上升而增大，并受峰值电力与接网容量限制，该措施改变主导约束的相对位置（由水约束转向能—电约束），承载边界依然存在。</w:t>
      </w:r>
    </w:p>
    <w:p w14:paraId="02796006">
      <w:pPr>
        <w:spacing w:before="0" w:after="0" w:line="360" w:lineRule="auto"/>
        <w:ind w:firstLine="420"/>
      </w:pPr>
      <w:r>
        <w:rPr>
          <w:rFonts w:ascii="Times New Roman" w:hAnsi="Times New Roman" w:eastAsia="宋体" w:cs="Times New Roman"/>
          <w:b w:val="0"/>
          <w:color w:val="000000"/>
          <w:sz w:val="24"/>
        </w:rPr>
        <w:t>失效判据与未满足需求按以下方式记账：未满足需求（缺水、限供或拒供）单独记账，不从取水端隐性扣除；居民及关键公共服务满足率受预设最低服务要求约束，AI节点在任一时间步出现正的未满足需求即判定该容量不可行，因此CAWCC定义为不牺牲既定服务水平前提下的可承载容量。可中断运行（如高温时段降载）以独立情景设置，结果单独报告；漏损与溢流单独记账，不计入消耗。</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尺度上求解：年尺度用于分析长期规模关系，日尺度用于识别季节变化与需求峰值，极端小时尺度用于检验短时失稳与服务可靠性；比较不同尺度结果可量化时间聚合造成的边界高估。日与小时尺度均含储量的逐日（逐时）演算，储存对峰值的削减是模拟输出结果，年尺度结果由日尺度聚合得到，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前者按各子系统相对余量划分为若干典型类型（表3-3），后者包括常规、高温、干旱及高温干旱与需求峰值叠加等情形（表3-4），可叠加到任一系统状态之上。气象输入采用典型气象年或多年实测序列构造，极端小时序列由高温期连续时段提取并标注持续天数；各状态采用高、中、低三级相对水平表示，对应原型系统在典型气候—水资源特征下的相对位置，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2645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3242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参数来自公开统计、标准规范和工程文献。原型城市水系统由典型气候带、水资源禀赋与供排水设施水平的组合定义，结构关系取自城市水代谢模型的通用表示，参数量级由公开资料标定并仅用于校核量级[53-57]；模型输入为原型系统状态、气象序列和工程参数，结论按所设定的参数域适用。</w:t>
      </w:r>
    </w:p>
    <w:p w14:paraId="0B72D791">
      <w:pPr>
        <w:spacing w:before="0" w:after="0" w:line="360" w:lineRule="auto"/>
        <w:ind w:firstLine="420"/>
      </w:pPr>
      <w:r>
        <w:t>外部校核按原型参数域组织：（1）缺水—高冷负荷型：水源余量低、夏季湿球温度高，城市主动提高非传统水源配置比例，再生水占比较高，用于检验最紧约束下的极值方向与量级上限；（2）气候凉爽型：湿球温度低、自然冷却时数长，用于检验低补水、低蒸发端点。上述两类构成承载边界求解的主参数域；能源富集型作为补充情景，用于检验能—碳条件变化对承载力结论的影响，不参与边界求解，仅做固定容量后评估。各参数域仅界定合理取值范围[53-57]，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8657"/>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9869"/>
      <w:r>
        <w:rPr>
          <w:rFonts w:ascii="Times New Roman" w:hAnsi="Times New Roman" w:eastAsia="黑体" w:cs="Times New Roman"/>
          <w:b/>
          <w:bCs/>
          <w:color w:val="000000"/>
          <w:sz w:val="28"/>
          <w:szCs w:val="28"/>
        </w:rPr>
        <w:t>4.1 预期科学认识</w:t>
      </w:r>
      <w:bookmarkEnd w:id="37"/>
      <w:bookmarkEnd w:id="38"/>
    </w:p>
    <w:p w14:paraId="45A58175">
      <w:pPr>
        <w:spacing w:before="0" w:after="0" w:line="360" w:lineRule="auto"/>
        <w:ind w:firstLine="420"/>
      </w:pPr>
      <w:r>
        <w:t>识别年均、日尺度和极端时段容量边界差异的控制因素，说明峰值重合与设施裕度在不同参数域与系统状态中的作用。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建立水源、给水、污水、再生水与接入约束的瓶颈转换条件，区分稳健主导区与竞争约束区。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8163"/>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研究范围限定为工程物理承载力，不涉及经济成本与多目标规划，结论给出各类干预在不同系统状态与压力条件下的物理有效性，供规划比选时与经济、社会因素合并考虑。</w:t>
      </w:r>
    </w:p>
    <w:p w14:paraId="3979AD1A">
      <w:pPr>
        <w:pStyle w:val="23"/>
        <w:pageBreakBefore w:val="0"/>
        <w:ind w:firstLine="0" w:firstLineChars="0"/>
        <w:outlineLvl w:val="1"/>
      </w:pPr>
      <w:bookmarkStart w:id="41" w:name="_Toc2957"/>
      <w:bookmarkStart w:id="42" w:name="_Toc26639"/>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1140"/>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30513"/>
      <w:bookmarkStart w:id="46" w:name="_Toc10395"/>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4609"/>
      <w:bookmarkStart w:id="48" w:name="_Toc2477"/>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4402"/>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5846"/>
      <w:r>
        <w:rPr>
          <w:rFonts w:ascii="Times New Roman" w:hAnsi="Times New Roman" w:eastAsia="黑体" w:cs="Times New Roman"/>
          <w:b/>
          <w:bCs/>
          <w:color w:val="000000"/>
          <w:sz w:val="28"/>
          <w:szCs w:val="28"/>
        </w:rPr>
        <w:t>7.1 理论、数据、软件与计算条件</w:t>
      </w:r>
      <w:bookmarkEnd w:id="51"/>
      <w:bookmarkEnd w:id="52"/>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3" w:name="_Toc27266"/>
      <w:bookmarkStart w:id="54" w:name="_Toc2552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19828"/>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8666"/>
      <w:r>
        <w:rPr>
          <w:rFonts w:ascii="Times New Roman" w:hAnsi="Times New Roman" w:eastAsia="黑体" w:cs="Times New Roman"/>
          <w:b/>
          <w:bCs/>
          <w:sz w:val="28"/>
          <w:szCs w:val="28"/>
        </w:rPr>
        <w:t>8.1 边界控制与质量保证</w:t>
      </w:r>
      <w:bookmarkEnd w:id="57"/>
      <w:bookmarkEnd w:id="58"/>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59" w:name="_Toc29258"/>
      <w:bookmarkStart w:id="60" w:name="_Toc1796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59"/>
      <w:bookmarkEnd w:id="60"/>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02547DF4">
      <w:pPr>
        <w:spacing w:before="0" w:after="0" w:line="240" w:lineRule="auto"/>
        <w:ind w:left="420" w:hanging="420"/>
      </w:pPr>
      <w:r>
        <w:rPr>
          <w:rFonts w:ascii="Times New Roman" w:hAnsi="Times New Roman" w:eastAsia="宋体" w:cs="Times New Roman"/>
          <w:b w:val="0"/>
          <w:color w:val="000000"/>
          <w:sz w:val="24"/>
        </w:rPr>
        <w:t>[16]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[17]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[18]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[19]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[20] House-Peters L A, Chang H. Urban water demand modeling: Review of concepts, methods, and organizing principles[J]. Water Resources Research, 2011, 47(5): W05401. DOI: 10.1029/2010WR009624.</w:t>
      </w:r>
    </w:p>
    <w:p w14:paraId="6B8C3891">
      <w:pPr>
        <w:spacing w:before="0" w:after="0" w:line="240" w:lineRule="auto"/>
        <w:ind w:left="420" w:hanging="420"/>
      </w:pPr>
      <w:r>
        <w:rPr>
          <w:rFonts w:ascii="Times New Roman" w:hAnsi="Times New Roman" w:eastAsia="宋体" w:cs="Times New Roman"/>
          <w:b w:val="0"/>
          <w:color w:val="000000"/>
          <w:sz w:val="24"/>
        </w:rPr>
        <w:t>[21]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[22]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[23] Stokes J R, Horvath A. Energy and air emission effects of water supply[J]. Environmental Science &amp; Technology, 2009, 43(8): 2680-2687. DOI: 10.1021/es801802h.</w:t>
      </w:r>
    </w:p>
    <w:p w14:paraId="6A3EF402">
      <w:pPr>
        <w:spacing w:before="0" w:after="0" w:line="240" w:lineRule="auto"/>
        <w:ind w:left="420" w:hanging="420"/>
      </w:pPr>
      <w:r>
        <w:rPr>
          <w:rFonts w:ascii="Times New Roman" w:hAnsi="Times New Roman" w:eastAsia="宋体" w:cs="Times New Roman"/>
          <w:b w:val="0"/>
          <w:color w:val="000000"/>
          <w:sz w:val="24"/>
        </w:rPr>
        <w:t>[24] Radini S, Marinelli E, Akyol Ç, et al. Urban water-energy-food-climate nexus in integrated wastewater and reuse systems[J]. Applied Energy, 2021, 298: 117268. DOI: 10.1016/j.apenergy.2021.117268.</w:t>
      </w:r>
    </w:p>
    <w:p w14:paraId="48DA998E">
      <w:pPr>
        <w:spacing w:before="0" w:after="0" w:line="240" w:lineRule="auto"/>
        <w:ind w:left="420" w:hanging="420"/>
      </w:pPr>
      <w:r>
        <w:rPr>
          <w:rFonts w:ascii="Times New Roman" w:hAnsi="Times New Roman" w:eastAsia="宋体" w:cs="Times New Roman"/>
          <w:b w:val="0"/>
          <w:color w:val="000000"/>
          <w:sz w:val="24"/>
        </w:rPr>
        <w:t>[25]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[26]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[27] Dhar P. The carbon impact of artificial intelligence[J]. Nature Machine Intelligence, 2020, 2: 423-425. DOI: 10.1038/s42256-020-0219-9.</w:t>
      </w:r>
    </w:p>
    <w:p w14:paraId="51442F3A">
      <w:pPr>
        <w:spacing w:before="0" w:after="0" w:line="240" w:lineRule="auto"/>
        <w:ind w:left="420" w:hanging="420"/>
      </w:pPr>
      <w:r>
        <w:rPr>
          <w:rFonts w:ascii="Times New Roman" w:hAnsi="Times New Roman" w:eastAsia="宋体" w:cs="Times New Roman"/>
          <w:b w:val="0"/>
          <w:color w:val="000000"/>
          <w:sz w:val="24"/>
        </w:rPr>
        <w:t>[28]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[29]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[30]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[31]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[32]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[33]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[34]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[35]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[36]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[37]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[38]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[39]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[40]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[41] Zhou X Y, Zheng B, Khu S T. Validation of the hypothesis on carrying capacity limits using the water environment carrying capacity[J]. Science of the Total Environment, 2019, 665: 774-784. DOI: 10.1016/j.scitotenv.2019.02.146.</w:t>
      </w:r>
    </w:p>
    <w:p w14:paraId="423BF03C">
      <w:pPr>
        <w:spacing w:before="0" w:after="0" w:line="240" w:lineRule="auto"/>
        <w:ind w:left="420" w:hanging="420"/>
      </w:pPr>
      <w:r>
        <w:rPr>
          <w:rFonts w:ascii="Times New Roman" w:hAnsi="Times New Roman" w:eastAsia="宋体" w:cs="Times New Roman"/>
          <w:b w:val="0"/>
          <w:color w:val="000000"/>
          <w:sz w:val="24"/>
        </w:rPr>
        <w:t>[42]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[43]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[44]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[45]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[46]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[47]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[48]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[49]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[50]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[51]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[52]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[53]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[54]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[55]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[56]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[57]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11444</Words>
  <Characters>12236</Characters>
  <Lines>11</Lines>
  <Paragraphs>3</Paragraphs>
  <TotalTime>0</TotalTime>
  <ScaleCrop>false</ScaleCrop>
  <LinksUpToDate>false</LinksUpToDate>
  <CharactersWithSpaces>12516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2026-09-10T05:28:36Z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