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7BC9F8">
      <w:pPr>
        <w:pStyle w:val="31"/>
        <w:jc w:val="center"/>
        <w:rPr>
          <w:rFonts w:ascii="Times New Roman" w:hAnsi="Times New Roman" w:eastAsia="宋体"/>
        </w:rPr>
      </w:pPr>
      <w:r>
        <w:rPr>
          <w:rFonts w:ascii="Times New Roman" w:hAnsi="Times New Roman" w:eastAsia="宋体"/>
        </w:rPr>
        <w:t>AI算力基础设施驱动下城市人工水系统</w:t>
      </w:r>
      <w:r>
        <w:rPr>
          <w:rFonts w:ascii="Times New Roman" w:hAnsi="Times New Roman" w:eastAsia="宋体"/>
        </w:rPr>
        <w:br w:type="textWrapping"/>
      </w:r>
      <w:r>
        <w:rPr>
          <w:rFonts w:ascii="Times New Roman" w:hAnsi="Times New Roman" w:eastAsia="宋体"/>
        </w:rPr>
        <w:t>代谢响应与条件化承载边界研究</w:t>
      </w:r>
    </w:p>
    <w:p w14:paraId="0DF5A9E2">
      <w:pPr>
        <w:ind w:firstLine="420"/>
        <w:jc w:val="center"/>
        <w:rPr>
          <w:rFonts w:ascii="Times New Roman" w:hAnsi="Times New Roman" w:eastAsia="宋体"/>
        </w:rPr>
      </w:pPr>
      <w:r>
        <w:rPr>
          <w:rFonts w:ascii="Times New Roman" w:hAnsi="Times New Roman" w:eastAsia="宋体"/>
        </w:rPr>
        <w:t>博士学位论文开题报告（全新重写版）</w:t>
      </w:r>
    </w:p>
    <w:p w14:paraId="19ED4E33">
      <w:pPr>
        <w:ind w:firstLine="420"/>
        <w:jc w:val="center"/>
        <w:rPr>
          <w:rFonts w:ascii="Times New Roman" w:hAnsi="Times New Roman" w:eastAsia="宋体"/>
        </w:rPr>
      </w:pPr>
      <w:r>
        <w:rPr>
          <w:rFonts w:ascii="Times New Roman" w:hAnsi="Times New Roman" w:eastAsia="宋体"/>
        </w:rPr>
        <w:t>研究方向：城市水系统与资源环境管理　　拟采用方法：综合建模、情景分析与不确定性分析</w:t>
      </w:r>
    </w:p>
    <w:p w14:paraId="1B24B3C3">
      <w:pPr>
        <w:rPr>
          <w:rFonts w:ascii="Times New Roman" w:hAnsi="Times New Roman" w:eastAsia="宋体"/>
        </w:rPr>
      </w:pPr>
      <w:r>
        <w:rPr>
          <w:rFonts w:ascii="Times New Roman" w:hAnsi="Times New Roman" w:eastAsia="宋体"/>
        </w:rPr>
        <w:br w:type="page"/>
      </w:r>
    </w:p>
    <w:p w14:paraId="49C5AFAF">
      <w:pPr>
        <w:pStyle w:val="3"/>
        <w:rPr>
          <w:rFonts w:ascii="Times New Roman" w:hAnsi="Times New Roman" w:eastAsia="宋体"/>
        </w:rPr>
      </w:pPr>
      <w:r>
        <w:rPr>
          <w:rFonts w:ascii="Times New Roman" w:hAnsi="Times New Roman" w:eastAsia="宋体"/>
        </w:rPr>
        <w:t>摘　要</w:t>
      </w:r>
    </w:p>
    <w:p w14:paraId="414550E3">
      <w:pPr>
        <w:ind w:firstLine="420"/>
        <w:rPr>
          <w:rFonts w:ascii="Times New Roman" w:hAnsi="Times New Roman" w:eastAsia="宋体"/>
        </w:rPr>
      </w:pPr>
      <w:r>
        <w:rPr>
          <w:rFonts w:ascii="Times New Roman" w:hAnsi="Times New Roman" w:eastAsia="宋体"/>
        </w:rPr>
        <w:t>生成式人工智能正在把数据中心推向高功率密度、长时间连续运行和快速空间集聚的新阶段。大模型训练、推理、视频生成和自主智能体等任务不断提高服务器负载，计算活动由数字空间转化为持续的散热、冷却和基础设施需求。已有研究已经估算了数据中心的电力、水足迹和碳排放，也比较了空气冷却、液冷、蒸发冷却和再生水等技术路线。然而，现有成果大多停留在“一个模型、一个服务器或一个数据中心消耗多少水”的设施足迹层面，难以回答一个更接近城市规划的问题：当AI算力以持续增长的工业负荷进入城市以后，它如何改变原水取用、给水处理、用户用水、污水回流、再生水生产及最终排放之间的关系？</w:t>
      </w:r>
    </w:p>
    <w:p w14:paraId="0F8D77A7">
      <w:pPr>
        <w:ind w:firstLine="420"/>
        <w:rPr>
          <w:rFonts w:ascii="Times New Roman" w:hAnsi="Times New Roman" w:eastAsia="宋体"/>
        </w:rPr>
      </w:pPr>
      <w:r>
        <w:rPr>
          <w:rFonts w:ascii="Times New Roman" w:hAnsi="Times New Roman" w:eastAsia="宋体"/>
        </w:rPr>
        <w:t>本研究以城市人工水系统为研究对象，提出“设施过程—城市代谢—条件化承载边界”的统一研究框架。研究首先把AI算力中心表示为城市水系统中的特殊节点，沿“IT容量—实际负载—能耗—热排散—冷却补水—蒸发与排污—污水处理—再生水回用”建立水量和水质的闭合核算；其次比较AI负荷与等年用水量普通工业冷却负荷的差异，分析AI的连续性、气候敏感性和峰值同步如何影响城市水代谢；最后以条件化AI水系统承载容量（CAWCC）表示在给定城市状态、技术架构、水源配置、气候压力和服务优先级下可支持的最大AI IT容量，识别容量边界及其主导约束。</w:t>
      </w:r>
    </w:p>
    <w:p w14:paraId="21D08134">
      <w:pPr>
        <w:ind w:firstLine="420"/>
        <w:rPr>
          <w:rFonts w:ascii="Times New Roman" w:hAnsi="Times New Roman" w:eastAsia="宋体"/>
        </w:rPr>
      </w:pPr>
      <w:r>
        <w:rPr>
          <w:rFonts w:ascii="Times New Roman" w:hAnsi="Times New Roman" w:eastAsia="宋体"/>
        </w:rPr>
        <w:t>论文拟回答三个科学问题：其一，AI负荷在什么条件下由单纯水量增加转变为水源结构和消耗—回流关系的重构；其二，年均、日尺度和极端高温/干旱条件下的容量边界为何不同，哪些变量决定“平均安全而峰值失稳”；其三，AI扩张或再生水、冷却和设施扩容干预如何引起水源、给水、污水、再生水和局部接入瓶颈的迁移。研究将采用深度案例城市、外部锚点城市和连续参数空间的分层证据设计，以过程验证、独立时间验证、外部核验和结构对照共同约束结论。预期形成关于AI城市水代谢重构、时间尺度依赖承载边界和瓶颈转换机制的科学认识，并为算力布局与城市水务协同规划提供可解释的容量依据。</w:t>
      </w:r>
    </w:p>
    <w:p w14:paraId="0CBFEB04">
      <w:pPr>
        <w:ind w:firstLine="420"/>
        <w:rPr>
          <w:rFonts w:ascii="Times New Roman" w:hAnsi="Times New Roman" w:eastAsia="宋体"/>
        </w:rPr>
      </w:pPr>
      <w:r>
        <w:rPr>
          <w:rFonts w:ascii="Times New Roman" w:hAnsi="Times New Roman" w:eastAsia="宋体"/>
        </w:rPr>
        <w:t>关键词：人工智能；数据中心；城市人工水系统；城市代谢；再生水；承载容量；峰值压力；瓶颈转换</w:t>
      </w:r>
    </w:p>
    <w:p w14:paraId="74CFD8DF">
      <w:pPr>
        <w:pStyle w:val="3"/>
        <w:rPr>
          <w:rFonts w:ascii="Times New Roman" w:hAnsi="Times New Roman" w:eastAsia="宋体"/>
        </w:rPr>
      </w:pPr>
      <w:r>
        <w:rPr>
          <w:rFonts w:ascii="Times New Roman" w:hAnsi="Times New Roman" w:eastAsia="宋体"/>
        </w:rPr>
        <w:t>第1章　背景与意义</w:t>
      </w:r>
    </w:p>
    <w:p w14:paraId="3976AEDA">
      <w:pPr>
        <w:pStyle w:val="4"/>
        <w:rPr>
          <w:rFonts w:ascii="Times New Roman" w:hAnsi="Times New Roman" w:eastAsia="宋体"/>
        </w:rPr>
      </w:pPr>
      <w:r>
        <w:rPr>
          <w:rFonts w:ascii="Times New Roman" w:hAnsi="Times New Roman" w:eastAsia="宋体"/>
        </w:rPr>
        <w:t>1.1　AI发展正在由算法竞争转向基础设施竞争</w:t>
      </w:r>
    </w:p>
    <w:p w14:paraId="04482373">
      <w:pPr>
        <w:ind w:firstLine="420"/>
        <w:rPr>
          <w:rFonts w:ascii="Times New Roman" w:hAnsi="Times New Roman" w:eastAsia="宋体"/>
        </w:rPr>
      </w:pPr>
      <w:r>
        <w:rPr>
          <w:rFonts w:ascii="Times New Roman" w:hAnsi="Times New Roman" w:eastAsia="宋体"/>
        </w:rPr>
        <w:t>人工智能产业的竞争焦点已经从单一算法性能扩展到模型、芯片、算力集群和数据中心基础设施的协同能力。大语言模型和多模态模型的参数规模、上下文长度以及推理步数不断增加，视频生成、科学计算和自主智能体又将计算从一次性训练推向高频、连续的在线服务。计算需求的增长具有明确的物理后果：服务器功率密度提高，机房热流密度上升，冷却系统从辅助设备变成决定数据中心能耗和水耗的关键环节。</w:t>
      </w:r>
    </w:p>
    <w:p w14:paraId="564B78D9">
      <w:pPr>
        <w:ind w:firstLine="420"/>
        <w:rPr>
          <w:rFonts w:ascii="Times New Roman" w:hAnsi="Times New Roman" w:eastAsia="宋体"/>
        </w:rPr>
      </w:pPr>
      <w:r>
        <w:rPr>
          <w:rFonts w:ascii="Times New Roman" w:hAnsi="Times New Roman" w:eastAsia="宋体"/>
        </w:rPr>
        <w:t>在传统数字基础设施中，计算活动常被视为“无形服务”，城市规划因而容易把数据中心看作普通建筑或一般工业用户。但AI数据中心具有高连续负荷、设备集中、对供电和散热可靠性要求高等特征，其水需求并非只取决于年均用水量，而同时受湿球温度、冷却架构、负载率、浓缩倍数、再生水</w:t>
      </w:r>
      <w:bookmarkStart w:id="0" w:name="_GoBack"/>
      <w:bookmarkEnd w:id="0"/>
      <w:r>
        <w:rPr>
          <w:rFonts w:ascii="Times New Roman" w:hAnsi="Times New Roman" w:eastAsia="宋体"/>
        </w:rPr>
        <w:t>水质和局部管网能力影响。AI基础设施因此成为连接数字经济与城市物质系统的新型工业节点。</w:t>
      </w:r>
    </w:p>
    <w:p w14:paraId="3C996222">
      <w:pPr>
        <w:ind w:firstLine="420"/>
        <w:rPr>
          <w:rFonts w:ascii="Times New Roman" w:hAnsi="Times New Roman" w:eastAsia="宋体"/>
        </w:rPr>
      </w:pPr>
      <w:r>
        <w:rPr>
          <w:rFonts w:ascii="Times New Roman" w:hAnsi="Times New Roman" w:eastAsia="宋体"/>
        </w:rPr>
        <w:t>国际能源署、美国劳伦斯伯克利国家实验室等机构的情景研究表明，数据中心用电增长将成为未来电力系统的重要新增负荷，AI服务器是其中的关键驱动。电力增长会以余热和冷却需求的形式反馈到水系统。若仍以单设施年度WUE作为唯一指标，就会忽略水源、污水处理和再生水系统在空间和时间上的约束，也无法解释相同IT容量在不同城市产生的不同风险。</w:t>
      </w:r>
    </w:p>
    <w:p w14:paraId="7DBF2051">
      <w:pPr>
        <w:pStyle w:val="4"/>
        <w:rPr>
          <w:rFonts w:ascii="Times New Roman" w:hAnsi="Times New Roman" w:eastAsia="宋体"/>
        </w:rPr>
      </w:pPr>
      <w:r>
        <w:rPr>
          <w:rFonts w:ascii="Times New Roman" w:hAnsi="Times New Roman" w:eastAsia="宋体"/>
        </w:rPr>
        <w:t>1.2　AI水资源影响的研究对象需要从设施足迹转向城市系统</w:t>
      </w:r>
    </w:p>
    <w:p w14:paraId="51F9E76B">
      <w:pPr>
        <w:ind w:firstLine="420"/>
        <w:rPr>
          <w:rFonts w:ascii="Times New Roman" w:hAnsi="Times New Roman" w:eastAsia="宋体"/>
        </w:rPr>
      </w:pPr>
      <w:r>
        <w:rPr>
          <w:rFonts w:ascii="Times New Roman" w:hAnsi="Times New Roman" w:eastAsia="宋体"/>
        </w:rPr>
        <w:t>现有数据中心水研究至少包含两个边界：一是冷却塔、蒸发器和辅助设备在所在地直接发生的取水与耗水；二是发电和燃料供应在异地形成的间接水足迹。两者在空间位置、治理主体和可干预手段上并不相同。把二者简单相加，虽然可以得到一个综合足迹，却会掩盖城市本地供水系统真正承受的压力；只计算直接用水，又会低估能源结构变化带来的环境后果。</w:t>
      </w:r>
    </w:p>
    <w:p w14:paraId="56B83DC3">
      <w:pPr>
        <w:ind w:firstLine="420"/>
        <w:rPr>
          <w:rFonts w:ascii="Times New Roman" w:hAnsi="Times New Roman" w:eastAsia="宋体"/>
        </w:rPr>
      </w:pPr>
      <w:r>
        <w:rPr>
          <w:rFonts w:ascii="Times New Roman" w:hAnsi="Times New Roman" w:eastAsia="宋体"/>
        </w:rPr>
        <w:t>设施水足迹还存在“同量异压”现象。两个数据中心即使具有相同的年度补水量，如果一个使用本地淡水、在夏季高温时段集中取水，另一个主要使用稳定的再生水并通过储水削峰，它们对城市的影响将完全不同。前者可能首先触发水源或给水峰值约束，后者则可能把压力转移到污水深度处理、输配或水质控制环节。由此可见，城市规划需要的是水流路径和服务可靠性的解释，而不仅是一个年度总量。</w:t>
      </w:r>
    </w:p>
    <w:p w14:paraId="0B3F24AE">
      <w:pPr>
        <w:ind w:firstLine="420"/>
        <w:rPr>
          <w:rFonts w:ascii="Times New Roman" w:hAnsi="Times New Roman" w:eastAsia="宋体"/>
        </w:rPr>
      </w:pPr>
      <w:r>
        <w:rPr>
          <w:rFonts w:ascii="Times New Roman" w:hAnsi="Times New Roman" w:eastAsia="宋体"/>
        </w:rPr>
        <w:t>城市人工水系统是一个开放而具有循环性的网络。外部原水经给水处理后进入居民、商业、工业和公共设施；一部分水以蒸发、产品含水或其他形式离开可管理系统，另一部分形成污水进入收集和处理环节；处理出水既可以排放，也可以经深度处理转化为再生水，重新供给工业、生态或冷却用途。AI节点进入以后，既会增加冷却蒸发消耗，也可能通过排污增加污水和再生水的潜在来源，因此其影响可能表现为网络结构重组。</w:t>
      </w:r>
    </w:p>
    <w:p w14:paraId="3A9D00F2">
      <w:pPr>
        <w:pStyle w:val="4"/>
        <w:rPr>
          <w:rFonts w:ascii="Times New Roman" w:hAnsi="Times New Roman" w:eastAsia="宋体"/>
        </w:rPr>
      </w:pPr>
      <w:r>
        <w:rPr>
          <w:rFonts w:ascii="Times New Roman" w:hAnsi="Times New Roman" w:eastAsia="宋体"/>
        </w:rPr>
        <w:t>1.3　研究的理论意义</w:t>
      </w:r>
    </w:p>
    <w:p w14:paraId="78821445">
      <w:pPr>
        <w:pStyle w:val="16"/>
        <w:rPr>
          <w:rFonts w:ascii="Times New Roman" w:hAnsi="Times New Roman" w:eastAsia="宋体"/>
        </w:rPr>
      </w:pPr>
      <w:r>
        <w:rPr>
          <w:rFonts w:ascii="Times New Roman" w:hAnsi="Times New Roman" w:eastAsia="宋体"/>
        </w:rPr>
        <w:t>拓展城市代谢理论：把“计算需求驱动的物理资源流”作为城市代谢的新型节点，连接数字基础设施研究与城市水循环研究。</w:t>
      </w:r>
    </w:p>
    <w:p w14:paraId="799D7A1C">
      <w:pPr>
        <w:pStyle w:val="16"/>
        <w:rPr>
          <w:rFonts w:ascii="Times New Roman" w:hAnsi="Times New Roman" w:eastAsia="宋体"/>
        </w:rPr>
      </w:pPr>
      <w:r>
        <w:rPr>
          <w:rFonts w:ascii="Times New Roman" w:hAnsi="Times New Roman" w:eastAsia="宋体"/>
        </w:rPr>
        <w:t>发展综合水系统模拟：在供水—用水—污水—再生水框架中显式区分Withdrawal、Consumption与Return Flow，并将水量、水质、储存和峰值服务纳入统一边界。</w:t>
      </w:r>
    </w:p>
    <w:p w14:paraId="6D841E1E">
      <w:pPr>
        <w:pStyle w:val="16"/>
        <w:rPr>
          <w:rFonts w:ascii="Times New Roman" w:hAnsi="Times New Roman" w:eastAsia="宋体"/>
        </w:rPr>
      </w:pPr>
      <w:r>
        <w:rPr>
          <w:rFonts w:ascii="Times New Roman" w:hAnsi="Times New Roman" w:eastAsia="宋体"/>
        </w:rPr>
        <w:t>深化承载力理论：把承载对象从人口或经济规模转化为可度量的AI IT容量，讨论资源量、基础设施能力和风险容忍共同形成的条件边界。</w:t>
      </w:r>
    </w:p>
    <w:p w14:paraId="26068FEA">
      <w:pPr>
        <w:pStyle w:val="4"/>
        <w:rPr>
          <w:rFonts w:ascii="Times New Roman" w:hAnsi="Times New Roman" w:eastAsia="宋体"/>
        </w:rPr>
      </w:pPr>
      <w:r>
        <w:rPr>
          <w:rFonts w:ascii="Times New Roman" w:hAnsi="Times New Roman" w:eastAsia="宋体"/>
        </w:rPr>
        <w:t>1.4　研究的实践意义</w:t>
      </w:r>
    </w:p>
    <w:p w14:paraId="0681A2FE">
      <w:pPr>
        <w:pStyle w:val="16"/>
        <w:rPr>
          <w:rFonts w:ascii="Times New Roman" w:hAnsi="Times New Roman" w:eastAsia="宋体"/>
        </w:rPr>
      </w:pPr>
      <w:r>
        <w:rPr>
          <w:rFonts w:ascii="Times New Roman" w:hAnsi="Times New Roman" w:eastAsia="宋体"/>
        </w:rPr>
        <w:t>为地方政府提供算力项目与水资源、水务设施协同布局的分析框架，避免只依据年均水量审批重大项目。</w:t>
      </w:r>
    </w:p>
    <w:p w14:paraId="2548BB04">
      <w:pPr>
        <w:pStyle w:val="16"/>
        <w:rPr>
          <w:rFonts w:ascii="Times New Roman" w:hAnsi="Times New Roman" w:eastAsia="宋体"/>
        </w:rPr>
      </w:pPr>
      <w:r>
        <w:rPr>
          <w:rFonts w:ascii="Times New Roman" w:hAnsi="Times New Roman" w:eastAsia="宋体"/>
        </w:rPr>
        <w:t>为数据中心规划者比较空气/液冷、干式/湿式排热、淡水/再生水配置的系统影响，识别节水措施可能造成的能耗或碳排放转移。</w:t>
      </w:r>
    </w:p>
    <w:p w14:paraId="00A089A0">
      <w:pPr>
        <w:pStyle w:val="16"/>
        <w:rPr>
          <w:rFonts w:ascii="Times New Roman" w:hAnsi="Times New Roman" w:eastAsia="宋体"/>
        </w:rPr>
      </w:pPr>
      <w:r>
        <w:rPr>
          <w:rFonts w:ascii="Times New Roman" w:hAnsi="Times New Roman" w:eastAsia="宋体"/>
        </w:rPr>
        <w:t>为水务部门评估AI扩张对给水、污水、再生水处理和局部接入能力的增量压力，并判断扩容措施的有效区间。</w:t>
      </w:r>
    </w:p>
    <w:p w14:paraId="1D49FB5C">
      <w:pPr>
        <w:pStyle w:val="4"/>
        <w:rPr>
          <w:rFonts w:ascii="Times New Roman" w:hAnsi="Times New Roman" w:eastAsia="宋体"/>
        </w:rPr>
      </w:pPr>
      <w:r>
        <w:rPr>
          <w:rFonts w:ascii="Times New Roman" w:hAnsi="Times New Roman" w:eastAsia="宋体"/>
        </w:rPr>
        <w:t>1.5　研究对象、边界与核心概念</w:t>
      </w:r>
    </w:p>
    <w:p w14:paraId="63B003F0">
      <w:pPr>
        <w:ind w:firstLine="420"/>
        <w:rPr>
          <w:rFonts w:ascii="Times New Roman" w:hAnsi="Times New Roman" w:eastAsia="宋体"/>
        </w:rPr>
      </w:pPr>
      <w:r>
        <w:rPr>
          <w:rFonts w:ascii="Times New Roman" w:hAnsi="Times New Roman" w:eastAsia="宋体"/>
        </w:rPr>
        <w:t>本研究的核心对象是“AI算力基础设施进入城市人工水系统后的系统响应”，而非芯片热设计或单一冷却设备的工程优化。研究边界包括城市外部水源、原水和给水处理、配水、终端用户、AI数据中心、污水收集与处理、再生水处理与输配以及最终排放；雨洪、地下水和完整电网仅在具有清晰输入、输出和储量关系的扩展情景中讨论。CAWCC不是脱离条件的固定常数，而是在明确城市状态、技术架构、水源政策、气候情景、基本服务约束和风险容忍水平下的最大可行AI IT容量。</w:t>
      </w:r>
    </w:p>
    <w:p w14:paraId="5C02A26B">
      <w:pPr>
        <w:pStyle w:val="3"/>
        <w:rPr>
          <w:rFonts w:ascii="Times New Roman" w:hAnsi="Times New Roman" w:eastAsia="宋体"/>
        </w:rPr>
      </w:pPr>
      <w:r>
        <w:rPr>
          <w:rFonts w:ascii="Times New Roman" w:hAnsi="Times New Roman" w:eastAsia="宋体"/>
        </w:rPr>
        <w:t>第2章　文献综述与研究空白</w:t>
      </w:r>
    </w:p>
    <w:p w14:paraId="79A669FF">
      <w:pPr>
        <w:pStyle w:val="4"/>
        <w:rPr>
          <w:rFonts w:ascii="Times New Roman" w:hAnsi="Times New Roman" w:eastAsia="宋体"/>
        </w:rPr>
      </w:pPr>
      <w:r>
        <w:rPr>
          <w:rFonts w:ascii="Times New Roman" w:hAnsi="Times New Roman" w:eastAsia="宋体"/>
        </w:rPr>
        <w:t>2.1　城市代谢与综合城市水系统研究</w:t>
      </w:r>
    </w:p>
    <w:p w14:paraId="24864F55">
      <w:pPr>
        <w:ind w:firstLine="420"/>
        <w:rPr>
          <w:rFonts w:ascii="Times New Roman" w:hAnsi="Times New Roman" w:eastAsia="宋体"/>
        </w:rPr>
      </w:pPr>
      <w:r>
        <w:rPr>
          <w:rFonts w:ascii="Times New Roman" w:hAnsi="Times New Roman" w:eastAsia="宋体"/>
        </w:rPr>
        <w:t>Wolman提出城市代谢概念后，研究逐步由城市资源输入和输出清单发展到物质流网络、生态网络和规划决策。早期研究强调城市是依赖外部资源输入并产生废弃物输出的开放系统；后续研究进一步关注资源在城市内部的转换、储存、循环和反馈。对于水系统而言，代谢视角的价值在于把供水、用水、污水、再生利用和环境排放放到同一张网络中，从而识别水量之外的路径结构。</w:t>
      </w:r>
    </w:p>
    <w:p w14:paraId="3FAC961B">
      <w:pPr>
        <w:ind w:firstLine="420"/>
        <w:rPr>
          <w:rFonts w:ascii="Times New Roman" w:hAnsi="Times New Roman" w:eastAsia="宋体"/>
        </w:rPr>
      </w:pPr>
      <w:r>
        <w:rPr>
          <w:rFonts w:ascii="Times New Roman" w:hAnsi="Times New Roman" w:eastAsia="宋体"/>
        </w:rPr>
        <w:t>综合城市水系统模型已经形成较为成熟的理论和工具基础。WaterMet²将供水、需求、污水和环境绩效纳入统一评价，WSIMOD等框架强调水量、水质和土地/生态过程的组合建模。相关研究证明，综合模型能够支撑长期规划和方案比较，但模型中的用户节点通常按居民、商业、工业等传统部门划分，尚未把AI数据中心这种高功率密度、连续运行且气候敏感的负荷作为独立节点。</w:t>
      </w:r>
    </w:p>
    <w:p w14:paraId="3B2384F6">
      <w:pPr>
        <w:ind w:firstLine="420"/>
        <w:rPr>
          <w:rFonts w:ascii="Times New Roman" w:hAnsi="Times New Roman" w:eastAsia="宋体"/>
        </w:rPr>
      </w:pPr>
      <w:r>
        <w:rPr>
          <w:rFonts w:ascii="Times New Roman" w:hAnsi="Times New Roman" w:eastAsia="宋体"/>
        </w:rPr>
        <w:t>城市代谢研究的另一个不足是，部分研究以年度物质流清单为主，难以捕捉峰值压力和设施瓶颈。对于AI来说，年度总量可能掩盖极端高温周的冷却补水、短时接入能力和污水处理超负荷。因此，本研究将日尺度作为主时间步，并以极端周小时序列检验时间聚合是否改变承载判断。</w:t>
      </w:r>
    </w:p>
    <w:p w14:paraId="799D7D44">
      <w:pPr>
        <w:pStyle w:val="4"/>
        <w:rPr>
          <w:rFonts w:ascii="Times New Roman" w:hAnsi="Times New Roman" w:eastAsia="宋体"/>
        </w:rPr>
      </w:pPr>
      <w:r>
        <w:rPr>
          <w:rFonts w:ascii="Times New Roman" w:hAnsi="Times New Roman" w:eastAsia="宋体"/>
        </w:rPr>
        <w:t>2.2　城市水—能—碳关系研究</w:t>
      </w:r>
    </w:p>
    <w:p w14:paraId="29B9C61C">
      <w:pPr>
        <w:ind w:firstLine="420"/>
        <w:rPr>
          <w:rFonts w:ascii="Times New Roman" w:hAnsi="Times New Roman" w:eastAsia="宋体"/>
        </w:rPr>
      </w:pPr>
      <w:r>
        <w:rPr>
          <w:rFonts w:ascii="Times New Roman" w:hAnsi="Times New Roman" w:eastAsia="宋体"/>
        </w:rPr>
        <w:t>城市水系统不是被动的水量输送网络，取水、加压、给水处理、污水处理、深度再生和跨区输配都需要能源。水源选择和处理深度的变化，可能在降低本地淡水取用的同时增加能耗和运营碳排放。因此，水—能—碳关系研究强调边界定义、过程能耗和生命周期尺度的一致性。</w:t>
      </w:r>
    </w:p>
    <w:p w14:paraId="1758234C">
      <w:pPr>
        <w:ind w:firstLine="420"/>
        <w:rPr>
          <w:rFonts w:ascii="Times New Roman" w:hAnsi="Times New Roman" w:eastAsia="宋体"/>
        </w:rPr>
      </w:pPr>
      <w:r>
        <w:rPr>
          <w:rFonts w:ascii="Times New Roman" w:hAnsi="Times New Roman" w:eastAsia="宋体"/>
        </w:rPr>
        <w:t>这一研究传统对AI课题有两点启示。第一，不能把“现场节水”直接等同于“总体环境改善”，尤其当再生水需要深度膜处理或远距离输送时，节水可能伴随能耗和碳排放转移。第二，本地人工水系统的物理水流必须与异地电力水足迹分开核算，否则会将城市水务部门能够治理的压力与供应链环境影响混为一谈。</w:t>
      </w:r>
    </w:p>
    <w:p w14:paraId="09BF7D8D">
      <w:pPr>
        <w:pStyle w:val="4"/>
        <w:rPr>
          <w:rFonts w:ascii="Times New Roman" w:hAnsi="Times New Roman" w:eastAsia="宋体"/>
        </w:rPr>
      </w:pPr>
      <w:r>
        <w:rPr>
          <w:rFonts w:ascii="Times New Roman" w:hAnsi="Times New Roman" w:eastAsia="宋体"/>
        </w:rPr>
        <w:t>2.3　AI与数据中心资源环境足迹研究</w:t>
      </w:r>
    </w:p>
    <w:p w14:paraId="68E50FE8">
      <w:pPr>
        <w:ind w:firstLine="420"/>
        <w:rPr>
          <w:rFonts w:ascii="Times New Roman" w:hAnsi="Times New Roman" w:eastAsia="宋体"/>
        </w:rPr>
      </w:pPr>
      <w:r>
        <w:rPr>
          <w:rFonts w:ascii="Times New Roman" w:hAnsi="Times New Roman" w:eastAsia="宋体"/>
        </w:rPr>
        <w:t>AI环境研究经历了从训练阶段能耗和碳排放，到模型部署、服务器制造、电子废物和基础设施水足迹的扩展。Green AI、机器学习碳足迹报告和数据中心工作负荷研究逐渐形成了PUE、WUE、利用率、服务器效率等指标体系。近期研究进一步采用情景分析和概率传播，强调AI水足迹存在显著的空间、时间和技术依赖。</w:t>
      </w:r>
    </w:p>
    <w:p w14:paraId="4498D4E1">
      <w:pPr>
        <w:ind w:firstLine="420"/>
        <w:rPr>
          <w:rFonts w:ascii="Times New Roman" w:hAnsi="Times New Roman" w:eastAsia="宋体"/>
        </w:rPr>
      </w:pPr>
      <w:r>
        <w:rPr>
          <w:rFonts w:ascii="Times New Roman" w:hAnsi="Times New Roman" w:eastAsia="宋体"/>
        </w:rPr>
        <w:t>这些研究的主要贡献是确认了AI并不存在一个脱离条件的单位水耗常数；其局限也十分清楚：多数研究把数据中心视为水系统外部的“黑箱”，输入是电力或计算量，输出是水足迹，未继续追踪补水来自何种水源、排污进入哪一类污水系统、再生水是否受既有用户竞争以及城市设施是否具有余量。</w:t>
      </w:r>
    </w:p>
    <w:p w14:paraId="2C736150">
      <w:pPr>
        <w:ind w:firstLine="420"/>
        <w:rPr>
          <w:rFonts w:ascii="Times New Roman" w:hAnsi="Times New Roman" w:eastAsia="宋体"/>
        </w:rPr>
      </w:pPr>
      <w:r>
        <w:rPr>
          <w:rFonts w:ascii="Times New Roman" w:hAnsi="Times New Roman" w:eastAsia="宋体"/>
        </w:rPr>
        <w:t>因此，本研究不重复建立一个新的WUE经验常数，而是把已有冷却工程关系嵌入城市水系统，重点研究AI负荷进入城市网络后的边际响应和边界机制。WUE将在本研究中作为绩效指标与结构对照，而不是替代完整的水流闭合。</w:t>
      </w:r>
    </w:p>
    <w:p w14:paraId="7FFC6CBA">
      <w:pPr>
        <w:pStyle w:val="4"/>
        <w:rPr>
          <w:rFonts w:ascii="Times New Roman" w:hAnsi="Times New Roman" w:eastAsia="宋体"/>
        </w:rPr>
      </w:pPr>
      <w:r>
        <w:rPr>
          <w:rFonts w:ascii="Times New Roman" w:hAnsi="Times New Roman" w:eastAsia="宋体"/>
        </w:rPr>
        <w:t>2.4　数据中心冷却与再生水工程研究</w:t>
      </w:r>
    </w:p>
    <w:p w14:paraId="644811A2">
      <w:pPr>
        <w:ind w:firstLine="420"/>
        <w:rPr>
          <w:rFonts w:ascii="Times New Roman" w:hAnsi="Times New Roman" w:eastAsia="宋体"/>
        </w:rPr>
      </w:pPr>
      <w:r>
        <w:rPr>
          <w:rFonts w:ascii="Times New Roman" w:hAnsi="Times New Roman" w:eastAsia="宋体"/>
        </w:rPr>
        <w:t>数据中心冷却技术可以从服务器侧热捕集和设施侧末端排热两个层次理解。空气冷却、direct-to-chip液冷和浸没式液冷改变热量从芯片传递到冷却介质的方式，但现场水耗最终还取决于末端采用蒸发湿式、干式、干湿混合或其他水侧排热方式。将液冷简单等同于“零水耗”会忽略末端散热和水质管理。</w:t>
      </w:r>
    </w:p>
    <w:p w14:paraId="7C100101">
      <w:pPr>
        <w:ind w:firstLine="420"/>
        <w:rPr>
          <w:rFonts w:ascii="Times New Roman" w:hAnsi="Times New Roman" w:eastAsia="宋体"/>
        </w:rPr>
      </w:pPr>
      <w:r>
        <w:rPr>
          <w:rFonts w:ascii="Times New Roman" w:hAnsi="Times New Roman" w:eastAsia="宋体"/>
        </w:rPr>
        <w:t>再生水用于冷却补水需要同时考虑腐蚀、结垢、生物生长、浓缩倍数、药剂投加和排污水质。再生水比例提高以后，系统可能从水量受限转为水质受限；当污水源量或输配能力不足时，继续扩建深度处理能力也不会等比例提高AI可用水量。已有工程研究为这些过程提供了参数和机理基础，但尚未将其与城市公共水系统的既有需求和设施瓶颈统一起来。</w:t>
      </w:r>
    </w:p>
    <w:p w14:paraId="5E5A10A8">
      <w:pPr>
        <w:pStyle w:val="4"/>
        <w:rPr>
          <w:rFonts w:ascii="Times New Roman" w:hAnsi="Times New Roman" w:eastAsia="宋体"/>
        </w:rPr>
      </w:pPr>
      <w:r>
        <w:rPr>
          <w:rFonts w:ascii="Times New Roman" w:hAnsi="Times New Roman" w:eastAsia="宋体"/>
        </w:rPr>
        <w:t>2.5　水资源承载能力与可靠性研究</w:t>
      </w:r>
    </w:p>
    <w:p w14:paraId="52AF8962">
      <w:pPr>
        <w:ind w:firstLine="420"/>
        <w:rPr>
          <w:rFonts w:ascii="Times New Roman" w:hAnsi="Times New Roman" w:eastAsia="宋体"/>
        </w:rPr>
      </w:pPr>
      <w:r>
        <w:rPr>
          <w:rFonts w:ascii="Times New Roman" w:hAnsi="Times New Roman" w:eastAsia="宋体"/>
        </w:rPr>
        <w:t>传统水资源承载力研究关注一定资源禀赋和生态约束下能够支撑多大的社会经济活动，常用总量平衡、系统动力学、情景分析和综合评价方法。可靠性—恢复性—脆弱性框架则把系统绩效从“是否有水”拓展到服务满足的频率、恢复速度和缺水损失。</w:t>
      </w:r>
    </w:p>
    <w:p w14:paraId="1A044C96">
      <w:pPr>
        <w:ind w:firstLine="420"/>
        <w:rPr>
          <w:rFonts w:ascii="Times New Roman" w:hAnsi="Times New Roman" w:eastAsia="宋体"/>
        </w:rPr>
      </w:pPr>
      <w:r>
        <w:rPr>
          <w:rFonts w:ascii="Times New Roman" w:hAnsi="Times New Roman" w:eastAsia="宋体"/>
        </w:rPr>
        <w:t>AI承载容量与传统承载力既有联系又有差异。AI规模以MW/GW IT容量表征，水需求受技术架构和气候影响，且与居民基本服务存在竞争关系。因此，承载边界应同时考虑水源可用量、给水和污水设施、再生水生产和输配、峰值服务能力、局部接入和水质约束，并明确服务优先级与风险容忍。</w:t>
      </w:r>
    </w:p>
    <w:p w14:paraId="3D9861C4">
      <w:pPr>
        <w:pStyle w:val="4"/>
        <w:rPr>
          <w:rFonts w:ascii="Times New Roman" w:hAnsi="Times New Roman" w:eastAsia="宋体"/>
        </w:rPr>
      </w:pPr>
      <w:r>
        <w:rPr>
          <w:rFonts w:ascii="Times New Roman" w:hAnsi="Times New Roman" w:eastAsia="宋体"/>
        </w:rPr>
        <w:t>2.6　文献评述与研究空白</w:t>
      </w:r>
    </w:p>
    <w:p w14:paraId="7334F294">
      <w:pPr>
        <w:ind w:firstLine="420"/>
        <w:rPr>
          <w:rFonts w:ascii="Times New Roman" w:hAnsi="Times New Roman" w:eastAsia="宋体"/>
        </w:rPr>
      </w:pPr>
      <w:r>
        <w:rPr>
          <w:rFonts w:ascii="Times New Roman" w:hAnsi="Times New Roman" w:eastAsia="宋体"/>
        </w:rPr>
        <w:t>综合上述研究，本课题的空白不是“缺少一种算法”，而是现有知识链条尚未闭合。设施足迹研究能够把计算量转换为水耗，城市水系统研究能够描述供水—污水—再生水循环，但两者之间缺少一个以AI IT容量为驱动、以城市人工水系统为边界、能够在日尺度上验证的过程接口。现有研究也缺少对“相同年度水量为何产生不同系统压力”的时间尺度解释，以及对水源、给水、污水和再生水瓶颈转换的机制识别。</w:t>
      </w:r>
    </w:p>
    <w:p w14:paraId="43999F38">
      <w:pPr>
        <w:ind w:firstLine="420"/>
        <w:rPr>
          <w:rFonts w:ascii="Times New Roman" w:hAnsi="Times New Roman" w:eastAsia="宋体"/>
        </w:rPr>
      </w:pPr>
      <w:r>
        <w:rPr>
          <w:rFonts w:ascii="Times New Roman" w:hAnsi="Times New Roman" w:eastAsia="宋体"/>
        </w:rPr>
        <w:t>本研究据此提出三条需要检验的科学矛盾：第一，设施用水可能随AI容量近似线性增加，而城市系统响应在接近关键设施剩余容量时出现非线性；第二，相同年用水量不等于相同系统压力，峰值时序和气候敏感性可能使日尺度边界显著提前；第三，节水或再生水措施不会无限提高承载能力，干预会把主导瓶颈从一个环节迁移到另一个环节。</w:t>
      </w:r>
    </w:p>
    <w:p w14:paraId="4F0CFF0F">
      <w:pPr>
        <w:pStyle w:val="3"/>
        <w:rPr>
          <w:rFonts w:ascii="Times New Roman" w:hAnsi="Times New Roman" w:eastAsia="宋体"/>
        </w:rPr>
      </w:pPr>
      <w:r>
        <w:rPr>
          <w:rFonts w:ascii="Times New Roman" w:hAnsi="Times New Roman" w:eastAsia="宋体"/>
        </w:rPr>
        <w:t>第3章　科学问题、研究目标与研究内容</w:t>
      </w:r>
    </w:p>
    <w:p w14:paraId="634CB28A">
      <w:pPr>
        <w:pStyle w:val="4"/>
        <w:rPr>
          <w:rFonts w:ascii="Times New Roman" w:hAnsi="Times New Roman" w:eastAsia="宋体"/>
        </w:rPr>
      </w:pPr>
      <w:r>
        <w:rPr>
          <w:rFonts w:ascii="Times New Roman" w:hAnsi="Times New Roman" w:eastAsia="宋体"/>
        </w:rPr>
        <w:t>3.1　核心科学问题</w:t>
      </w:r>
    </w:p>
    <w:p w14:paraId="2DC6E359">
      <w:pPr>
        <w:ind w:firstLine="420"/>
        <w:rPr>
          <w:rFonts w:ascii="Times New Roman" w:hAnsi="Times New Roman" w:eastAsia="宋体"/>
        </w:rPr>
      </w:pPr>
      <w:r>
        <w:rPr>
          <w:rFonts w:ascii="Times New Roman" w:hAnsi="Times New Roman" w:eastAsia="宋体"/>
        </w:rPr>
        <w:t>围绕研究空白，论文将“AI负荷如何改变城市人工水系统”作为总问题，并分解为三个相互递进的科学问题：</w:t>
      </w:r>
    </w:p>
    <w:p w14:paraId="21F52231">
      <w:pPr>
        <w:pStyle w:val="16"/>
        <w:rPr>
          <w:rFonts w:ascii="Times New Roman" w:hAnsi="Times New Roman" w:eastAsia="宋体"/>
        </w:rPr>
      </w:pPr>
      <w:r>
        <w:rPr>
          <w:rFonts w:ascii="Times New Roman" w:hAnsi="Times New Roman" w:eastAsia="宋体"/>
        </w:rPr>
        <w:t>科学问题一（代谢响应）：AI算力基础设施通过怎样的取水—消耗—回流—再生利用链条影响城市人工水系统？当AI规模接近城市关键设施的剩余容量时，系统响应何时由水量增加转变为水源结构、循环路径和设施负荷的重构？</w:t>
      </w:r>
    </w:p>
    <w:p w14:paraId="401349CB">
      <w:pPr>
        <w:pStyle w:val="16"/>
        <w:rPr>
          <w:rFonts w:ascii="Times New Roman" w:hAnsi="Times New Roman" w:eastAsia="宋体"/>
        </w:rPr>
      </w:pPr>
      <w:r>
        <w:rPr>
          <w:rFonts w:ascii="Times New Roman" w:hAnsi="Times New Roman" w:eastAsia="宋体"/>
        </w:rPr>
        <w:t>科学问题二（时间尺度边界）：AI负荷的连续性、冷却对高温的敏感性以及与传统城市需水峰值的耦合，如何造成年均、日尺度和极端小时尺度承载边界的差异？年均评价在何种城市状态下会高估可承载AI规模？</w:t>
      </w:r>
    </w:p>
    <w:p w14:paraId="4713B482">
      <w:pPr>
        <w:pStyle w:val="16"/>
        <w:rPr>
          <w:rFonts w:ascii="Times New Roman" w:hAnsi="Times New Roman" w:eastAsia="宋体"/>
        </w:rPr>
      </w:pPr>
      <w:r>
        <w:rPr>
          <w:rFonts w:ascii="Times New Roman" w:hAnsi="Times New Roman" w:eastAsia="宋体"/>
        </w:rPr>
        <w:t>科学问题三（瓶颈转换）：随着AI容量、城市基础设施裕度和再生水配置变化，水源、给水、污水、再生水、局部接入和水质约束如何成为主导或共同主导瓶颈？不同干预措施的有效区间和边际收益转折由什么决定？</w:t>
      </w:r>
    </w:p>
    <w:p w14:paraId="142D593B">
      <w:pPr>
        <w:pStyle w:val="4"/>
        <w:rPr>
          <w:rFonts w:ascii="Times New Roman" w:hAnsi="Times New Roman" w:eastAsia="宋体"/>
        </w:rPr>
      </w:pPr>
      <w:r>
        <w:rPr>
          <w:rFonts w:ascii="Times New Roman" w:hAnsi="Times New Roman" w:eastAsia="宋体"/>
        </w:rPr>
        <w:t>3.2　总体目标</w:t>
      </w:r>
    </w:p>
    <w:p w14:paraId="2561BD43">
      <w:pPr>
        <w:ind w:firstLine="420"/>
        <w:rPr>
          <w:rFonts w:ascii="Times New Roman" w:hAnsi="Times New Roman" w:eastAsia="宋体"/>
        </w:rPr>
      </w:pPr>
      <w:r>
        <w:rPr>
          <w:rFonts w:ascii="Times New Roman" w:hAnsi="Times New Roman" w:eastAsia="宋体"/>
        </w:rPr>
        <w:t>建立AI—城市人工水系统代谢动态模型和条件化承载分析框架，形成从AI IT容量、热排散和冷却补水到城市给水—污水—再生水网络的可验证闭环；揭示AI扩张引起的代谢结构变化、时间尺度依赖边界和瓶颈迁移机制；在明确适用参数域和不确定性范围的前提下，为城市算力布局与水务设施协同规划提供可解释的容量依据。</w:t>
      </w:r>
    </w:p>
    <w:p w14:paraId="2B030515">
      <w:pPr>
        <w:pStyle w:val="4"/>
        <w:rPr>
          <w:rFonts w:ascii="Times New Roman" w:hAnsi="Times New Roman" w:eastAsia="宋体"/>
        </w:rPr>
      </w:pPr>
      <w:r>
        <w:rPr>
          <w:rFonts w:ascii="Times New Roman" w:hAnsi="Times New Roman" w:eastAsia="宋体"/>
        </w:rPr>
        <w:t>3.3　研究假设</w:t>
      </w:r>
    </w:p>
    <w:p w14:paraId="113A3466">
      <w:pPr>
        <w:pStyle w:val="16"/>
        <w:rPr>
          <w:rFonts w:ascii="Times New Roman" w:hAnsi="Times New Roman" w:eastAsia="宋体"/>
        </w:rPr>
      </w:pPr>
      <w:r>
        <w:rPr>
          <w:rFonts w:ascii="Times New Roman" w:hAnsi="Times New Roman" w:eastAsia="宋体"/>
        </w:rPr>
        <w:t>H1（代谢结构假设）：低AI负荷主要产生规模效应；当AI负荷接近关键设施剩余容量或改变水源配置时，淡水依赖、消耗—回流比例和再生水路径出现非线性结构变化。</w:t>
      </w:r>
    </w:p>
    <w:p w14:paraId="1197D65E">
      <w:pPr>
        <w:pStyle w:val="16"/>
        <w:rPr>
          <w:rFonts w:ascii="Times New Roman" w:hAnsi="Times New Roman" w:eastAsia="宋体"/>
        </w:rPr>
      </w:pPr>
      <w:r>
        <w:rPr>
          <w:rFonts w:ascii="Times New Roman" w:hAnsi="Times New Roman" w:eastAsia="宋体"/>
        </w:rPr>
        <w:t>H2（时间尺度假设）：AI连续负荷与高温冷却需求具有同步增强特征，年均容量边界通常高于日尺度边界，极端周小时边界进一步受峰值重合、湿球温度和干旱水源折减控制。</w:t>
      </w:r>
    </w:p>
    <w:p w14:paraId="02DAA703">
      <w:pPr>
        <w:pStyle w:val="16"/>
        <w:rPr>
          <w:rFonts w:ascii="Times New Roman" w:hAnsi="Times New Roman" w:eastAsia="宋体"/>
        </w:rPr>
      </w:pPr>
      <w:r>
        <w:rPr>
          <w:rFonts w:ascii="Times New Roman" w:hAnsi="Times New Roman" w:eastAsia="宋体"/>
        </w:rPr>
        <w:t>H3（瓶颈迁移假设）：AI扩张和干预措施改变的不仅是边界位置，也改变边界由谁决定；再生水扩容在源量、水质、处理、输配或既有用户竞争约束下存在边际收益转折。</w:t>
      </w:r>
    </w:p>
    <w:p w14:paraId="039A071A">
      <w:pPr>
        <w:pStyle w:val="4"/>
        <w:rPr>
          <w:rFonts w:ascii="Times New Roman" w:hAnsi="Times New Roman" w:eastAsia="宋体"/>
        </w:rPr>
      </w:pPr>
      <w:r>
        <w:rPr>
          <w:rFonts w:ascii="Times New Roman" w:hAnsi="Times New Roman" w:eastAsia="宋体"/>
        </w:rPr>
        <w:t>3.4　研究内容与论文逻辑</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51"/>
        <w:gridCol w:w="2351"/>
        <w:gridCol w:w="2351"/>
        <w:gridCol w:w="2351"/>
      </w:tblGrid>
      <w:tr w14:paraId="6BECD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28EA782E">
            <w:pPr>
              <w:rPr>
                <w:rFonts w:ascii="Times New Roman" w:hAnsi="Times New Roman" w:eastAsia="宋体"/>
              </w:rPr>
            </w:pPr>
            <w:r>
              <w:rPr>
                <w:rFonts w:ascii="Times New Roman" w:hAnsi="Times New Roman" w:eastAsia="宋体"/>
              </w:rPr>
              <w:t>研究内容</w:t>
            </w:r>
          </w:p>
        </w:tc>
        <w:tc>
          <w:tcPr>
            <w:tcW w:w="2351" w:type="dxa"/>
          </w:tcPr>
          <w:p w14:paraId="46D3E4E1">
            <w:pPr>
              <w:rPr>
                <w:rFonts w:ascii="Times New Roman" w:hAnsi="Times New Roman" w:eastAsia="宋体"/>
              </w:rPr>
            </w:pPr>
            <w:r>
              <w:rPr>
                <w:rFonts w:ascii="Times New Roman" w:hAnsi="Times New Roman" w:eastAsia="宋体"/>
              </w:rPr>
              <w:t>核心任务</w:t>
            </w:r>
          </w:p>
        </w:tc>
        <w:tc>
          <w:tcPr>
            <w:tcW w:w="2351" w:type="dxa"/>
          </w:tcPr>
          <w:p w14:paraId="55C24A5C">
            <w:pPr>
              <w:rPr>
                <w:rFonts w:ascii="Times New Roman" w:hAnsi="Times New Roman" w:eastAsia="宋体"/>
              </w:rPr>
            </w:pPr>
            <w:r>
              <w:rPr>
                <w:rFonts w:ascii="Times New Roman" w:hAnsi="Times New Roman" w:eastAsia="宋体"/>
              </w:rPr>
              <w:t>拟回答的问题</w:t>
            </w:r>
          </w:p>
        </w:tc>
        <w:tc>
          <w:tcPr>
            <w:tcW w:w="2351" w:type="dxa"/>
          </w:tcPr>
          <w:p w14:paraId="04952F5A">
            <w:pPr>
              <w:rPr>
                <w:rFonts w:ascii="Times New Roman" w:hAnsi="Times New Roman" w:eastAsia="宋体"/>
              </w:rPr>
            </w:pPr>
            <w:r>
              <w:rPr>
                <w:rFonts w:ascii="Times New Roman" w:hAnsi="Times New Roman" w:eastAsia="宋体"/>
              </w:rPr>
              <w:t>预期形成</w:t>
            </w:r>
          </w:p>
        </w:tc>
      </w:tr>
      <w:tr w14:paraId="03B4B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62191D8E">
            <w:pPr>
              <w:rPr>
                <w:rFonts w:ascii="Times New Roman" w:hAnsi="Times New Roman" w:eastAsia="宋体"/>
              </w:rPr>
            </w:pPr>
            <w:r>
              <w:rPr>
                <w:rFonts w:ascii="Times New Roman" w:hAnsi="Times New Roman" w:eastAsia="宋体"/>
              </w:rPr>
              <w:t>一、耦合模型</w:t>
            </w:r>
          </w:p>
        </w:tc>
        <w:tc>
          <w:tcPr>
            <w:tcW w:w="2351" w:type="dxa"/>
          </w:tcPr>
          <w:p w14:paraId="6CC6CE7C">
            <w:pPr>
              <w:rPr>
                <w:rFonts w:ascii="Times New Roman" w:hAnsi="Times New Roman" w:eastAsia="宋体"/>
              </w:rPr>
            </w:pPr>
            <w:r>
              <w:rPr>
                <w:rFonts w:ascii="Times New Roman" w:hAnsi="Times New Roman" w:eastAsia="宋体"/>
              </w:rPr>
              <w:t>构建AI节点、城市水循环、水量水质守恒和参数证据库</w:t>
            </w:r>
          </w:p>
        </w:tc>
        <w:tc>
          <w:tcPr>
            <w:tcW w:w="2351" w:type="dxa"/>
          </w:tcPr>
          <w:p w14:paraId="7373FFEB">
            <w:pPr>
              <w:rPr>
                <w:rFonts w:ascii="Times New Roman" w:hAnsi="Times New Roman" w:eastAsia="宋体"/>
              </w:rPr>
            </w:pPr>
            <w:r>
              <w:rPr>
                <w:rFonts w:ascii="Times New Roman" w:hAnsi="Times New Roman" w:eastAsia="宋体"/>
              </w:rPr>
              <w:t>AI如何进入城市水流网络</w:t>
            </w:r>
          </w:p>
        </w:tc>
        <w:tc>
          <w:tcPr>
            <w:tcW w:w="2351" w:type="dxa"/>
          </w:tcPr>
          <w:p w14:paraId="471264CE">
            <w:pPr>
              <w:rPr>
                <w:rFonts w:ascii="Times New Roman" w:hAnsi="Times New Roman" w:eastAsia="宋体"/>
              </w:rPr>
            </w:pPr>
            <w:r>
              <w:rPr>
                <w:rFonts w:ascii="Times New Roman" w:hAnsi="Times New Roman" w:eastAsia="宋体"/>
              </w:rPr>
              <w:t>可验证AI-UWM模型</w:t>
            </w:r>
          </w:p>
        </w:tc>
      </w:tr>
      <w:tr w14:paraId="12170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351" w:type="dxa"/>
          </w:tcPr>
          <w:p w14:paraId="789DC4B9">
            <w:pPr>
              <w:rPr>
                <w:rFonts w:ascii="Times New Roman" w:hAnsi="Times New Roman" w:eastAsia="宋体"/>
              </w:rPr>
            </w:pPr>
            <w:r>
              <w:rPr>
                <w:rFonts w:ascii="Times New Roman" w:hAnsi="Times New Roman" w:eastAsia="宋体"/>
              </w:rPr>
              <w:t>二、代谢响应</w:t>
            </w:r>
          </w:p>
        </w:tc>
        <w:tc>
          <w:tcPr>
            <w:tcW w:w="2351" w:type="dxa"/>
          </w:tcPr>
          <w:p w14:paraId="3030DEF3">
            <w:pPr>
              <w:rPr>
                <w:rFonts w:ascii="Times New Roman" w:hAnsi="Times New Roman" w:eastAsia="宋体"/>
              </w:rPr>
            </w:pPr>
            <w:r>
              <w:rPr>
                <w:rFonts w:ascii="Times New Roman" w:hAnsi="Times New Roman" w:eastAsia="宋体"/>
              </w:rPr>
              <w:t>容量梯度、冷却/水源对照、AI与普通工业对照</w:t>
            </w:r>
          </w:p>
        </w:tc>
        <w:tc>
          <w:tcPr>
            <w:tcW w:w="2351" w:type="dxa"/>
          </w:tcPr>
          <w:p w14:paraId="2253B6B8">
            <w:pPr>
              <w:rPr>
                <w:rFonts w:ascii="Times New Roman" w:hAnsi="Times New Roman" w:eastAsia="宋体"/>
              </w:rPr>
            </w:pPr>
            <w:r>
              <w:rPr>
                <w:rFonts w:ascii="Times New Roman" w:hAnsi="Times New Roman" w:eastAsia="宋体"/>
              </w:rPr>
              <w:t>何时由规模效应转为结构重构</w:t>
            </w:r>
          </w:p>
        </w:tc>
        <w:tc>
          <w:tcPr>
            <w:tcW w:w="2351" w:type="dxa"/>
          </w:tcPr>
          <w:p w14:paraId="434A3EB9">
            <w:pPr>
              <w:rPr>
                <w:rFonts w:ascii="Times New Roman" w:hAnsi="Times New Roman" w:eastAsia="宋体"/>
              </w:rPr>
            </w:pPr>
            <w:r>
              <w:rPr>
                <w:rFonts w:ascii="Times New Roman" w:hAnsi="Times New Roman" w:eastAsia="宋体"/>
              </w:rPr>
              <w:t>代谢响应规律</w:t>
            </w:r>
          </w:p>
        </w:tc>
      </w:tr>
      <w:tr w14:paraId="72EA1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73278583">
            <w:pPr>
              <w:rPr>
                <w:rFonts w:ascii="Times New Roman" w:hAnsi="Times New Roman" w:eastAsia="宋体"/>
              </w:rPr>
            </w:pPr>
            <w:r>
              <w:rPr>
                <w:rFonts w:ascii="Times New Roman" w:hAnsi="Times New Roman" w:eastAsia="宋体"/>
              </w:rPr>
              <w:t>三、承载边界</w:t>
            </w:r>
          </w:p>
        </w:tc>
        <w:tc>
          <w:tcPr>
            <w:tcW w:w="2351" w:type="dxa"/>
          </w:tcPr>
          <w:p w14:paraId="465881E0">
            <w:pPr>
              <w:rPr>
                <w:rFonts w:ascii="Times New Roman" w:hAnsi="Times New Roman" w:eastAsia="宋体"/>
              </w:rPr>
            </w:pPr>
            <w:r>
              <w:rPr>
                <w:rFonts w:ascii="Times New Roman" w:hAnsi="Times New Roman" w:eastAsia="宋体"/>
              </w:rPr>
              <w:t>年均—日—小时、复合气候、CAWCC求解</w:t>
            </w:r>
          </w:p>
        </w:tc>
        <w:tc>
          <w:tcPr>
            <w:tcW w:w="2351" w:type="dxa"/>
          </w:tcPr>
          <w:p w14:paraId="4EC1BE6C">
            <w:pPr>
              <w:rPr>
                <w:rFonts w:ascii="Times New Roman" w:hAnsi="Times New Roman" w:eastAsia="宋体"/>
              </w:rPr>
            </w:pPr>
            <w:r>
              <w:rPr>
                <w:rFonts w:ascii="Times New Roman" w:hAnsi="Times New Roman" w:eastAsia="宋体"/>
              </w:rPr>
              <w:t>平均与峰值边界为何不同</w:t>
            </w:r>
          </w:p>
        </w:tc>
        <w:tc>
          <w:tcPr>
            <w:tcW w:w="2351" w:type="dxa"/>
          </w:tcPr>
          <w:p w14:paraId="02621CAB">
            <w:pPr>
              <w:rPr>
                <w:rFonts w:ascii="Times New Roman" w:hAnsi="Times New Roman" w:eastAsia="宋体"/>
              </w:rPr>
            </w:pPr>
            <w:r>
              <w:rPr>
                <w:rFonts w:ascii="Times New Roman" w:hAnsi="Times New Roman" w:eastAsia="宋体"/>
              </w:rPr>
              <w:t>条件化边界和提前机制</w:t>
            </w:r>
          </w:p>
        </w:tc>
      </w:tr>
      <w:tr w14:paraId="0DD78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0FD7D793">
            <w:pPr>
              <w:rPr>
                <w:rFonts w:ascii="Times New Roman" w:hAnsi="Times New Roman" w:eastAsia="宋体"/>
              </w:rPr>
            </w:pPr>
            <w:r>
              <w:rPr>
                <w:rFonts w:ascii="Times New Roman" w:hAnsi="Times New Roman" w:eastAsia="宋体"/>
              </w:rPr>
              <w:t>四、瓶颈与干预</w:t>
            </w:r>
          </w:p>
        </w:tc>
        <w:tc>
          <w:tcPr>
            <w:tcW w:w="2351" w:type="dxa"/>
          </w:tcPr>
          <w:p w14:paraId="6AA3F71E">
            <w:pPr>
              <w:rPr>
                <w:rFonts w:ascii="Times New Roman" w:hAnsi="Times New Roman" w:eastAsia="宋体"/>
              </w:rPr>
            </w:pPr>
            <w:r>
              <w:rPr>
                <w:rFonts w:ascii="Times New Roman" w:hAnsi="Times New Roman" w:eastAsia="宋体"/>
              </w:rPr>
              <w:t>约束转换、再生水边际收益、负担转移</w:t>
            </w:r>
          </w:p>
        </w:tc>
        <w:tc>
          <w:tcPr>
            <w:tcW w:w="2351" w:type="dxa"/>
          </w:tcPr>
          <w:p w14:paraId="26E4A262">
            <w:pPr>
              <w:rPr>
                <w:rFonts w:ascii="Times New Roman" w:hAnsi="Times New Roman" w:eastAsia="宋体"/>
              </w:rPr>
            </w:pPr>
            <w:r>
              <w:rPr>
                <w:rFonts w:ascii="Times New Roman" w:hAnsi="Times New Roman" w:eastAsia="宋体"/>
              </w:rPr>
              <w:t>什么措施在什么条件下有效</w:t>
            </w:r>
          </w:p>
        </w:tc>
        <w:tc>
          <w:tcPr>
            <w:tcW w:w="2351" w:type="dxa"/>
          </w:tcPr>
          <w:p w14:paraId="380A044E">
            <w:pPr>
              <w:rPr>
                <w:rFonts w:ascii="Times New Roman" w:hAnsi="Times New Roman" w:eastAsia="宋体"/>
              </w:rPr>
            </w:pPr>
            <w:r>
              <w:rPr>
                <w:rFonts w:ascii="Times New Roman" w:hAnsi="Times New Roman" w:eastAsia="宋体"/>
              </w:rPr>
              <w:t>瓶颈图谱和规划建议</w:t>
            </w:r>
          </w:p>
        </w:tc>
      </w:tr>
    </w:tbl>
    <w:p w14:paraId="4C4E8489">
      <w:pPr>
        <w:pStyle w:val="4"/>
        <w:rPr>
          <w:rFonts w:ascii="Times New Roman" w:hAnsi="Times New Roman" w:eastAsia="宋体"/>
        </w:rPr>
      </w:pPr>
      <w:r>
        <w:rPr>
          <w:rFonts w:ascii="Times New Roman" w:hAnsi="Times New Roman" w:eastAsia="宋体"/>
        </w:rPr>
        <w:t>3.5　研究边界与不纳入内容</w:t>
      </w:r>
    </w:p>
    <w:p w14:paraId="3027D40E">
      <w:pPr>
        <w:ind w:firstLine="420"/>
        <w:rPr>
          <w:rFonts w:ascii="Times New Roman" w:hAnsi="Times New Roman" w:eastAsia="宋体"/>
        </w:rPr>
      </w:pPr>
      <w:r>
        <w:rPr>
          <w:rFonts w:ascii="Times New Roman" w:hAnsi="Times New Roman" w:eastAsia="宋体"/>
        </w:rPr>
        <w:t>本论文聚焦城市水系统的物理和工程机制，不将芯片级热仿真、完整管网瞬态水力、电网扩容优化、多目标容量优化和长期适应路径作为核心任务。水—能—碳—成本比较在核心模型通过验证后作为固定AI容量的应用检验，用于识别节水措施可能造成的负担转移，不反过来替代水系统承载边界。</w:t>
      </w:r>
    </w:p>
    <w:p w14:paraId="482902EB">
      <w:pPr>
        <w:pStyle w:val="3"/>
        <w:rPr>
          <w:rFonts w:ascii="Times New Roman" w:hAnsi="Times New Roman" w:eastAsia="宋体"/>
        </w:rPr>
      </w:pPr>
      <w:r>
        <w:rPr>
          <w:rFonts w:ascii="Times New Roman" w:hAnsi="Times New Roman" w:eastAsia="宋体"/>
        </w:rPr>
        <w:t>第4章　模型与研究方法</w:t>
      </w:r>
    </w:p>
    <w:p w14:paraId="536967C9">
      <w:pPr>
        <w:pStyle w:val="4"/>
        <w:rPr>
          <w:rFonts w:ascii="Times New Roman" w:hAnsi="Times New Roman" w:eastAsia="宋体"/>
        </w:rPr>
      </w:pPr>
      <w:r>
        <w:rPr>
          <w:rFonts w:ascii="Times New Roman" w:hAnsi="Times New Roman" w:eastAsia="宋体"/>
        </w:rPr>
        <w:t>4.1　总体研究框架</w:t>
      </w:r>
    </w:p>
    <w:p w14:paraId="47167F91">
      <w:pPr>
        <w:ind w:firstLine="420"/>
        <w:rPr>
          <w:rFonts w:ascii="Times New Roman" w:hAnsi="Times New Roman" w:eastAsia="宋体"/>
        </w:rPr>
      </w:pPr>
      <w:r>
        <w:rPr>
          <w:rFonts w:ascii="Times New Roman" w:hAnsi="Times New Roman" w:eastAsia="宋体"/>
        </w:rPr>
        <w:t>模型采用“过程层—城市系统层—边界分析层”三层结构。过程层描述AI服务器负载、能耗、热排散、冷却补水、蒸发、漂水、排污和厂内回用；城市系统层连接外部水源、给水处理、配水、传统用户、污水处理、再生水处理、储存和最终排放；边界分析层在给定城市状态和情景下扫描AI容量，计算代谢指标、服务可靠性、CAWCC和主导瓶颈。三层之间通过水量、水质和时间序列接口连接，所有内部回用不重复计入外部输入。</w:t>
      </w:r>
    </w:p>
    <w:p w14:paraId="34A19E68">
      <w:pPr>
        <w:pStyle w:val="4"/>
        <w:rPr>
          <w:rFonts w:ascii="Times New Roman" w:hAnsi="Times New Roman" w:eastAsia="宋体"/>
        </w:rPr>
      </w:pPr>
      <w:r>
        <w:rPr>
          <w:rFonts w:ascii="Times New Roman" w:hAnsi="Times New Roman" w:eastAsia="宋体"/>
        </w:rPr>
        <w:t>4.2　城市人工水系统边界与守恒关系</w:t>
      </w:r>
    </w:p>
    <w:p w14:paraId="6B111DD9">
      <w:pPr>
        <w:ind w:firstLine="420"/>
        <w:rPr>
          <w:rFonts w:ascii="Times New Roman" w:hAnsi="Times New Roman" w:eastAsia="宋体"/>
        </w:rPr>
      </w:pPr>
      <w:r>
        <w:rPr>
          <w:rFonts w:ascii="Times New Roman" w:hAnsi="Times New Roman" w:eastAsia="宋体"/>
        </w:rPr>
        <w:t>设第t日进入城市人工水系统的外部水量为I_t，最终排向环境的水量为E_t，不可恢复消耗为C_t，显式储量变化为ΔS_t，则顶层守恒关系为I_t=E_t+C_t+ΔS_t。原水经给水处理和配水后进入传统用户与AI节点；用户用水按照消耗和回流分解，AI排污按照厂内回用、处理损失、污水回流和外排分流。给水、污水和再生水各自设置处理能力、输配能力、储量和既有需求，漏损、溢流和未满足需求进入独立账户。</w:t>
      </w:r>
    </w:p>
    <w:p w14:paraId="433308BF">
      <w:pPr>
        <w:pStyle w:val="4"/>
        <w:rPr>
          <w:rFonts w:ascii="Times New Roman" w:hAnsi="Times New Roman" w:eastAsia="宋体"/>
        </w:rPr>
      </w:pPr>
      <w:r>
        <w:rPr>
          <w:rFonts w:ascii="Times New Roman" w:hAnsi="Times New Roman" w:eastAsia="宋体"/>
        </w:rPr>
        <w:t>4.3　AI设施过程模型</w:t>
      </w:r>
    </w:p>
    <w:p w14:paraId="400615EB">
      <w:pPr>
        <w:ind w:firstLine="420"/>
        <w:rPr>
          <w:rFonts w:ascii="Times New Roman" w:hAnsi="Times New Roman" w:eastAsia="宋体"/>
        </w:rPr>
      </w:pPr>
      <w:r>
        <w:rPr>
          <w:rFonts w:ascii="Times New Roman" w:hAnsi="Times New Roman" w:eastAsia="宋体"/>
        </w:rPr>
        <w:t>AI IT容量是主要规模变量。实际IT负荷由容量和负载率共同决定，设施总能耗由IT能耗与PUE关系得到，纳入边界的电能大部分转化为需要排散的热量。服务器侧热捕集采用空气、direct-to-chip液冷和浸没式液冷等架构分类；设施侧末端排热采用干式、湿式和混合方式分类。湿侧热负荷通过显热与潜热分解得到蒸发量，循环水根据浓缩倍数和水质约束计算排污量，补水量由蒸发、漂水和排污共同决定。</w:t>
      </w:r>
    </w:p>
    <w:p w14:paraId="0BF56A6B">
      <w:pPr>
        <w:ind w:firstLine="420"/>
        <w:rPr>
          <w:rFonts w:ascii="Times New Roman" w:hAnsi="Times New Roman" w:eastAsia="宋体"/>
        </w:rPr>
      </w:pPr>
      <w:r>
        <w:rPr>
          <w:rFonts w:ascii="Times New Roman" w:hAnsi="Times New Roman" w:eastAsia="宋体"/>
        </w:rPr>
        <w:t>冷却排污并不自动等于城市污水回流。模型首先判断厂内回收比例和处理损失，再将剩余部分连接到城市污水系统；若排污水的TDS、温度或药剂负荷超过污水厂或再生水进水要求，则增加独立水质约束。这样既能避免把所有排污都当作可回收资源，也能分析再生水系统在水量充足但水质不适用时的失效情形。</w:t>
      </w:r>
    </w:p>
    <w:p w14:paraId="5D722E9E">
      <w:pPr>
        <w:pStyle w:val="4"/>
        <w:rPr>
          <w:rFonts w:ascii="Times New Roman" w:hAnsi="Times New Roman" w:eastAsia="宋体"/>
        </w:rPr>
      </w:pPr>
      <w:r>
        <w:rPr>
          <w:rFonts w:ascii="Times New Roman" w:hAnsi="Times New Roman" w:eastAsia="宋体"/>
        </w:rPr>
        <w:t>4.4　水源、再生水与分配机制</w:t>
      </w:r>
    </w:p>
    <w:p w14:paraId="50958744">
      <w:pPr>
        <w:ind w:firstLine="420"/>
        <w:rPr>
          <w:rFonts w:ascii="Times New Roman" w:hAnsi="Times New Roman" w:eastAsia="宋体"/>
        </w:rPr>
      </w:pPr>
      <w:r>
        <w:rPr>
          <w:rFonts w:ascii="Times New Roman" w:hAnsi="Times New Roman" w:eastAsia="宋体"/>
        </w:rPr>
        <w:t>AI目标再生水份额只是配置意图，实际可供量受污水源量、深度处理能力、再生水储量、输配能力和既有用户需求共同决定。满足居民基本服务和关键公共服务后，剩余可供水量按情景规则分配给其他用户与AI。模型分别记录目标再生水份额、实际再生水供应、淡水补足量和未满足需求，防止用“目标比例”替代真实供水。</w:t>
      </w:r>
    </w:p>
    <w:p w14:paraId="33AFB2C4">
      <w:pPr>
        <w:pStyle w:val="4"/>
        <w:rPr>
          <w:rFonts w:ascii="Times New Roman" w:hAnsi="Times New Roman" w:eastAsia="宋体"/>
        </w:rPr>
      </w:pPr>
      <w:r>
        <w:rPr>
          <w:rFonts w:ascii="Times New Roman" w:hAnsi="Times New Roman" w:eastAsia="宋体"/>
        </w:rPr>
        <w:t>4.5　代谢指标与对照设计</w:t>
      </w:r>
    </w:p>
    <w:p w14:paraId="44F51FC4">
      <w:pPr>
        <w:ind w:firstLine="420"/>
        <w:rPr>
          <w:rFonts w:ascii="Times New Roman" w:hAnsi="Times New Roman" w:eastAsia="宋体"/>
        </w:rPr>
      </w:pPr>
      <w:r>
        <w:rPr>
          <w:rFonts w:ascii="Times New Roman" w:hAnsi="Times New Roman" w:eastAsia="宋体"/>
        </w:rPr>
        <w:t>研究同时报告绝对量和归一化量。绝对量包括AI边际取水、消耗、回流、污水负荷和再生水供给；归一化指标包括AI取水/城市基准供水、AI峰值需求/接入能力、淡水依赖率、内部循环率、消耗率和回流率。对互斥且共同分母的路径计算结构距离，用于区分整体规模放大和水流结构重构。设置等年用水量、等峰值热负荷和等接入能力的普通工业冷却节点对照，仅改变负荷连续性、峰值时序和气候响应，避免把一般高密度工业效应误判为AI特异效应。</w:t>
      </w:r>
    </w:p>
    <w:p w14:paraId="683F92A3">
      <w:pPr>
        <w:pStyle w:val="4"/>
        <w:rPr>
          <w:rFonts w:ascii="Times New Roman" w:hAnsi="Times New Roman" w:eastAsia="宋体"/>
        </w:rPr>
      </w:pPr>
      <w:r>
        <w:rPr>
          <w:rFonts w:ascii="Times New Roman" w:hAnsi="Times New Roman" w:eastAsia="宋体"/>
        </w:rPr>
        <w:t>4.6　CAWCC求解方法</w:t>
      </w:r>
    </w:p>
    <w:p w14:paraId="2B753086">
      <w:pPr>
        <w:ind w:firstLine="420"/>
        <w:rPr>
          <w:rFonts w:ascii="Times New Roman" w:hAnsi="Times New Roman" w:eastAsia="宋体"/>
        </w:rPr>
      </w:pPr>
      <w:r>
        <w:rPr>
          <w:rFonts w:ascii="Times New Roman" w:hAnsi="Times New Roman" w:eastAsia="宋体"/>
        </w:rPr>
        <w:t>CAWCC定义为给定条件下满足全部核心约束的最大AI IT容量。约束集合包括外部水源压力、给水处理和局部接入、污水潜在负荷和溢流、再生水服务、水质可接纳能力、峰值服务能力以及居民基本服务。求解先进行容量网格扫描，检查可行域是否单调；单调时在边界附近细化，非单调时报告全部可行区间、首次失效容量和最终失效容量。边界结果同时列出城市状态、技术架构、水源政策、气候情景、服务优先级和风险容忍条件。</w:t>
      </w:r>
    </w:p>
    <w:p w14:paraId="560C4604">
      <w:pPr>
        <w:pStyle w:val="4"/>
        <w:rPr>
          <w:rFonts w:ascii="Times New Roman" w:hAnsi="Times New Roman" w:eastAsia="宋体"/>
        </w:rPr>
      </w:pPr>
      <w:r>
        <w:rPr>
          <w:rFonts w:ascii="Times New Roman" w:hAnsi="Times New Roman" w:eastAsia="宋体"/>
        </w:rPr>
        <w:t>4.7　时间尺度、可靠性与复合压力</w:t>
      </w:r>
    </w:p>
    <w:p w14:paraId="567AC634">
      <w:pPr>
        <w:ind w:firstLine="420"/>
        <w:rPr>
          <w:rFonts w:ascii="Times New Roman" w:hAnsi="Times New Roman" w:eastAsia="宋体"/>
        </w:rPr>
      </w:pPr>
      <w:r>
        <w:rPr>
          <w:rFonts w:ascii="Times New Roman" w:hAnsi="Times New Roman" w:eastAsia="宋体"/>
        </w:rPr>
        <w:t>年均分析用于获得长期规模关系，日尺度分析用于识别季节和需求峰值，小时校核用于检验极端周内的短时失稳。高温、干旱和传统需求峰值分别构造单因素与组合压力，保持它们的时间相关结构，不把边际极值简单相乘。可靠性以基本服务满足的时间比例表示，恢复性关注失效后的恢复速度，脆弱性以缺水量和持续时间刻画。年均边界与峰值边界之差用于量化时间聚合造成的边界提前。</w:t>
      </w:r>
    </w:p>
    <w:p w14:paraId="32661ADF">
      <w:pPr>
        <w:pStyle w:val="4"/>
        <w:rPr>
          <w:rFonts w:ascii="Times New Roman" w:hAnsi="Times New Roman" w:eastAsia="宋体"/>
        </w:rPr>
      </w:pPr>
      <w:r>
        <w:rPr>
          <w:rFonts w:ascii="Times New Roman" w:hAnsi="Times New Roman" w:eastAsia="宋体"/>
        </w:rPr>
        <w:t>4.8　不确定性与敏感性分析</w:t>
      </w:r>
    </w:p>
    <w:p w14:paraId="3B6AFE73">
      <w:pPr>
        <w:ind w:firstLine="420"/>
        <w:rPr>
          <w:rFonts w:ascii="Times New Roman" w:hAnsi="Times New Roman" w:eastAsia="宋体"/>
        </w:rPr>
      </w:pPr>
      <w:r>
        <w:rPr>
          <w:rFonts w:ascii="Times New Roman" w:hAnsi="Times New Roman" w:eastAsia="宋体"/>
        </w:rPr>
        <w:t>参数不确定性包括负载率、PUE、CoC、污水回流率、再生水回收率和水质阈值等，采用条件分布或联合分布进行传播；AI增长、长期气候路径、政策和扩容时点属于深度未来不确定性，采用情景集合表示。Morris用于筛选高维变量，近似独立变量使用Sobol分解，保留统计相关性的变量使用Shapley effects。结果同时报告参数、结构和情景三类不确定性，避免将先验区间误写成精确预测。</w:t>
      </w:r>
    </w:p>
    <w:p w14:paraId="56581A4C">
      <w:pPr>
        <w:pStyle w:val="3"/>
        <w:rPr>
          <w:rFonts w:ascii="Times New Roman" w:hAnsi="Times New Roman" w:eastAsia="宋体"/>
        </w:rPr>
      </w:pPr>
      <w:r>
        <w:rPr>
          <w:rFonts w:ascii="Times New Roman" w:hAnsi="Times New Roman" w:eastAsia="宋体"/>
        </w:rPr>
        <w:t>第5章　前期基础与可行性</w:t>
      </w:r>
    </w:p>
    <w:p w14:paraId="3FF97B69">
      <w:pPr>
        <w:pStyle w:val="4"/>
        <w:rPr>
          <w:rFonts w:ascii="Times New Roman" w:hAnsi="Times New Roman" w:eastAsia="宋体"/>
        </w:rPr>
      </w:pPr>
      <w:r>
        <w:rPr>
          <w:rFonts w:ascii="Times New Roman" w:hAnsi="Times New Roman" w:eastAsia="宋体"/>
        </w:rPr>
        <w:t>5.1　前期研究基础</w:t>
      </w:r>
    </w:p>
    <w:p w14:paraId="0BE6253A">
      <w:pPr>
        <w:ind w:firstLine="420"/>
        <w:rPr>
          <w:rFonts w:ascii="Times New Roman" w:hAnsi="Times New Roman" w:eastAsia="宋体"/>
        </w:rPr>
      </w:pPr>
      <w:r>
        <w:rPr>
          <w:rFonts w:ascii="Times New Roman" w:hAnsi="Times New Roman" w:eastAsia="宋体"/>
        </w:rPr>
        <w:t>前期已完成城市资源代谢模拟框架的部分开发，形成了水源、给水、终端需求、污水处理和再生利用的日尺度计算基础，并具备情景切换和不确定性分析接口。现阶段工作的重点不是继续堆叠方法，而是将AI节点接入既有城市水循环，形成可运行、可测试、可解释的最小闭环。开题后首先完成IT容量—热排散—补水—消耗—回流—污水—再生水链条，并以质量守恒测试、工程Benchmark和数据字典作为阶段性验收。</w:t>
      </w:r>
    </w:p>
    <w:p w14:paraId="574DC505">
      <w:pPr>
        <w:ind w:firstLine="420"/>
        <w:rPr>
          <w:rFonts w:ascii="Times New Roman" w:hAnsi="Times New Roman" w:eastAsia="宋体"/>
        </w:rPr>
      </w:pPr>
      <w:r>
        <w:rPr>
          <w:rFonts w:ascii="Times New Roman" w:hAnsi="Times New Roman" w:eastAsia="宋体"/>
        </w:rPr>
        <w:t>已有研究积累还体现在三个方面：一是能够将城市水系统表示为节点—路径网络，并区分外部输入、内部回用和最终排放；二是已经明确AI设施过程需要把服务器侧热捕集与末端热排散分开，避免把液冷直接等同于低水耗；三是已形成参数证据分级意识，能够把公开统计、工程文献、企业披露和情景假设分别记录。上述基础为本课题从技术方案转向科学问题研究提供了起点。</w:t>
      </w:r>
    </w:p>
    <w:p w14:paraId="27280AD6">
      <w:pPr>
        <w:pStyle w:val="4"/>
        <w:rPr>
          <w:rFonts w:ascii="Times New Roman" w:hAnsi="Times New Roman" w:eastAsia="宋体"/>
        </w:rPr>
      </w:pPr>
      <w:r>
        <w:rPr>
          <w:rFonts w:ascii="Times New Roman" w:hAnsi="Times New Roman" w:eastAsia="宋体"/>
        </w:rPr>
        <w:t>5.2　数据可得性与案例策略</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51"/>
        <w:gridCol w:w="2351"/>
        <w:gridCol w:w="2351"/>
        <w:gridCol w:w="2351"/>
      </w:tblGrid>
      <w:tr w14:paraId="55EA91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236C4695">
            <w:pPr>
              <w:rPr>
                <w:rFonts w:ascii="Times New Roman" w:hAnsi="Times New Roman" w:eastAsia="宋体"/>
              </w:rPr>
            </w:pPr>
            <w:r>
              <w:rPr>
                <w:rFonts w:ascii="Times New Roman" w:hAnsi="Times New Roman" w:eastAsia="宋体"/>
              </w:rPr>
              <w:t>数据层级</w:t>
            </w:r>
          </w:p>
        </w:tc>
        <w:tc>
          <w:tcPr>
            <w:tcW w:w="2351" w:type="dxa"/>
          </w:tcPr>
          <w:p w14:paraId="1E5EE687">
            <w:pPr>
              <w:rPr>
                <w:rFonts w:ascii="Times New Roman" w:hAnsi="Times New Roman" w:eastAsia="宋体"/>
              </w:rPr>
            </w:pPr>
            <w:r>
              <w:rPr>
                <w:rFonts w:ascii="Times New Roman" w:hAnsi="Times New Roman" w:eastAsia="宋体"/>
              </w:rPr>
              <w:t>数据内容</w:t>
            </w:r>
          </w:p>
        </w:tc>
        <w:tc>
          <w:tcPr>
            <w:tcW w:w="2351" w:type="dxa"/>
          </w:tcPr>
          <w:p w14:paraId="5D8EE97A">
            <w:pPr>
              <w:rPr>
                <w:rFonts w:ascii="Times New Roman" w:hAnsi="Times New Roman" w:eastAsia="宋体"/>
              </w:rPr>
            </w:pPr>
            <w:r>
              <w:rPr>
                <w:rFonts w:ascii="Times New Roman" w:hAnsi="Times New Roman" w:eastAsia="宋体"/>
              </w:rPr>
              <w:t>获取与使用方式</w:t>
            </w:r>
          </w:p>
        </w:tc>
        <w:tc>
          <w:tcPr>
            <w:tcW w:w="2351" w:type="dxa"/>
          </w:tcPr>
          <w:p w14:paraId="5BE705BF">
            <w:pPr>
              <w:rPr>
                <w:rFonts w:ascii="Times New Roman" w:hAnsi="Times New Roman" w:eastAsia="宋体"/>
              </w:rPr>
            </w:pPr>
            <w:r>
              <w:rPr>
                <w:rFonts w:ascii="Times New Roman" w:hAnsi="Times New Roman" w:eastAsia="宋体"/>
              </w:rPr>
              <w:t>对结论的作用</w:t>
            </w:r>
          </w:p>
        </w:tc>
      </w:tr>
      <w:tr w14:paraId="08ACF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093763EB">
            <w:pPr>
              <w:rPr>
                <w:rFonts w:ascii="Times New Roman" w:hAnsi="Times New Roman" w:eastAsia="宋体"/>
              </w:rPr>
            </w:pPr>
            <w:r>
              <w:rPr>
                <w:rFonts w:ascii="Times New Roman" w:hAnsi="Times New Roman" w:eastAsia="宋体"/>
              </w:rPr>
              <w:t>深度案例</w:t>
            </w:r>
          </w:p>
        </w:tc>
        <w:tc>
          <w:tcPr>
            <w:tcW w:w="2351" w:type="dxa"/>
          </w:tcPr>
          <w:p w14:paraId="6DAC62C6">
            <w:pPr>
              <w:rPr>
                <w:rFonts w:ascii="Times New Roman" w:hAnsi="Times New Roman" w:eastAsia="宋体"/>
              </w:rPr>
            </w:pPr>
            <w:r>
              <w:rPr>
                <w:rFonts w:ascii="Times New Roman" w:hAnsi="Times New Roman" w:eastAsia="宋体"/>
              </w:rPr>
              <w:t>连续日尺度供水、污水、再生水、气象及设施能力</w:t>
            </w:r>
          </w:p>
        </w:tc>
        <w:tc>
          <w:tcPr>
            <w:tcW w:w="2351" w:type="dxa"/>
          </w:tcPr>
          <w:p w14:paraId="2C66899B">
            <w:pPr>
              <w:rPr>
                <w:rFonts w:ascii="Times New Roman" w:hAnsi="Times New Roman" w:eastAsia="宋体"/>
              </w:rPr>
            </w:pPr>
            <w:r>
              <w:rPr>
                <w:rFonts w:ascii="Times New Roman" w:hAnsi="Times New Roman" w:eastAsia="宋体"/>
              </w:rPr>
              <w:t>公开统计、年报、管理部门资料；时间留出校准与验证</w:t>
            </w:r>
          </w:p>
        </w:tc>
        <w:tc>
          <w:tcPr>
            <w:tcW w:w="2351" w:type="dxa"/>
          </w:tcPr>
          <w:p w14:paraId="0091C425">
            <w:pPr>
              <w:rPr>
                <w:rFonts w:ascii="Times New Roman" w:hAnsi="Times New Roman" w:eastAsia="宋体"/>
              </w:rPr>
            </w:pPr>
            <w:r>
              <w:rPr>
                <w:rFonts w:ascii="Times New Roman" w:hAnsi="Times New Roman" w:eastAsia="宋体"/>
              </w:rPr>
              <w:t>约束真实城市响应与峰值边界</w:t>
            </w:r>
          </w:p>
        </w:tc>
      </w:tr>
      <w:tr w14:paraId="682E1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429AD3C0">
            <w:pPr>
              <w:rPr>
                <w:rFonts w:ascii="Times New Roman" w:hAnsi="Times New Roman" w:eastAsia="宋体"/>
              </w:rPr>
            </w:pPr>
            <w:r>
              <w:rPr>
                <w:rFonts w:ascii="Times New Roman" w:hAnsi="Times New Roman" w:eastAsia="宋体"/>
              </w:rPr>
              <w:t>外部锚点</w:t>
            </w:r>
          </w:p>
        </w:tc>
        <w:tc>
          <w:tcPr>
            <w:tcW w:w="2351" w:type="dxa"/>
          </w:tcPr>
          <w:p w14:paraId="77456FA1">
            <w:pPr>
              <w:rPr>
                <w:rFonts w:ascii="Times New Roman" w:hAnsi="Times New Roman" w:eastAsia="宋体"/>
              </w:rPr>
            </w:pPr>
            <w:r>
              <w:rPr>
                <w:rFonts w:ascii="Times New Roman" w:hAnsi="Times New Roman" w:eastAsia="宋体"/>
              </w:rPr>
              <w:t>水资源禀赋、热环境、供排水能力、再生水利用和典型运行指标</w:t>
            </w:r>
          </w:p>
        </w:tc>
        <w:tc>
          <w:tcPr>
            <w:tcW w:w="2351" w:type="dxa"/>
          </w:tcPr>
          <w:p w14:paraId="74C92FB4">
            <w:pPr>
              <w:rPr>
                <w:rFonts w:ascii="Times New Roman" w:hAnsi="Times New Roman" w:eastAsia="宋体"/>
              </w:rPr>
            </w:pPr>
            <w:r>
              <w:rPr>
                <w:rFonts w:ascii="Times New Roman" w:hAnsi="Times New Roman" w:eastAsia="宋体"/>
              </w:rPr>
              <w:t>公开资料和可比统计；不参与拟合</w:t>
            </w:r>
          </w:p>
        </w:tc>
        <w:tc>
          <w:tcPr>
            <w:tcW w:w="2351" w:type="dxa"/>
          </w:tcPr>
          <w:p w14:paraId="176C408C">
            <w:pPr>
              <w:rPr>
                <w:rFonts w:ascii="Times New Roman" w:hAnsi="Times New Roman" w:eastAsia="宋体"/>
              </w:rPr>
            </w:pPr>
            <w:r>
              <w:rPr>
                <w:rFonts w:ascii="Times New Roman" w:hAnsi="Times New Roman" w:eastAsia="宋体"/>
              </w:rPr>
              <w:t>检验参数范围、方向和瓶颈类型</w:t>
            </w:r>
          </w:p>
        </w:tc>
      </w:tr>
      <w:tr w14:paraId="45CCA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6E34D3C0">
            <w:pPr>
              <w:rPr>
                <w:rFonts w:ascii="Times New Roman" w:hAnsi="Times New Roman" w:eastAsia="宋体"/>
              </w:rPr>
            </w:pPr>
            <w:r>
              <w:rPr>
                <w:rFonts w:ascii="Times New Roman" w:hAnsi="Times New Roman" w:eastAsia="宋体"/>
              </w:rPr>
              <w:t>工程与文献</w:t>
            </w:r>
          </w:p>
        </w:tc>
        <w:tc>
          <w:tcPr>
            <w:tcW w:w="2351" w:type="dxa"/>
          </w:tcPr>
          <w:p w14:paraId="23F154CB">
            <w:pPr>
              <w:rPr>
                <w:rFonts w:ascii="Times New Roman" w:hAnsi="Times New Roman" w:eastAsia="宋体"/>
              </w:rPr>
            </w:pPr>
            <w:r>
              <w:rPr>
                <w:rFonts w:ascii="Times New Roman" w:hAnsi="Times New Roman" w:eastAsia="宋体"/>
              </w:rPr>
              <w:t>冷却架构、PUE、CoC、蒸发排污、水质和处理能耗</w:t>
            </w:r>
          </w:p>
        </w:tc>
        <w:tc>
          <w:tcPr>
            <w:tcW w:w="2351" w:type="dxa"/>
          </w:tcPr>
          <w:p w14:paraId="05CFC25C">
            <w:pPr>
              <w:rPr>
                <w:rFonts w:ascii="Times New Roman" w:hAnsi="Times New Roman" w:eastAsia="宋体"/>
              </w:rPr>
            </w:pPr>
            <w:r>
              <w:rPr>
                <w:rFonts w:ascii="Times New Roman" w:hAnsi="Times New Roman" w:eastAsia="宋体"/>
              </w:rPr>
              <w:t>标准、工程文献、公开Benchmark</w:t>
            </w:r>
          </w:p>
        </w:tc>
        <w:tc>
          <w:tcPr>
            <w:tcW w:w="2351" w:type="dxa"/>
          </w:tcPr>
          <w:p w14:paraId="7188E113">
            <w:pPr>
              <w:rPr>
                <w:rFonts w:ascii="Times New Roman" w:hAnsi="Times New Roman" w:eastAsia="宋体"/>
              </w:rPr>
            </w:pPr>
            <w:r>
              <w:rPr>
                <w:rFonts w:ascii="Times New Roman" w:hAnsi="Times New Roman" w:eastAsia="宋体"/>
              </w:rPr>
              <w:t>形成条件分布和结构对照</w:t>
            </w:r>
          </w:p>
        </w:tc>
      </w:tr>
      <w:tr w14:paraId="5F9CD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673A863C">
            <w:pPr>
              <w:rPr>
                <w:rFonts w:ascii="Times New Roman" w:hAnsi="Times New Roman" w:eastAsia="宋体"/>
              </w:rPr>
            </w:pPr>
            <w:r>
              <w:rPr>
                <w:rFonts w:ascii="Times New Roman" w:hAnsi="Times New Roman" w:eastAsia="宋体"/>
              </w:rPr>
              <w:t>敏感数据</w:t>
            </w:r>
          </w:p>
        </w:tc>
        <w:tc>
          <w:tcPr>
            <w:tcW w:w="2351" w:type="dxa"/>
          </w:tcPr>
          <w:p w14:paraId="7FB0C332">
            <w:pPr>
              <w:rPr>
                <w:rFonts w:ascii="Times New Roman" w:hAnsi="Times New Roman" w:eastAsia="宋体"/>
              </w:rPr>
            </w:pPr>
            <w:r>
              <w:rPr>
                <w:rFonts w:ascii="Times New Roman" w:hAnsi="Times New Roman" w:eastAsia="宋体"/>
              </w:rPr>
              <w:t>企业逐小时负载、用水、水质和局部接入</w:t>
            </w:r>
          </w:p>
        </w:tc>
        <w:tc>
          <w:tcPr>
            <w:tcW w:w="2351" w:type="dxa"/>
          </w:tcPr>
          <w:p w14:paraId="5155EB7A">
            <w:pPr>
              <w:rPr>
                <w:rFonts w:ascii="Times New Roman" w:hAnsi="Times New Roman" w:eastAsia="宋体"/>
              </w:rPr>
            </w:pPr>
            <w:r>
              <w:rPr>
                <w:rFonts w:ascii="Times New Roman" w:hAnsi="Times New Roman" w:eastAsia="宋体"/>
              </w:rPr>
              <w:t>若可获得则用于校核；否则使用区间与替代剖面</w:t>
            </w:r>
          </w:p>
        </w:tc>
        <w:tc>
          <w:tcPr>
            <w:tcW w:w="2351" w:type="dxa"/>
          </w:tcPr>
          <w:p w14:paraId="4183AF98">
            <w:pPr>
              <w:rPr>
                <w:rFonts w:ascii="Times New Roman" w:hAnsi="Times New Roman" w:eastAsia="宋体"/>
              </w:rPr>
            </w:pPr>
            <w:r>
              <w:rPr>
                <w:rFonts w:ascii="Times New Roman" w:hAnsi="Times New Roman" w:eastAsia="宋体"/>
              </w:rPr>
              <w:t>不作为模型成立的单一前提</w:t>
            </w:r>
          </w:p>
        </w:tc>
      </w:tr>
    </w:tbl>
    <w:p w14:paraId="26113732">
      <w:pPr>
        <w:ind w:firstLine="420"/>
        <w:rPr>
          <w:rFonts w:ascii="Times New Roman" w:hAnsi="Times New Roman" w:eastAsia="宋体"/>
        </w:rPr>
      </w:pPr>
      <w:r>
        <w:rPr>
          <w:rFonts w:ascii="Times New Roman" w:hAnsi="Times New Roman" w:eastAsia="宋体"/>
        </w:rPr>
        <w:t>案例城市不在开题阶段凭空锁定，而依据四项标准筛选：有连续且可追溯的城市水务序列；具备可区分的给水、污水和再生水能力信息；能够获得小时气象和极端事件记录；城市状态具有对其他地区的解释价值。候选城市确定后，将在数据审计中明确已获得数据、可公开取得数据和难以取得数据，并用不确定性宽度量化数据缺口的影响。若核心序列缺失导致关键结论不可辨识，则更换案例或缩减结论范围，而不是用未经支持的点估计填补。</w:t>
      </w:r>
    </w:p>
    <w:p w14:paraId="750DCF2C">
      <w:pPr>
        <w:pStyle w:val="4"/>
        <w:rPr>
          <w:rFonts w:ascii="Times New Roman" w:hAnsi="Times New Roman" w:eastAsia="宋体"/>
        </w:rPr>
      </w:pPr>
      <w:r>
        <w:rPr>
          <w:rFonts w:ascii="Times New Roman" w:hAnsi="Times New Roman" w:eastAsia="宋体"/>
        </w:rPr>
        <w:t>5.3　模型验证与证据等级</w:t>
      </w:r>
    </w:p>
    <w:p w14:paraId="1FBB1DF4">
      <w:pPr>
        <w:ind w:firstLine="420"/>
        <w:rPr>
          <w:rFonts w:ascii="Times New Roman" w:hAnsi="Times New Roman" w:eastAsia="宋体"/>
        </w:rPr>
      </w:pPr>
      <w:r>
        <w:rPr>
          <w:rFonts w:ascii="Times New Roman" w:hAnsi="Times New Roman" w:eastAsia="宋体"/>
        </w:rPr>
        <w:t>模型验证采用“代码验证—过程验证—独立验证—外部核验—结构稳健性”递进方式。代码验证检查质量守恒、非负性、容量限制、储量更新和随机复现；过程验证将IT能耗、PUE、蒸发、排污、再生水处理与公开工程关系比较；独立验证使用时间留出数据；外部核验比较锚点城市的响应方向和瓶颈类型；结构稳健性比较机理冷却模型与经验WUE模型。不同证据等级在结果中分开标注，文献数量级一致不替代真实时间验证。</w:t>
      </w:r>
    </w:p>
    <w:p w14:paraId="04932A83">
      <w:pPr>
        <w:pStyle w:val="4"/>
        <w:rPr>
          <w:rFonts w:ascii="Times New Roman" w:hAnsi="Times New Roman" w:eastAsia="宋体"/>
        </w:rPr>
      </w:pPr>
      <w:r>
        <w:rPr>
          <w:rFonts w:ascii="Times New Roman" w:hAnsi="Times New Roman" w:eastAsia="宋体"/>
        </w:rPr>
        <w:t>5.4　可行性分析</w:t>
      </w:r>
    </w:p>
    <w:p w14:paraId="44A31D0B">
      <w:pPr>
        <w:pStyle w:val="16"/>
        <w:rPr>
          <w:rFonts w:ascii="Times New Roman" w:hAnsi="Times New Roman" w:eastAsia="宋体"/>
        </w:rPr>
      </w:pPr>
      <w:r>
        <w:rPr>
          <w:rFonts w:ascii="Times New Roman" w:hAnsi="Times New Roman" w:eastAsia="宋体"/>
        </w:rPr>
        <w:t>理论可行性：城市代谢、综合水系统、数据中心冷却和可靠性评价已有成熟理论接口，本研究的增量在于耦合和机制解释。</w:t>
      </w:r>
    </w:p>
    <w:p w14:paraId="59D8B14A">
      <w:pPr>
        <w:pStyle w:val="16"/>
        <w:rPr>
          <w:rFonts w:ascii="Times New Roman" w:hAnsi="Times New Roman" w:eastAsia="宋体"/>
        </w:rPr>
      </w:pPr>
      <w:r>
        <w:rPr>
          <w:rFonts w:ascii="Times New Roman" w:hAnsi="Times New Roman" w:eastAsia="宋体"/>
        </w:rPr>
        <w:t>数据可行性：核心城市水务和气象数据可由公开统计与管理资料支撑；商业敏感数据采取工程Benchmark、区间参数和条件剖面替代。</w:t>
      </w:r>
    </w:p>
    <w:p w14:paraId="71243F2E">
      <w:pPr>
        <w:pStyle w:val="16"/>
        <w:rPr>
          <w:rFonts w:ascii="Times New Roman" w:hAnsi="Times New Roman" w:eastAsia="宋体"/>
        </w:rPr>
      </w:pPr>
      <w:r>
        <w:rPr>
          <w:rFonts w:ascii="Times New Roman" w:hAnsi="Times New Roman" w:eastAsia="宋体"/>
        </w:rPr>
        <w:t>计算可行性：模型按模块开发，优先在边界附近计算；高维敏感性分析只对证据充分的变量实施。</w:t>
      </w:r>
    </w:p>
    <w:p w14:paraId="6E0B2971">
      <w:pPr>
        <w:pStyle w:val="16"/>
        <w:rPr>
          <w:rFonts w:ascii="Times New Roman" w:hAnsi="Times New Roman" w:eastAsia="宋体"/>
        </w:rPr>
      </w:pPr>
      <w:r>
        <w:rPr>
          <w:rFonts w:ascii="Times New Roman" w:hAnsi="Times New Roman" w:eastAsia="宋体"/>
        </w:rPr>
        <w:t>论文可行性：模型构建、代谢响应、承载边界、瓶颈与干预四部分具有相对独立的研究问题，可形成连续论文产出。</w:t>
      </w:r>
    </w:p>
    <w:p w14:paraId="7C9001BF">
      <w:pPr>
        <w:pStyle w:val="4"/>
        <w:rPr>
          <w:rFonts w:ascii="Times New Roman" w:hAnsi="Times New Roman" w:eastAsia="宋体"/>
        </w:rPr>
      </w:pPr>
      <w:r>
        <w:rPr>
          <w:rFonts w:ascii="Times New Roman" w:hAnsi="Times New Roman" w:eastAsia="宋体"/>
        </w:rPr>
        <w:t>5.5　关键难点与应对措施</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35"/>
        <w:gridCol w:w="3135"/>
        <w:gridCol w:w="3135"/>
      </w:tblGrid>
      <w:tr w14:paraId="6FA09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54BCDDEA">
            <w:pPr>
              <w:rPr>
                <w:rFonts w:ascii="Times New Roman" w:hAnsi="Times New Roman" w:eastAsia="宋体"/>
              </w:rPr>
            </w:pPr>
            <w:r>
              <w:rPr>
                <w:rFonts w:ascii="Times New Roman" w:hAnsi="Times New Roman" w:eastAsia="宋体"/>
              </w:rPr>
              <w:t>难点</w:t>
            </w:r>
          </w:p>
        </w:tc>
        <w:tc>
          <w:tcPr>
            <w:tcW w:w="3135" w:type="dxa"/>
          </w:tcPr>
          <w:p w14:paraId="20AD0984">
            <w:pPr>
              <w:rPr>
                <w:rFonts w:ascii="Times New Roman" w:hAnsi="Times New Roman" w:eastAsia="宋体"/>
              </w:rPr>
            </w:pPr>
            <w:r>
              <w:rPr>
                <w:rFonts w:ascii="Times New Roman" w:hAnsi="Times New Roman" w:eastAsia="宋体"/>
              </w:rPr>
              <w:t>可能后果</w:t>
            </w:r>
          </w:p>
        </w:tc>
        <w:tc>
          <w:tcPr>
            <w:tcW w:w="3135" w:type="dxa"/>
          </w:tcPr>
          <w:p w14:paraId="0E75BAAC">
            <w:pPr>
              <w:rPr>
                <w:rFonts w:ascii="Times New Roman" w:hAnsi="Times New Roman" w:eastAsia="宋体"/>
              </w:rPr>
            </w:pPr>
            <w:r>
              <w:rPr>
                <w:rFonts w:ascii="Times New Roman" w:hAnsi="Times New Roman" w:eastAsia="宋体"/>
              </w:rPr>
              <w:t>应对措施</w:t>
            </w:r>
          </w:p>
        </w:tc>
      </w:tr>
      <w:tr w14:paraId="07BD1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5B633C57">
            <w:pPr>
              <w:rPr>
                <w:rFonts w:ascii="Times New Roman" w:hAnsi="Times New Roman" w:eastAsia="宋体"/>
              </w:rPr>
            </w:pPr>
            <w:r>
              <w:rPr>
                <w:rFonts w:ascii="Times New Roman" w:hAnsi="Times New Roman" w:eastAsia="宋体"/>
              </w:rPr>
              <w:t>AI运行数据不足</w:t>
            </w:r>
          </w:p>
        </w:tc>
        <w:tc>
          <w:tcPr>
            <w:tcW w:w="3135" w:type="dxa"/>
          </w:tcPr>
          <w:p w14:paraId="31ED21BC">
            <w:pPr>
              <w:rPr>
                <w:rFonts w:ascii="Times New Roman" w:hAnsi="Times New Roman" w:eastAsia="宋体"/>
              </w:rPr>
            </w:pPr>
            <w:r>
              <w:rPr>
                <w:rFonts w:ascii="Times New Roman" w:hAnsi="Times New Roman" w:eastAsia="宋体"/>
              </w:rPr>
              <w:t>难以校准逐小时负荷和水耗</w:t>
            </w:r>
          </w:p>
        </w:tc>
        <w:tc>
          <w:tcPr>
            <w:tcW w:w="3135" w:type="dxa"/>
          </w:tcPr>
          <w:p w14:paraId="1E76CBE5">
            <w:pPr>
              <w:rPr>
                <w:rFonts w:ascii="Times New Roman" w:hAnsi="Times New Roman" w:eastAsia="宋体"/>
              </w:rPr>
            </w:pPr>
            <w:r>
              <w:rPr>
                <w:rFonts w:ascii="Times New Roman" w:hAnsi="Times New Roman" w:eastAsia="宋体"/>
              </w:rPr>
              <w:t>采用公开工程参数、文献Benchmark和保留日总量的条件剖面；把不可辨识性单独报告</w:t>
            </w:r>
          </w:p>
        </w:tc>
      </w:tr>
      <w:tr w14:paraId="75852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7ADA1EB5">
            <w:pPr>
              <w:rPr>
                <w:rFonts w:ascii="Times New Roman" w:hAnsi="Times New Roman" w:eastAsia="宋体"/>
              </w:rPr>
            </w:pPr>
            <w:r>
              <w:rPr>
                <w:rFonts w:ascii="Times New Roman" w:hAnsi="Times New Roman" w:eastAsia="宋体"/>
              </w:rPr>
              <w:t>水量与水质耦合复杂</w:t>
            </w:r>
          </w:p>
        </w:tc>
        <w:tc>
          <w:tcPr>
            <w:tcW w:w="3135" w:type="dxa"/>
          </w:tcPr>
          <w:p w14:paraId="6C297CEB">
            <w:pPr>
              <w:rPr>
                <w:rFonts w:ascii="Times New Roman" w:hAnsi="Times New Roman" w:eastAsia="宋体"/>
              </w:rPr>
            </w:pPr>
            <w:r>
              <w:rPr>
                <w:rFonts w:ascii="Times New Roman" w:hAnsi="Times New Roman" w:eastAsia="宋体"/>
              </w:rPr>
              <w:t>水量余量掩盖水质失效</w:t>
            </w:r>
          </w:p>
        </w:tc>
        <w:tc>
          <w:tcPr>
            <w:tcW w:w="3135" w:type="dxa"/>
          </w:tcPr>
          <w:p w14:paraId="16087762">
            <w:pPr>
              <w:rPr>
                <w:rFonts w:ascii="Times New Roman" w:hAnsi="Times New Roman" w:eastAsia="宋体"/>
              </w:rPr>
            </w:pPr>
            <w:r>
              <w:rPr>
                <w:rFonts w:ascii="Times New Roman" w:hAnsi="Times New Roman" w:eastAsia="宋体"/>
              </w:rPr>
              <w:t>追踪TDS、温度和药剂负荷，设置水质独立约束</w:t>
            </w:r>
          </w:p>
        </w:tc>
      </w:tr>
      <w:tr w14:paraId="2E163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372D5FD7">
            <w:pPr>
              <w:rPr>
                <w:rFonts w:ascii="Times New Roman" w:hAnsi="Times New Roman" w:eastAsia="宋体"/>
              </w:rPr>
            </w:pPr>
            <w:r>
              <w:rPr>
                <w:rFonts w:ascii="Times New Roman" w:hAnsi="Times New Roman" w:eastAsia="宋体"/>
              </w:rPr>
              <w:t>反馈导致可行域非单调</w:t>
            </w:r>
          </w:p>
        </w:tc>
        <w:tc>
          <w:tcPr>
            <w:tcW w:w="3135" w:type="dxa"/>
          </w:tcPr>
          <w:p w14:paraId="244B3DFE">
            <w:pPr>
              <w:rPr>
                <w:rFonts w:ascii="Times New Roman" w:hAnsi="Times New Roman" w:eastAsia="宋体"/>
              </w:rPr>
            </w:pPr>
            <w:r>
              <w:rPr>
                <w:rFonts w:ascii="Times New Roman" w:hAnsi="Times New Roman" w:eastAsia="宋体"/>
              </w:rPr>
              <w:t>只报告最大值会掩盖中间失效</w:t>
            </w:r>
          </w:p>
        </w:tc>
        <w:tc>
          <w:tcPr>
            <w:tcW w:w="3135" w:type="dxa"/>
          </w:tcPr>
          <w:p w14:paraId="11567EA9">
            <w:pPr>
              <w:rPr>
                <w:rFonts w:ascii="Times New Roman" w:hAnsi="Times New Roman" w:eastAsia="宋体"/>
              </w:rPr>
            </w:pPr>
            <w:r>
              <w:rPr>
                <w:rFonts w:ascii="Times New Roman" w:hAnsi="Times New Roman" w:eastAsia="宋体"/>
              </w:rPr>
              <w:t>先网格扫描，报告全部可行区间和首次/最终失效</w:t>
            </w:r>
          </w:p>
        </w:tc>
      </w:tr>
      <w:tr w14:paraId="0B3C9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495F9B2D">
            <w:pPr>
              <w:rPr>
                <w:rFonts w:ascii="Times New Roman" w:hAnsi="Times New Roman" w:eastAsia="宋体"/>
              </w:rPr>
            </w:pPr>
            <w:r>
              <w:rPr>
                <w:rFonts w:ascii="Times New Roman" w:hAnsi="Times New Roman" w:eastAsia="宋体"/>
              </w:rPr>
              <w:t>城市间可比性不足</w:t>
            </w:r>
          </w:p>
        </w:tc>
        <w:tc>
          <w:tcPr>
            <w:tcW w:w="3135" w:type="dxa"/>
          </w:tcPr>
          <w:p w14:paraId="7718DA51">
            <w:pPr>
              <w:rPr>
                <w:rFonts w:ascii="Times New Roman" w:hAnsi="Times New Roman" w:eastAsia="宋体"/>
              </w:rPr>
            </w:pPr>
            <w:r>
              <w:rPr>
                <w:rFonts w:ascii="Times New Roman" w:hAnsi="Times New Roman" w:eastAsia="宋体"/>
              </w:rPr>
              <w:t>跨城市结论被过度外推</w:t>
            </w:r>
          </w:p>
        </w:tc>
        <w:tc>
          <w:tcPr>
            <w:tcW w:w="3135" w:type="dxa"/>
          </w:tcPr>
          <w:p w14:paraId="38E59620">
            <w:pPr>
              <w:rPr>
                <w:rFonts w:ascii="Times New Roman" w:hAnsi="Times New Roman" w:eastAsia="宋体"/>
              </w:rPr>
            </w:pPr>
            <w:r>
              <w:rPr>
                <w:rFonts w:ascii="Times New Roman" w:hAnsi="Times New Roman" w:eastAsia="宋体"/>
              </w:rPr>
              <w:t>使用无量纲裕度和适用参数域，外部锚点只承担方向核验</w:t>
            </w:r>
          </w:p>
        </w:tc>
      </w:tr>
    </w:tbl>
    <w:p w14:paraId="71F017C4">
      <w:pPr>
        <w:pStyle w:val="3"/>
        <w:rPr>
          <w:rFonts w:ascii="Times New Roman" w:hAnsi="Times New Roman" w:eastAsia="宋体"/>
        </w:rPr>
      </w:pPr>
      <w:r>
        <w:rPr>
          <w:rFonts w:ascii="Times New Roman" w:hAnsi="Times New Roman" w:eastAsia="宋体"/>
        </w:rPr>
        <w:t>第6章　研究计划、创新与预期成果</w:t>
      </w:r>
    </w:p>
    <w:p w14:paraId="6E24303F">
      <w:pPr>
        <w:pStyle w:val="4"/>
        <w:rPr>
          <w:rFonts w:ascii="Times New Roman" w:hAnsi="Times New Roman" w:eastAsia="宋体"/>
        </w:rPr>
      </w:pPr>
      <w:r>
        <w:rPr>
          <w:rFonts w:ascii="Times New Roman" w:hAnsi="Times New Roman" w:eastAsia="宋体"/>
        </w:rPr>
        <w:t>6.1　拟开展的关键研究</w:t>
      </w:r>
    </w:p>
    <w:p w14:paraId="1EA61D1C">
      <w:pPr>
        <w:ind w:firstLine="420"/>
        <w:rPr>
          <w:rFonts w:ascii="Times New Roman" w:hAnsi="Times New Roman" w:eastAsia="宋体"/>
        </w:rPr>
      </w:pPr>
      <w:r>
        <w:rPr>
          <w:rFonts w:ascii="Times New Roman" w:hAnsi="Times New Roman" w:eastAsia="宋体"/>
        </w:rPr>
        <w:t>研究一：AI—城市水系统耦合机制。明确AI设施在城市水网络中的节点位置、边界和水量水质路径，构建最小闭环并完成验证。该研究解决“AI负荷如何转化为Withdrawal、Consumption和Return Flow”的基础问题，为后续所有边界分析提供统一分母和守恒基础。</w:t>
      </w:r>
    </w:p>
    <w:p w14:paraId="253C6AAD">
      <w:pPr>
        <w:ind w:firstLine="420"/>
        <w:rPr>
          <w:rFonts w:ascii="Times New Roman" w:hAnsi="Times New Roman" w:eastAsia="宋体"/>
        </w:rPr>
      </w:pPr>
      <w:r>
        <w:rPr>
          <w:rFonts w:ascii="Times New Roman" w:hAnsi="Times New Roman" w:eastAsia="宋体"/>
        </w:rPr>
        <w:t>研究二：AI扩张下城市水代谢响应。沿AI容量梯度改变负荷率、冷却架构和水源配置，比较AI情景与Baseline，并设置等效普通工业冷却对照。重点不是寻找一个平均耗水系数，而是判断在何种AI容量比、设施裕度和水源组合下，淡水依赖、内部循环和设施负荷出现结构性转折。</w:t>
      </w:r>
    </w:p>
    <w:p w14:paraId="78674F3E">
      <w:pPr>
        <w:ind w:firstLine="420"/>
        <w:rPr>
          <w:rFonts w:ascii="Times New Roman" w:hAnsi="Times New Roman" w:eastAsia="宋体"/>
        </w:rPr>
      </w:pPr>
      <w:r>
        <w:rPr>
          <w:rFonts w:ascii="Times New Roman" w:hAnsi="Times New Roman" w:eastAsia="宋体"/>
        </w:rPr>
        <w:t>研究三：时间尺度依赖的CAWCC。对同一城市状态分别计算年均、日尺度和极端周小时边界，逐步加入高温、干旱和传统需求峰值。通过峰值重合指数、湿球温度、水源折减和设施剩余裕度解释边界提前，回答年均评价何时系统性高估AI承载能力。</w:t>
      </w:r>
    </w:p>
    <w:p w14:paraId="11656C68">
      <w:pPr>
        <w:ind w:firstLine="420"/>
        <w:rPr>
          <w:rFonts w:ascii="Times New Roman" w:hAnsi="Times New Roman" w:eastAsia="宋体"/>
        </w:rPr>
      </w:pPr>
      <w:r>
        <w:rPr>
          <w:rFonts w:ascii="Times New Roman" w:hAnsi="Times New Roman" w:eastAsia="宋体"/>
        </w:rPr>
        <w:t>研究四：瓶颈转换与干预边界。对水源、给水、污水、再生水、接入和水质约束分别记录首次达到失效条件的AI容量，绘制城市状态—技术—瓶颈转换图。进一步增加再生水处理/输配、给水和污水能力，比较单位干预带来的CAWCC提升，识别源量受限、质量受限、处理受限、输配受限和竞争受限的边际转折。</w:t>
      </w:r>
    </w:p>
    <w:p w14:paraId="235E855E">
      <w:pPr>
        <w:pStyle w:val="4"/>
        <w:rPr>
          <w:rFonts w:ascii="Times New Roman" w:hAnsi="Times New Roman" w:eastAsia="宋体"/>
        </w:rPr>
      </w:pPr>
      <w:r>
        <w:rPr>
          <w:rFonts w:ascii="Times New Roman" w:hAnsi="Times New Roman" w:eastAsia="宋体"/>
        </w:rPr>
        <w:t>6.2　技术路线</w:t>
      </w:r>
    </w:p>
    <w:p w14:paraId="2D8453CE">
      <w:pPr>
        <w:ind w:firstLine="420"/>
        <w:rPr>
          <w:rFonts w:ascii="Times New Roman" w:hAnsi="Times New Roman" w:eastAsia="宋体"/>
        </w:rPr>
      </w:pPr>
      <w:r>
        <w:rPr>
          <w:rFonts w:ascii="Times New Roman" w:hAnsi="Times New Roman" w:eastAsia="宋体"/>
        </w:rPr>
        <w:t>技术路线分为六步：第一步完成文献和数据审计，确定案例边界与参数证据；第二步将AI设施过程嵌入城市人工水系统并完成水量水质守恒；第三步利用深度案例进行校准和时间留出验证，并用外部锚点核验范围和方向；第四步开展容量梯度、时间尺度和复合压力实验；第五步求解CAWCC并识别瓶颈转换；第六步进行不确定性、结构稳健性和干预边际收益分析。每一步的输出都是下一步的输入，避免在模型尚未验证前直接进行复杂优化。</w:t>
      </w:r>
    </w:p>
    <w:p w14:paraId="681764BB">
      <w:pPr>
        <w:pStyle w:val="4"/>
        <w:rPr>
          <w:rFonts w:ascii="Times New Roman" w:hAnsi="Times New Roman" w:eastAsia="宋体"/>
        </w:rPr>
      </w:pPr>
      <w:r>
        <w:rPr>
          <w:rFonts w:ascii="Times New Roman" w:hAnsi="Times New Roman" w:eastAsia="宋体"/>
        </w:rPr>
        <w:t>6.3　预期创新点</w:t>
      </w:r>
    </w:p>
    <w:p w14:paraId="4949FDE8">
      <w:pPr>
        <w:pStyle w:val="16"/>
        <w:rPr>
          <w:rFonts w:ascii="Times New Roman" w:hAnsi="Times New Roman" w:eastAsia="宋体"/>
        </w:rPr>
      </w:pPr>
      <w:r>
        <w:rPr>
          <w:rFonts w:ascii="Times New Roman" w:hAnsi="Times New Roman" w:eastAsia="宋体"/>
        </w:rPr>
        <w:t>创新一（研究尺度）：把AI算力中心从设施水足迹研究中的“黑箱”转化为城市人工水系统中的可计算节点，建立从IT容量到给水—污水—再生水的水量水质闭合。</w:t>
      </w:r>
    </w:p>
    <w:p w14:paraId="559F4F57">
      <w:pPr>
        <w:pStyle w:val="16"/>
        <w:rPr>
          <w:rFonts w:ascii="Times New Roman" w:hAnsi="Times New Roman" w:eastAsia="宋体"/>
        </w:rPr>
      </w:pPr>
      <w:r>
        <w:rPr>
          <w:rFonts w:ascii="Times New Roman" w:hAnsi="Times New Roman" w:eastAsia="宋体"/>
        </w:rPr>
        <w:t>创新二（科学机制）：提出并检验“连续AI负荷—气候敏感冷却—城市峰值需求”共同形成时间尺度依赖承载边界的机制，解释相同年用水量为何产生不同峰值风险。</w:t>
      </w:r>
    </w:p>
    <w:p w14:paraId="648BACA1">
      <w:pPr>
        <w:pStyle w:val="16"/>
        <w:rPr>
          <w:rFonts w:ascii="Times New Roman" w:hAnsi="Times New Roman" w:eastAsia="宋体"/>
        </w:rPr>
      </w:pPr>
      <w:r>
        <w:rPr>
          <w:rFonts w:ascii="Times New Roman" w:hAnsi="Times New Roman" w:eastAsia="宋体"/>
        </w:rPr>
        <w:t>创新三（承载理论）：将AI承载容量定义为由水源、设施、峰值、接入和水质共同决定的条件化可行边界，揭示AI扩张和干预过程中主导瓶颈迁移及再生水边际收益转折。</w:t>
      </w:r>
    </w:p>
    <w:p w14:paraId="043127FB">
      <w:pPr>
        <w:pStyle w:val="4"/>
        <w:rPr>
          <w:rFonts w:ascii="Times New Roman" w:hAnsi="Times New Roman" w:eastAsia="宋体"/>
        </w:rPr>
      </w:pPr>
      <w:r>
        <w:rPr>
          <w:rFonts w:ascii="Times New Roman" w:hAnsi="Times New Roman" w:eastAsia="宋体"/>
        </w:rPr>
        <w:t>6.4　工作计划</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51"/>
        <w:gridCol w:w="2351"/>
        <w:gridCol w:w="2351"/>
        <w:gridCol w:w="2351"/>
      </w:tblGrid>
      <w:tr w14:paraId="0CF53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429665F4">
            <w:pPr>
              <w:rPr>
                <w:rFonts w:ascii="Times New Roman" w:hAnsi="Times New Roman" w:eastAsia="宋体"/>
              </w:rPr>
            </w:pPr>
            <w:r>
              <w:rPr>
                <w:rFonts w:ascii="Times New Roman" w:hAnsi="Times New Roman" w:eastAsia="宋体"/>
              </w:rPr>
              <w:t>阶段</w:t>
            </w:r>
          </w:p>
        </w:tc>
        <w:tc>
          <w:tcPr>
            <w:tcW w:w="2351" w:type="dxa"/>
          </w:tcPr>
          <w:p w14:paraId="4999D5B0">
            <w:pPr>
              <w:rPr>
                <w:rFonts w:ascii="Times New Roman" w:hAnsi="Times New Roman" w:eastAsia="宋体"/>
              </w:rPr>
            </w:pPr>
            <w:r>
              <w:rPr>
                <w:rFonts w:ascii="Times New Roman" w:hAnsi="Times New Roman" w:eastAsia="宋体"/>
              </w:rPr>
              <w:t>时间</w:t>
            </w:r>
          </w:p>
        </w:tc>
        <w:tc>
          <w:tcPr>
            <w:tcW w:w="2351" w:type="dxa"/>
          </w:tcPr>
          <w:p w14:paraId="14D57C16">
            <w:pPr>
              <w:rPr>
                <w:rFonts w:ascii="Times New Roman" w:hAnsi="Times New Roman" w:eastAsia="宋体"/>
              </w:rPr>
            </w:pPr>
            <w:r>
              <w:rPr>
                <w:rFonts w:ascii="Times New Roman" w:hAnsi="Times New Roman" w:eastAsia="宋体"/>
              </w:rPr>
              <w:t>主要工作</w:t>
            </w:r>
          </w:p>
        </w:tc>
        <w:tc>
          <w:tcPr>
            <w:tcW w:w="2351" w:type="dxa"/>
          </w:tcPr>
          <w:p w14:paraId="28CFA97F">
            <w:pPr>
              <w:rPr>
                <w:rFonts w:ascii="Times New Roman" w:hAnsi="Times New Roman" w:eastAsia="宋体"/>
              </w:rPr>
            </w:pPr>
            <w:r>
              <w:rPr>
                <w:rFonts w:ascii="Times New Roman" w:hAnsi="Times New Roman" w:eastAsia="宋体"/>
              </w:rPr>
              <w:t>阶段产出</w:t>
            </w:r>
          </w:p>
        </w:tc>
      </w:tr>
      <w:tr w14:paraId="311C7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7F17E3EE">
            <w:pPr>
              <w:rPr>
                <w:rFonts w:ascii="Times New Roman" w:hAnsi="Times New Roman" w:eastAsia="宋体"/>
              </w:rPr>
            </w:pPr>
            <w:r>
              <w:rPr>
                <w:rFonts w:ascii="Times New Roman" w:hAnsi="Times New Roman" w:eastAsia="宋体"/>
              </w:rPr>
              <w:t>第一阶段</w:t>
            </w:r>
          </w:p>
        </w:tc>
        <w:tc>
          <w:tcPr>
            <w:tcW w:w="2351" w:type="dxa"/>
          </w:tcPr>
          <w:p w14:paraId="761470BB">
            <w:pPr>
              <w:rPr>
                <w:rFonts w:ascii="Times New Roman" w:hAnsi="Times New Roman" w:eastAsia="宋体"/>
              </w:rPr>
            </w:pPr>
            <w:r>
              <w:rPr>
                <w:rFonts w:ascii="Times New Roman" w:hAnsi="Times New Roman" w:eastAsia="宋体"/>
              </w:rPr>
              <w:t>2026.09—2027.06</w:t>
            </w:r>
          </w:p>
        </w:tc>
        <w:tc>
          <w:tcPr>
            <w:tcW w:w="2351" w:type="dxa"/>
          </w:tcPr>
          <w:p w14:paraId="0347188D">
            <w:pPr>
              <w:rPr>
                <w:rFonts w:ascii="Times New Roman" w:hAnsi="Times New Roman" w:eastAsia="宋体"/>
              </w:rPr>
            </w:pPr>
            <w:r>
              <w:rPr>
                <w:rFonts w:ascii="Times New Roman" w:hAnsi="Times New Roman" w:eastAsia="宋体"/>
              </w:rPr>
              <w:t>数据审计、案例筛选、文献综述、最小闭环、单元测试</w:t>
            </w:r>
          </w:p>
        </w:tc>
        <w:tc>
          <w:tcPr>
            <w:tcW w:w="2351" w:type="dxa"/>
          </w:tcPr>
          <w:p w14:paraId="53F4D343">
            <w:pPr>
              <w:rPr>
                <w:rFonts w:ascii="Times New Roman" w:hAnsi="Times New Roman" w:eastAsia="宋体"/>
              </w:rPr>
            </w:pPr>
            <w:r>
              <w:rPr>
                <w:rFonts w:ascii="Times New Roman" w:hAnsi="Times New Roman" w:eastAsia="宋体"/>
              </w:rPr>
              <w:t>研究数据库、AI-UWM原型、方法论文初稿</w:t>
            </w:r>
          </w:p>
        </w:tc>
      </w:tr>
      <w:tr w14:paraId="4A030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76BEDA35">
            <w:pPr>
              <w:rPr>
                <w:rFonts w:ascii="Times New Roman" w:hAnsi="Times New Roman" w:eastAsia="宋体"/>
              </w:rPr>
            </w:pPr>
            <w:r>
              <w:rPr>
                <w:rFonts w:ascii="Times New Roman" w:hAnsi="Times New Roman" w:eastAsia="宋体"/>
              </w:rPr>
              <w:t>第二阶段</w:t>
            </w:r>
          </w:p>
        </w:tc>
        <w:tc>
          <w:tcPr>
            <w:tcW w:w="2351" w:type="dxa"/>
          </w:tcPr>
          <w:p w14:paraId="0290DC2B">
            <w:pPr>
              <w:rPr>
                <w:rFonts w:ascii="Times New Roman" w:hAnsi="Times New Roman" w:eastAsia="宋体"/>
              </w:rPr>
            </w:pPr>
            <w:r>
              <w:rPr>
                <w:rFonts w:ascii="Times New Roman" w:hAnsi="Times New Roman" w:eastAsia="宋体"/>
              </w:rPr>
              <w:t>2027.07—2028.03</w:t>
            </w:r>
          </w:p>
        </w:tc>
        <w:tc>
          <w:tcPr>
            <w:tcW w:w="2351" w:type="dxa"/>
          </w:tcPr>
          <w:p w14:paraId="7B6D2BF7">
            <w:pPr>
              <w:rPr>
                <w:rFonts w:ascii="Times New Roman" w:hAnsi="Times New Roman" w:eastAsia="宋体"/>
              </w:rPr>
            </w:pPr>
            <w:r>
              <w:rPr>
                <w:rFonts w:ascii="Times New Roman" w:hAnsi="Times New Roman" w:eastAsia="宋体"/>
              </w:rPr>
              <w:t>深度案例校准、时间留出验证、外部锚点和对照实验</w:t>
            </w:r>
          </w:p>
        </w:tc>
        <w:tc>
          <w:tcPr>
            <w:tcW w:w="2351" w:type="dxa"/>
          </w:tcPr>
          <w:p w14:paraId="3B59D12F">
            <w:pPr>
              <w:rPr>
                <w:rFonts w:ascii="Times New Roman" w:hAnsi="Times New Roman" w:eastAsia="宋体"/>
              </w:rPr>
            </w:pPr>
            <w:r>
              <w:rPr>
                <w:rFonts w:ascii="Times New Roman" w:hAnsi="Times New Roman" w:eastAsia="宋体"/>
              </w:rPr>
              <w:t>代谢响应结果、论文1、可复现代码版本</w:t>
            </w:r>
          </w:p>
        </w:tc>
      </w:tr>
      <w:tr w14:paraId="6C49E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3F023CD8">
            <w:pPr>
              <w:rPr>
                <w:rFonts w:ascii="Times New Roman" w:hAnsi="Times New Roman" w:eastAsia="宋体"/>
              </w:rPr>
            </w:pPr>
            <w:r>
              <w:rPr>
                <w:rFonts w:ascii="Times New Roman" w:hAnsi="Times New Roman" w:eastAsia="宋体"/>
              </w:rPr>
              <w:t>第三阶段</w:t>
            </w:r>
          </w:p>
        </w:tc>
        <w:tc>
          <w:tcPr>
            <w:tcW w:w="2351" w:type="dxa"/>
          </w:tcPr>
          <w:p w14:paraId="3E6EA77E">
            <w:pPr>
              <w:rPr>
                <w:rFonts w:ascii="Times New Roman" w:hAnsi="Times New Roman" w:eastAsia="宋体"/>
              </w:rPr>
            </w:pPr>
            <w:r>
              <w:rPr>
                <w:rFonts w:ascii="Times New Roman" w:hAnsi="Times New Roman" w:eastAsia="宋体"/>
              </w:rPr>
              <w:t>2028.04—2028.12</w:t>
            </w:r>
          </w:p>
        </w:tc>
        <w:tc>
          <w:tcPr>
            <w:tcW w:w="2351" w:type="dxa"/>
          </w:tcPr>
          <w:p w14:paraId="2CE8E214">
            <w:pPr>
              <w:rPr>
                <w:rFonts w:ascii="Times New Roman" w:hAnsi="Times New Roman" w:eastAsia="宋体"/>
              </w:rPr>
            </w:pPr>
            <w:r>
              <w:rPr>
                <w:rFonts w:ascii="Times New Roman" w:hAnsi="Times New Roman" w:eastAsia="宋体"/>
              </w:rPr>
              <w:t>年均—日—小时比较、高温干旱复合压力、CAWCC</w:t>
            </w:r>
          </w:p>
        </w:tc>
        <w:tc>
          <w:tcPr>
            <w:tcW w:w="2351" w:type="dxa"/>
          </w:tcPr>
          <w:p w14:paraId="7A1112ED">
            <w:pPr>
              <w:rPr>
                <w:rFonts w:ascii="Times New Roman" w:hAnsi="Times New Roman" w:eastAsia="宋体"/>
              </w:rPr>
            </w:pPr>
            <w:r>
              <w:rPr>
                <w:rFonts w:ascii="Times New Roman" w:hAnsi="Times New Roman" w:eastAsia="宋体"/>
              </w:rPr>
              <w:t>时间尺度边界结果、论文2</w:t>
            </w:r>
          </w:p>
        </w:tc>
      </w:tr>
      <w:tr w14:paraId="3A863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1B628C61">
            <w:pPr>
              <w:rPr>
                <w:rFonts w:ascii="Times New Roman" w:hAnsi="Times New Roman" w:eastAsia="宋体"/>
              </w:rPr>
            </w:pPr>
            <w:r>
              <w:rPr>
                <w:rFonts w:ascii="Times New Roman" w:hAnsi="Times New Roman" w:eastAsia="宋体"/>
              </w:rPr>
              <w:t>第四阶段</w:t>
            </w:r>
          </w:p>
        </w:tc>
        <w:tc>
          <w:tcPr>
            <w:tcW w:w="2351" w:type="dxa"/>
          </w:tcPr>
          <w:p w14:paraId="42066DAE">
            <w:pPr>
              <w:rPr>
                <w:rFonts w:ascii="Times New Roman" w:hAnsi="Times New Roman" w:eastAsia="宋体"/>
              </w:rPr>
            </w:pPr>
            <w:r>
              <w:rPr>
                <w:rFonts w:ascii="Times New Roman" w:hAnsi="Times New Roman" w:eastAsia="宋体"/>
              </w:rPr>
              <w:t>2029.01—2029.09</w:t>
            </w:r>
          </w:p>
        </w:tc>
        <w:tc>
          <w:tcPr>
            <w:tcW w:w="2351" w:type="dxa"/>
          </w:tcPr>
          <w:p w14:paraId="7FD01A73">
            <w:pPr>
              <w:rPr>
                <w:rFonts w:ascii="Times New Roman" w:hAnsi="Times New Roman" w:eastAsia="宋体"/>
              </w:rPr>
            </w:pPr>
            <w:r>
              <w:rPr>
                <w:rFonts w:ascii="Times New Roman" w:hAnsi="Times New Roman" w:eastAsia="宋体"/>
              </w:rPr>
              <w:t>不确定性、瓶颈转换、再生水和设施干预</w:t>
            </w:r>
          </w:p>
        </w:tc>
        <w:tc>
          <w:tcPr>
            <w:tcW w:w="2351" w:type="dxa"/>
          </w:tcPr>
          <w:p w14:paraId="7DD53A58">
            <w:pPr>
              <w:rPr>
                <w:rFonts w:ascii="Times New Roman" w:hAnsi="Times New Roman" w:eastAsia="宋体"/>
              </w:rPr>
            </w:pPr>
            <w:r>
              <w:rPr>
                <w:rFonts w:ascii="Times New Roman" w:hAnsi="Times New Roman" w:eastAsia="宋体"/>
              </w:rPr>
              <w:t>边界图谱、机制论文、参数证据库</w:t>
            </w:r>
          </w:p>
        </w:tc>
      </w:tr>
      <w:tr w14:paraId="5C646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225BB289">
            <w:pPr>
              <w:rPr>
                <w:rFonts w:ascii="Times New Roman" w:hAnsi="Times New Roman" w:eastAsia="宋体"/>
              </w:rPr>
            </w:pPr>
            <w:r>
              <w:rPr>
                <w:rFonts w:ascii="Times New Roman" w:hAnsi="Times New Roman" w:eastAsia="宋体"/>
              </w:rPr>
              <w:t>第五阶段</w:t>
            </w:r>
          </w:p>
        </w:tc>
        <w:tc>
          <w:tcPr>
            <w:tcW w:w="2351" w:type="dxa"/>
          </w:tcPr>
          <w:p w14:paraId="58F5542F">
            <w:pPr>
              <w:rPr>
                <w:rFonts w:ascii="Times New Roman" w:hAnsi="Times New Roman" w:eastAsia="宋体"/>
              </w:rPr>
            </w:pPr>
            <w:r>
              <w:rPr>
                <w:rFonts w:ascii="Times New Roman" w:hAnsi="Times New Roman" w:eastAsia="宋体"/>
              </w:rPr>
              <w:t>2029.10—2030.06</w:t>
            </w:r>
          </w:p>
        </w:tc>
        <w:tc>
          <w:tcPr>
            <w:tcW w:w="2351" w:type="dxa"/>
          </w:tcPr>
          <w:p w14:paraId="23C6EEF4">
            <w:pPr>
              <w:rPr>
                <w:rFonts w:ascii="Times New Roman" w:hAnsi="Times New Roman" w:eastAsia="宋体"/>
              </w:rPr>
            </w:pPr>
            <w:r>
              <w:rPr>
                <w:rFonts w:ascii="Times New Roman" w:hAnsi="Times New Roman" w:eastAsia="宋体"/>
              </w:rPr>
              <w:t>固定容量水—能—碳比较、论文整合、预答辩与送审</w:t>
            </w:r>
          </w:p>
        </w:tc>
        <w:tc>
          <w:tcPr>
            <w:tcW w:w="2351" w:type="dxa"/>
          </w:tcPr>
          <w:p w14:paraId="1E03C4FA">
            <w:pPr>
              <w:rPr>
                <w:rFonts w:ascii="Times New Roman" w:hAnsi="Times New Roman" w:eastAsia="宋体"/>
              </w:rPr>
            </w:pPr>
            <w:r>
              <w:rPr>
                <w:rFonts w:ascii="Times New Roman" w:hAnsi="Times New Roman" w:eastAsia="宋体"/>
              </w:rPr>
              <w:t>博士论文、代码和数据治理文档</w:t>
            </w:r>
          </w:p>
        </w:tc>
      </w:tr>
    </w:tbl>
    <w:p w14:paraId="2437BCE8">
      <w:pPr>
        <w:pStyle w:val="4"/>
        <w:rPr>
          <w:rFonts w:ascii="Times New Roman" w:hAnsi="Times New Roman" w:eastAsia="宋体"/>
        </w:rPr>
      </w:pPr>
      <w:r>
        <w:rPr>
          <w:rFonts w:ascii="Times New Roman" w:hAnsi="Times New Roman" w:eastAsia="宋体"/>
        </w:rPr>
        <w:t>6.5　预期科学认识</w:t>
      </w:r>
    </w:p>
    <w:p w14:paraId="722A3F25">
      <w:pPr>
        <w:pStyle w:val="16"/>
        <w:rPr>
          <w:rFonts w:ascii="Times New Roman" w:hAnsi="Times New Roman" w:eastAsia="宋体"/>
        </w:rPr>
      </w:pPr>
      <w:r>
        <w:rPr>
          <w:rFonts w:ascii="Times New Roman" w:hAnsi="Times New Roman" w:eastAsia="宋体"/>
        </w:rPr>
        <w:t>明确AI负荷相对于城市基准水流达到何种相对规模后，系统响应由总量增加转为代谢结构重构。</w:t>
      </w:r>
    </w:p>
    <w:p w14:paraId="6454B275">
      <w:pPr>
        <w:pStyle w:val="16"/>
        <w:rPr>
          <w:rFonts w:ascii="Times New Roman" w:hAnsi="Times New Roman" w:eastAsia="宋体"/>
        </w:rPr>
      </w:pPr>
      <w:r>
        <w:rPr>
          <w:rFonts w:ascii="Times New Roman" w:hAnsi="Times New Roman" w:eastAsia="宋体"/>
        </w:rPr>
        <w:t>识别年均、日尺度和极端时段容量边界差异的控制因素，说明峰值重合和设施裕度在不同城市中的作用。</w:t>
      </w:r>
    </w:p>
    <w:p w14:paraId="1793292C">
      <w:pPr>
        <w:pStyle w:val="16"/>
        <w:rPr>
          <w:rFonts w:ascii="Times New Roman" w:hAnsi="Times New Roman" w:eastAsia="宋体"/>
        </w:rPr>
      </w:pPr>
      <w:r>
        <w:rPr>
          <w:rFonts w:ascii="Times New Roman" w:hAnsi="Times New Roman" w:eastAsia="宋体"/>
        </w:rPr>
        <w:t>建立水源—给水—污水—再生水—接入约束的瓶颈转换条件，区分稳健主导区与竞争约束区。</w:t>
      </w:r>
    </w:p>
    <w:p w14:paraId="4C909BBA">
      <w:pPr>
        <w:pStyle w:val="16"/>
        <w:rPr>
          <w:rFonts w:ascii="Times New Roman" w:hAnsi="Times New Roman" w:eastAsia="宋体"/>
        </w:rPr>
      </w:pPr>
      <w:r>
        <w:rPr>
          <w:rFonts w:ascii="Times New Roman" w:hAnsi="Times New Roman" w:eastAsia="宋体"/>
        </w:rPr>
        <w:t>解释再生水扩容何时有效、何时受源量或水质等条件限制，并识别节水措施可能造成的能耗、碳排放或成本转移。</w:t>
      </w:r>
    </w:p>
    <w:p w14:paraId="625F5644">
      <w:pPr>
        <w:pStyle w:val="4"/>
        <w:rPr>
          <w:rFonts w:ascii="Times New Roman" w:hAnsi="Times New Roman" w:eastAsia="宋体"/>
        </w:rPr>
      </w:pPr>
      <w:r>
        <w:rPr>
          <w:rFonts w:ascii="Times New Roman" w:hAnsi="Times New Roman" w:eastAsia="宋体"/>
        </w:rPr>
        <w:t>6.6　预期成果</w:t>
      </w:r>
    </w:p>
    <w:p w14:paraId="61FE39C1">
      <w:pPr>
        <w:pStyle w:val="16"/>
        <w:rPr>
          <w:rFonts w:ascii="Times New Roman" w:hAnsi="Times New Roman" w:eastAsia="宋体"/>
        </w:rPr>
      </w:pPr>
      <w:r>
        <w:rPr>
          <w:rFonts w:ascii="Times New Roman" w:hAnsi="Times New Roman" w:eastAsia="宋体"/>
        </w:rPr>
        <w:t>形成经过代码验证、过程Benchmark、独立时间验证和外部锚定的AI-UWM模型及版本化代码。</w:t>
      </w:r>
    </w:p>
    <w:p w14:paraId="446BDBA8">
      <w:pPr>
        <w:pStyle w:val="16"/>
        <w:rPr>
          <w:rFonts w:ascii="Times New Roman" w:hAnsi="Times New Roman" w:eastAsia="宋体"/>
        </w:rPr>
      </w:pPr>
      <w:r>
        <w:rPr>
          <w:rFonts w:ascii="Times New Roman" w:hAnsi="Times New Roman" w:eastAsia="宋体"/>
        </w:rPr>
        <w:t>形成AI容量—代谢结构—分系统峰值压力响应面和适用参数域。</w:t>
      </w:r>
    </w:p>
    <w:p w14:paraId="0F656A3E">
      <w:pPr>
        <w:pStyle w:val="16"/>
        <w:rPr>
          <w:rFonts w:ascii="Times New Roman" w:hAnsi="Times New Roman" w:eastAsia="宋体"/>
        </w:rPr>
      </w:pPr>
      <w:r>
        <w:rPr>
          <w:rFonts w:ascii="Times New Roman" w:hAnsi="Times New Roman" w:eastAsia="宋体"/>
        </w:rPr>
        <w:t>形成工程安全与风险条件下的CAWCC边界、边界提前量和瓶颈转换图谱。</w:t>
      </w:r>
    </w:p>
    <w:p w14:paraId="23DC38E6">
      <w:pPr>
        <w:pStyle w:val="16"/>
        <w:rPr>
          <w:rFonts w:ascii="Times New Roman" w:hAnsi="Times New Roman" w:eastAsia="宋体"/>
        </w:rPr>
      </w:pPr>
      <w:r>
        <w:rPr>
          <w:rFonts w:ascii="Times New Roman" w:hAnsi="Times New Roman" w:eastAsia="宋体"/>
        </w:rPr>
        <w:t>发表围绕模型、时间尺度边界和瓶颈/干预机制的系列论文，提交数据字典、参数证据表和可重复运行脚本。</w:t>
      </w:r>
    </w:p>
    <w:p w14:paraId="12CDFA24">
      <w:pPr>
        <w:pStyle w:val="4"/>
        <w:rPr>
          <w:rFonts w:ascii="Times New Roman" w:hAnsi="Times New Roman" w:eastAsia="宋体"/>
        </w:rPr>
      </w:pPr>
      <w:r>
        <w:rPr>
          <w:rFonts w:ascii="Times New Roman" w:hAnsi="Times New Roman" w:eastAsia="宋体"/>
        </w:rPr>
        <w:t>6.7　成果解释与推广边界</w:t>
      </w:r>
    </w:p>
    <w:p w14:paraId="2F7DB75B">
      <w:pPr>
        <w:ind w:firstLine="420"/>
        <w:rPr>
          <w:rFonts w:ascii="Times New Roman" w:hAnsi="Times New Roman" w:eastAsia="宋体"/>
        </w:rPr>
      </w:pPr>
      <w:r>
        <w:rPr>
          <w:rFonts w:ascii="Times New Roman" w:hAnsi="Times New Roman" w:eastAsia="宋体"/>
        </w:rPr>
        <w:t>研究结论将明确区分“在给定城市状态和技术条件下成立的条件规律”与“可能跨城市迁移的机制方向”。不把参数先验的宽范围压缩成单一精确系数，不把本地物理水流与异地电力水足迹相加为一个不透明指标，不把普通工业冷却负荷的共性效应包装为AI独有特征。规划建议以区间、适用域和瓶颈类型呈现，服务于方案比较而非替代具体工程设计。</w:t>
      </w:r>
    </w:p>
    <w:p w14:paraId="2139FDCA">
      <w:pPr>
        <w:pStyle w:val="3"/>
        <w:rPr>
          <w:rFonts w:ascii="Times New Roman" w:hAnsi="Times New Roman" w:eastAsia="宋体"/>
        </w:rPr>
      </w:pPr>
      <w:r>
        <w:rPr>
          <w:rFonts w:ascii="Times New Roman" w:hAnsi="Times New Roman" w:eastAsia="宋体"/>
        </w:rPr>
        <w:t>参考文献</w:t>
      </w:r>
    </w:p>
    <w:p w14:paraId="044EBB5F">
      <w:pPr>
        <w:ind w:firstLine="420"/>
        <w:rPr>
          <w:rFonts w:ascii="Times New Roman" w:hAnsi="Times New Roman" w:eastAsia="宋体"/>
        </w:rPr>
      </w:pPr>
      <w:r>
        <w:rPr>
          <w:rFonts w:ascii="Times New Roman" w:hAnsi="Times New Roman" w:eastAsia="宋体"/>
        </w:rPr>
        <w:t>[1] International Energy Agency. Key Questions on Energy and AI[R]. Paris: IEA, 2026.</w:t>
      </w:r>
    </w:p>
    <w:p w14:paraId="79E8A927">
      <w:pPr>
        <w:ind w:firstLine="420"/>
        <w:rPr>
          <w:rFonts w:ascii="Times New Roman" w:hAnsi="Times New Roman" w:eastAsia="宋体"/>
        </w:rPr>
      </w:pPr>
      <w:r>
        <w:rPr>
          <w:rFonts w:ascii="Times New Roman" w:hAnsi="Times New Roman" w:eastAsia="宋体"/>
        </w:rPr>
        <w:t>[2] International Energy Agency. Energy and AI[R]. Paris: IEA, 2025.</w:t>
      </w:r>
    </w:p>
    <w:p w14:paraId="5AA1C4BB">
      <w:pPr>
        <w:ind w:firstLine="420"/>
        <w:rPr>
          <w:rFonts w:ascii="Times New Roman" w:hAnsi="Times New Roman" w:eastAsia="宋体"/>
        </w:rPr>
      </w:pPr>
      <w:r>
        <w:rPr>
          <w:rFonts w:ascii="Times New Roman" w:hAnsi="Times New Roman" w:eastAsia="宋体"/>
        </w:rPr>
        <w:t>[3] Shehabi A, Smith S J, Hubbard A, Newkirk A, Lei N, Siddik M A B, et al. 2024 United States Data Center Energy Usage Report[R]. Berkeley: Lawrence Berkeley National Laboratory, 2024. DOI: 10.71468/P1WC7Q.</w:t>
      </w:r>
    </w:p>
    <w:p w14:paraId="5E11623B">
      <w:pPr>
        <w:ind w:firstLine="420"/>
        <w:rPr>
          <w:rFonts w:ascii="Times New Roman" w:hAnsi="Times New Roman" w:eastAsia="宋体"/>
        </w:rPr>
      </w:pPr>
      <w:r>
        <w:rPr>
          <w:rFonts w:ascii="Times New Roman" w:hAnsi="Times New Roman" w:eastAsia="宋体"/>
        </w:rPr>
        <w:t>[4] Masanet E, Shehabi A, Lei N, Smith S, Koomey J. Recalibrating global data center energy-use estimates[J]. Science, 2020, 367(6481): 984-986. DOI: 10.1126/science.aba3758.</w:t>
      </w:r>
    </w:p>
    <w:p w14:paraId="69CF75A8">
      <w:pPr>
        <w:ind w:firstLine="420"/>
        <w:rPr>
          <w:rFonts w:ascii="Times New Roman" w:hAnsi="Times New Roman" w:eastAsia="宋体"/>
        </w:rPr>
      </w:pPr>
      <w:r>
        <w:rPr>
          <w:rFonts w:ascii="Times New Roman" w:hAnsi="Times New Roman" w:eastAsia="宋体"/>
        </w:rPr>
        <w:t>[5] de Vries A. The growing energy footprint of artificial intelligence[J]. Joule, 2023, 7(10): 2191-2194. DOI: 10.1016/j.joule.2023.09.004.</w:t>
      </w:r>
    </w:p>
    <w:p w14:paraId="4978C964">
      <w:pPr>
        <w:ind w:firstLine="420"/>
        <w:rPr>
          <w:rFonts w:ascii="Times New Roman" w:hAnsi="Times New Roman" w:eastAsia="宋体"/>
        </w:rPr>
      </w:pPr>
      <w:r>
        <w:rPr>
          <w:rFonts w:ascii="Times New Roman" w:hAnsi="Times New Roman" w:eastAsia="宋体"/>
        </w:rPr>
        <w:t>[6] Mytton D. Data centre water consumption[J]. npj Clean Water, 2021, 4: 11. DOI: 10.1038/s41545-021-00101-w.</w:t>
      </w:r>
    </w:p>
    <w:p w14:paraId="57DFE1B9">
      <w:pPr>
        <w:ind w:firstLine="420"/>
        <w:rPr>
          <w:rFonts w:ascii="Times New Roman" w:hAnsi="Times New Roman" w:eastAsia="宋体"/>
        </w:rPr>
      </w:pPr>
      <w:r>
        <w:rPr>
          <w:rFonts w:ascii="Times New Roman" w:hAnsi="Times New Roman" w:eastAsia="宋体"/>
        </w:rPr>
        <w:t>[7] Lei N, Lu J, Shehabi A, Masanet E R. The water use of data center workloads: A review and assessment of key determinants[J]. Resources, Conservation and Recycling, 2025, 219: 108310. DOI: 10.1016/j.resconrec.2025.108310.</w:t>
      </w:r>
    </w:p>
    <w:p w14:paraId="6D262C89">
      <w:pPr>
        <w:ind w:firstLine="420"/>
        <w:rPr>
          <w:rFonts w:ascii="Times New Roman" w:hAnsi="Times New Roman" w:eastAsia="宋体"/>
        </w:rPr>
      </w:pPr>
      <w:r>
        <w:rPr>
          <w:rFonts w:ascii="Times New Roman" w:hAnsi="Times New Roman" w:eastAsia="宋体"/>
        </w:rPr>
        <w:t>[8] Xiao T, Fuso Nerini F, Matthews H D, Tavoni M, You F. Environmental impact and net-zero pathways for sustainable artificial intelligence servers in the USA[J]. Nature Sustainability, 2025, 8: 1541-1553. DOI: 10.1038/s41893-025-01681-y.</w:t>
      </w:r>
    </w:p>
    <w:p w14:paraId="1AE9CF78">
      <w:pPr>
        <w:ind w:firstLine="420"/>
        <w:rPr>
          <w:rFonts w:ascii="Times New Roman" w:hAnsi="Times New Roman" w:eastAsia="宋体"/>
        </w:rPr>
      </w:pPr>
      <w:r>
        <w:rPr>
          <w:rFonts w:ascii="Times New Roman" w:hAnsi="Times New Roman" w:eastAsia="宋体"/>
        </w:rPr>
        <w:t>[9] Jiang F, Duan C, Chen B. Facility-level energy-driven water footprint and scarcity implications of Chinese data centers: A bottom-up analysis and scenario-based projection[J]. Applied Energy, 2025, 399: 126522. DOI: 10.1016/j.apenergy.2025.126522.</w:t>
      </w:r>
    </w:p>
    <w:p w14:paraId="55CE4DF6">
      <w:pPr>
        <w:ind w:firstLine="420"/>
        <w:rPr>
          <w:rFonts w:ascii="Times New Roman" w:hAnsi="Times New Roman" w:eastAsia="宋体"/>
        </w:rPr>
      </w:pPr>
      <w:r>
        <w:rPr>
          <w:rFonts w:ascii="Times New Roman" w:hAnsi="Times New Roman" w:eastAsia="宋体"/>
        </w:rPr>
        <w:t>[10] 国家发展改革委, 工业和信息化部, 国家能源局, 国家数据局. 数据中心绿色低碳发展专项行动计划[Z]. 发改环资〔2024〕970号, 2024.</w:t>
      </w:r>
    </w:p>
    <w:p w14:paraId="3A6508ED">
      <w:pPr>
        <w:ind w:firstLine="420"/>
        <w:rPr>
          <w:rFonts w:ascii="Times New Roman" w:hAnsi="Times New Roman" w:eastAsia="宋体"/>
        </w:rPr>
      </w:pPr>
      <w:r>
        <w:rPr>
          <w:rFonts w:ascii="Times New Roman" w:hAnsi="Times New Roman" w:eastAsia="宋体"/>
        </w:rPr>
        <w:t>[11] Wolman A. The metabolism of cities[J]. Scientific American, 1965, 213(3): 178-190. DOI: 10.1038/scientificamerican0965-178.</w:t>
      </w:r>
    </w:p>
    <w:p w14:paraId="5AE7316A">
      <w:pPr>
        <w:ind w:firstLine="420"/>
        <w:rPr>
          <w:rFonts w:ascii="Times New Roman" w:hAnsi="Times New Roman" w:eastAsia="宋体"/>
        </w:rPr>
      </w:pPr>
      <w:r>
        <w:rPr>
          <w:rFonts w:ascii="Times New Roman" w:hAnsi="Times New Roman" w:eastAsia="宋体"/>
        </w:rPr>
        <w:t>[12] Kennedy C, Cuddihy J, Engel-Yan J. The changing metabolism of cities[J]. Journal of Industrial Ecology, 2007, 11(2): 43-59. DOI: 10.1162/jie.2007.1107.</w:t>
      </w:r>
    </w:p>
    <w:p w14:paraId="0B155874">
      <w:pPr>
        <w:ind w:firstLine="420"/>
        <w:rPr>
          <w:rFonts w:ascii="Times New Roman" w:hAnsi="Times New Roman" w:eastAsia="宋体"/>
        </w:rPr>
      </w:pPr>
      <w:r>
        <w:rPr>
          <w:rFonts w:ascii="Times New Roman" w:hAnsi="Times New Roman" w:eastAsia="宋体"/>
        </w:rPr>
        <w:t>[13] Kennedy C, Pincetl S, Bunje P. The study of urban metabolism and its applications to urban planning and design[J]. Environmental Pollution, 2011, 159(8-9): 1965-1973. DOI: 10.1016/j.envpol.2010.10.022.</w:t>
      </w:r>
    </w:p>
    <w:p w14:paraId="45E0C302">
      <w:pPr>
        <w:ind w:firstLine="420"/>
        <w:rPr>
          <w:rFonts w:ascii="Times New Roman" w:hAnsi="Times New Roman" w:eastAsia="宋体"/>
        </w:rPr>
      </w:pPr>
      <w:r>
        <w:rPr>
          <w:rFonts w:ascii="Times New Roman" w:hAnsi="Times New Roman" w:eastAsia="宋体"/>
        </w:rPr>
        <w:t>[14] Castán Broto V, Allen A, Rapoport E. Interdisciplinary perspectives on urban metabolism[J]. Journal of Industrial Ecology, 2012, 16(6): 851-861. DOI: 10.1111/j.1530-9290.2012.00556.x.</w:t>
      </w:r>
    </w:p>
    <w:p w14:paraId="3D2E9417">
      <w:pPr>
        <w:ind w:firstLine="420"/>
        <w:rPr>
          <w:rFonts w:ascii="Times New Roman" w:hAnsi="Times New Roman" w:eastAsia="宋体"/>
        </w:rPr>
      </w:pPr>
      <w:r>
        <w:rPr>
          <w:rFonts w:ascii="Times New Roman" w:hAnsi="Times New Roman" w:eastAsia="宋体"/>
        </w:rPr>
        <w:t>[15] Behzadian K, Kapelan Z, Venkatesh G, Brattebø H, Sægrov S. WaterMet²: a tool for integrated analysis of sustainability-based performance of urban water systems[J]. Drinking Water Engineering and Science, 2014, 7: 63-72. DOI: 10.5194/dwes-7-63-2014.</w:t>
      </w:r>
    </w:p>
    <w:p w14:paraId="24FDB6AF">
      <w:pPr>
        <w:ind w:firstLine="420"/>
        <w:rPr>
          <w:rFonts w:ascii="Times New Roman" w:hAnsi="Times New Roman" w:eastAsia="宋体"/>
        </w:rPr>
      </w:pPr>
      <w:r>
        <w:rPr>
          <w:rFonts w:ascii="Times New Roman" w:hAnsi="Times New Roman" w:eastAsia="宋体"/>
        </w:rPr>
        <w:t>[16] Behzadian K, Kapelan Z. Modelling metabolism based performance of an urban water system using WaterMet²[J]. Resources, Conservation and Recycling, 2015, 99: 84-99. DOI: 10.1016/j.resconrec.2015.03.015.</w:t>
      </w:r>
    </w:p>
    <w:p w14:paraId="666FCADF">
      <w:pPr>
        <w:ind w:firstLine="420"/>
        <w:rPr>
          <w:rFonts w:ascii="Times New Roman" w:hAnsi="Times New Roman" w:eastAsia="宋体"/>
        </w:rPr>
      </w:pPr>
      <w:r>
        <w:rPr>
          <w:rFonts w:ascii="Times New Roman" w:hAnsi="Times New Roman" w:eastAsia="宋体"/>
        </w:rPr>
        <w:t>[17] Urich C, Rauch W. Modelling the urban water cycle as an integrated part of the city: a review[J]. Water Science and Technology, 2014, 70(11): 1857-1872. DOI: 10.2166/wst.2014.363.</w:t>
      </w:r>
    </w:p>
    <w:p w14:paraId="1157F915">
      <w:pPr>
        <w:ind w:firstLine="420"/>
        <w:rPr>
          <w:rFonts w:ascii="Times New Roman" w:hAnsi="Times New Roman" w:eastAsia="宋体"/>
        </w:rPr>
      </w:pPr>
      <w:r>
        <w:rPr>
          <w:rFonts w:ascii="Times New Roman" w:hAnsi="Times New Roman" w:eastAsia="宋体"/>
        </w:rPr>
        <w:t>[18] Bach P M, Rauch W, Mikkelsen P S, McCarthy D T, Deletic A. A critical review of integrated urban water modelling—Urban drainage and beyond[J]. Environmental Modelling &amp; Software, 2014, 54: 88-107. DOI: 10.1016/j.envsoft.2013.12.018.</w:t>
      </w:r>
    </w:p>
    <w:p w14:paraId="36337045">
      <w:pPr>
        <w:ind w:firstLine="420"/>
        <w:rPr>
          <w:rFonts w:ascii="Times New Roman" w:hAnsi="Times New Roman" w:eastAsia="宋体"/>
        </w:rPr>
      </w:pPr>
      <w:r>
        <w:rPr>
          <w:rFonts w:ascii="Times New Roman" w:hAnsi="Times New Roman" w:eastAsia="宋体"/>
        </w:rPr>
        <w:t>[19] Dobson B, Liu L, Mijic A. Modelling water quantity and quality for integrated water cycle management with the Water Systems Integrated Modelling framework (WSIMOD) software[J]. Geoscientific Model Development, 2024, 17: 4495-4513. DOI: 10.5194/gmd-17-4495-2024.</w:t>
      </w:r>
    </w:p>
    <w:p w14:paraId="3E76D48F">
      <w:pPr>
        <w:ind w:firstLine="420"/>
        <w:rPr>
          <w:rFonts w:ascii="Times New Roman" w:hAnsi="Times New Roman" w:eastAsia="宋体"/>
        </w:rPr>
      </w:pPr>
      <w:r>
        <w:rPr>
          <w:rFonts w:ascii="Times New Roman" w:hAnsi="Times New Roman" w:eastAsia="宋体"/>
        </w:rPr>
        <w:t>[20] Cui D, Zeng W, Ma B, Zhuo Y, Xie Y. Ecological network analysis of an urban water metabolic system: Integrated metabolic processes of physical and virtual water[J]. Science of the Total Environment, 2021, 787: 147432. DOI: 10.1016/j.scitotenv.2021.147432.</w:t>
      </w:r>
    </w:p>
    <w:p w14:paraId="1EB8521E">
      <w:pPr>
        <w:ind w:firstLine="420"/>
        <w:rPr>
          <w:rFonts w:ascii="Times New Roman" w:hAnsi="Times New Roman" w:eastAsia="宋体"/>
        </w:rPr>
      </w:pPr>
      <w:r>
        <w:rPr>
          <w:rFonts w:ascii="Times New Roman" w:hAnsi="Times New Roman" w:eastAsia="宋体"/>
        </w:rPr>
        <w:t>[21] Nezami N, Zarghami M, Tizghadam M, Abbasi M. A novel hybrid systemic modeling into sustainable dynamic urban water metabolism management: Case study[J]. Sustainable Cities and Society, 2022, 85: 104065. DOI: 10.1016/j.scs.2022.104065.</w:t>
      </w:r>
    </w:p>
    <w:p w14:paraId="7188BD3C">
      <w:pPr>
        <w:ind w:firstLine="420"/>
        <w:rPr>
          <w:rFonts w:ascii="Times New Roman" w:hAnsi="Times New Roman" w:eastAsia="宋体"/>
        </w:rPr>
      </w:pPr>
      <w:r>
        <w:rPr>
          <w:rFonts w:ascii="Times New Roman" w:hAnsi="Times New Roman" w:eastAsia="宋体"/>
        </w:rPr>
        <w:t>[22] Emamjomehzadeh O, Kerachian R, Emami-Skardi M J, Momeni M. Combining urban metabolism and reinforcement learning concepts for sustainable water resources management: A nexus approach[J]. Journal of Environmental Management, 2023, 329: 117046. DOI: 10.1016/j.jenvman.2022.117046.</w:t>
      </w:r>
    </w:p>
    <w:p w14:paraId="523103D8">
      <w:pPr>
        <w:ind w:firstLine="420"/>
        <w:rPr>
          <w:rFonts w:ascii="Times New Roman" w:hAnsi="Times New Roman" w:eastAsia="宋体"/>
        </w:rPr>
      </w:pPr>
      <w:r>
        <w:rPr>
          <w:rFonts w:ascii="Times New Roman" w:hAnsi="Times New Roman" w:eastAsia="宋体"/>
        </w:rPr>
        <w:t>[23] Fan J L, Kong L S, Wang H, Zhang X. A water-energy nexus review from the perspective of urban metabolism[J]. Ecological Modelling, 2019, 392: 128-136. DOI: 10.1016/j.ecolmodel.2018.11.019.</w:t>
      </w:r>
    </w:p>
    <w:p w14:paraId="2D3E263C">
      <w:pPr>
        <w:ind w:firstLine="420"/>
        <w:rPr>
          <w:rFonts w:ascii="Times New Roman" w:hAnsi="Times New Roman" w:eastAsia="宋体"/>
        </w:rPr>
      </w:pPr>
      <w:r>
        <w:rPr>
          <w:rFonts w:ascii="Times New Roman" w:hAnsi="Times New Roman" w:eastAsia="宋体"/>
        </w:rPr>
        <w:t>[24] Kenway S J, Lant P A, Priestley A, Daniels P. The connection between water and energy in cities: a review[J]. Water Science and Technology, 2011, 63(9): 1983-1990. DOI: 10.2166/wst.2011.070.</w:t>
      </w:r>
    </w:p>
    <w:p w14:paraId="7E9637E0">
      <w:pPr>
        <w:ind w:firstLine="420"/>
        <w:rPr>
          <w:rFonts w:ascii="Times New Roman" w:hAnsi="Times New Roman" w:eastAsia="宋体"/>
        </w:rPr>
      </w:pPr>
      <w:r>
        <w:rPr>
          <w:rFonts w:ascii="Times New Roman" w:hAnsi="Times New Roman" w:eastAsia="宋体"/>
        </w:rPr>
        <w:t>[25] Kenway S J, Binks A, Lane J, Lant P A, Lam K L, Simms A. A systemic framework and analysis of urban water energy[J]. Environmental Modelling &amp; Software, 2015, 73: 272-285. DOI: 10.1016/j.envsoft.2015.08.009.</w:t>
      </w:r>
    </w:p>
    <w:p w14:paraId="3906AF43">
      <w:pPr>
        <w:ind w:firstLine="420"/>
        <w:rPr>
          <w:rFonts w:ascii="Times New Roman" w:hAnsi="Times New Roman" w:eastAsia="宋体"/>
        </w:rPr>
      </w:pPr>
      <w:r>
        <w:rPr>
          <w:rFonts w:ascii="Times New Roman" w:hAnsi="Times New Roman" w:eastAsia="宋体"/>
        </w:rPr>
        <w:t>[26] Nair S, George B, Malano H M, Arora M, Nawarathna B. Water–energy–greenhouse gas nexus of urban water systems: Review of concepts, state-of-art and methods[J]. Resources, Conservation and Recycling, 2014, 89: 1-10. DOI: 10.1016/j.resconrec.2014.05.007.</w:t>
      </w:r>
    </w:p>
    <w:p w14:paraId="44D435DD">
      <w:pPr>
        <w:ind w:firstLine="420"/>
        <w:rPr>
          <w:rFonts w:ascii="Times New Roman" w:hAnsi="Times New Roman" w:eastAsia="宋体"/>
        </w:rPr>
      </w:pPr>
      <w:r>
        <w:rPr>
          <w:rFonts w:ascii="Times New Roman" w:hAnsi="Times New Roman" w:eastAsia="宋体"/>
        </w:rPr>
        <w:t>[27] Lee M, Keller A A, Chiang P C, Den W, Wang H, Hou C H, et al. Water-energy nexus for urban water systems: A comparative review on energy intensity and environmental impacts in relation to global water risks[J]. Applied Energy, 2017, 205: 589-601. DOI: 10.1016/j.apenergy.2017.08.002.</w:t>
      </w:r>
    </w:p>
    <w:p w14:paraId="6A977203">
      <w:pPr>
        <w:ind w:firstLine="420"/>
        <w:rPr>
          <w:rFonts w:ascii="Times New Roman" w:hAnsi="Times New Roman" w:eastAsia="宋体"/>
        </w:rPr>
      </w:pPr>
      <w:r>
        <w:rPr>
          <w:rFonts w:ascii="Times New Roman" w:hAnsi="Times New Roman" w:eastAsia="宋体"/>
        </w:rPr>
        <w:t>[28] Stokes J R, Horvath A. Energy and air emission effects of water supply[J]. Environmental Science &amp; Technology, 2009, 43(8): 2680-2687. DOI: 10.1021/es801802h.</w:t>
      </w:r>
    </w:p>
    <w:p w14:paraId="525E2C59">
      <w:pPr>
        <w:ind w:firstLine="420"/>
        <w:rPr>
          <w:rFonts w:ascii="Times New Roman" w:hAnsi="Times New Roman" w:eastAsia="宋体"/>
        </w:rPr>
      </w:pPr>
      <w:r>
        <w:rPr>
          <w:rFonts w:ascii="Times New Roman" w:hAnsi="Times New Roman" w:eastAsia="宋体"/>
        </w:rPr>
        <w:t>[29] House-Peters L A, Chang H. Urban water demand modeling: Review of concepts, methods, and organizing principles[J]. Water Resources Research, 2011, 47(5): W05401. DOI: 10.1029/2010WR009624.</w:t>
      </w:r>
    </w:p>
    <w:p w14:paraId="2A7A1D70">
      <w:pPr>
        <w:ind w:firstLine="420"/>
        <w:rPr>
          <w:rFonts w:ascii="Times New Roman" w:hAnsi="Times New Roman" w:eastAsia="宋体"/>
        </w:rPr>
      </w:pPr>
      <w:r>
        <w:rPr>
          <w:rFonts w:ascii="Times New Roman" w:hAnsi="Times New Roman" w:eastAsia="宋体"/>
        </w:rPr>
        <w:t>[30] Strubell E, Ganesh A, McCallum A. Energy and policy considerations for deep learning in NLP[C]//Proceedings of the 57th Annual Meeting of the Association for Computational Linguistics. Florence: ACL, 2019: 3645-3650. DOI: 10.18653/v1/P19-1355.</w:t>
      </w:r>
    </w:p>
    <w:p w14:paraId="347348C4">
      <w:pPr>
        <w:ind w:firstLine="420"/>
        <w:rPr>
          <w:rFonts w:ascii="Times New Roman" w:hAnsi="Times New Roman" w:eastAsia="宋体"/>
        </w:rPr>
      </w:pPr>
      <w:r>
        <w:rPr>
          <w:rFonts w:ascii="Times New Roman" w:hAnsi="Times New Roman" w:eastAsia="宋体"/>
        </w:rPr>
        <w:t>[31] Henderson P, Hu J, Romoff J, Brunskill E, Jurafsky D, Pineau J. Towards the systematic reporting of the energy and carbon footprints of machine learning[J]. Journal of Machine Learning Research, 2020, 21(248): 1-43.</w:t>
      </w:r>
    </w:p>
    <w:p w14:paraId="3D832812">
      <w:pPr>
        <w:ind w:firstLine="420"/>
        <w:rPr>
          <w:rFonts w:ascii="Times New Roman" w:hAnsi="Times New Roman" w:eastAsia="宋体"/>
        </w:rPr>
      </w:pPr>
      <w:r>
        <w:rPr>
          <w:rFonts w:ascii="Times New Roman" w:hAnsi="Times New Roman" w:eastAsia="宋体"/>
        </w:rPr>
        <w:t>[32] Lannelongue L, Grealey J, Inouye M. Green Algorithms: Quantifying the carbon footprint of computation[J]. Advanced Science, 2021, 8(12): 2100707. DOI: 10.1002/advs.202100707.</w:t>
      </w:r>
    </w:p>
    <w:p w14:paraId="0A3F1F6A">
      <w:pPr>
        <w:ind w:firstLine="420"/>
        <w:rPr>
          <w:rFonts w:ascii="Times New Roman" w:hAnsi="Times New Roman" w:eastAsia="宋体"/>
        </w:rPr>
      </w:pPr>
      <w:r>
        <w:rPr>
          <w:rFonts w:ascii="Times New Roman" w:hAnsi="Times New Roman" w:eastAsia="宋体"/>
        </w:rPr>
        <w:t>[33] Schwartz R, Dodge J, Smith N A, Etzioni O. Green AI[J]. Communications of the ACM, 2020, 63(12): 54-63. DOI: 10.1145/3381831.</w:t>
      </w:r>
    </w:p>
    <w:p w14:paraId="4D6008B9">
      <w:pPr>
        <w:ind w:firstLine="420"/>
        <w:rPr>
          <w:rFonts w:ascii="Times New Roman" w:hAnsi="Times New Roman" w:eastAsia="宋体"/>
        </w:rPr>
      </w:pPr>
      <w:r>
        <w:rPr>
          <w:rFonts w:ascii="Times New Roman" w:hAnsi="Times New Roman" w:eastAsia="宋体"/>
        </w:rPr>
        <w:t>[34] Patterson D, Gonzalez J, Hölzle U, Le Q, Liang C, Munguia L M, et al. The carbon footprint of machine learning training will plateau, then shrink[J]. Computer, 2022, 55(7): 18-28. DOI: 10.1109/MC.2022.3148714.</w:t>
      </w:r>
    </w:p>
    <w:p w14:paraId="64C32680">
      <w:pPr>
        <w:ind w:firstLine="420"/>
        <w:rPr>
          <w:rFonts w:ascii="Times New Roman" w:hAnsi="Times New Roman" w:eastAsia="宋体"/>
        </w:rPr>
      </w:pPr>
      <w:r>
        <w:rPr>
          <w:rFonts w:ascii="Times New Roman" w:hAnsi="Times New Roman" w:eastAsia="宋体"/>
        </w:rPr>
        <w:t>[35] Luccioni A S, Viguier S, Ligozat A L. Estimating the carbon footprint of BLOOM, a 176B parameter language model[J]. Journal of Machine Learning Research, 2023, 24(253): 1-15.</w:t>
      </w:r>
    </w:p>
    <w:p w14:paraId="3E6AFDB8">
      <w:pPr>
        <w:ind w:firstLine="420"/>
        <w:rPr>
          <w:rFonts w:ascii="Times New Roman" w:hAnsi="Times New Roman" w:eastAsia="宋体"/>
        </w:rPr>
      </w:pPr>
      <w:r>
        <w:rPr>
          <w:rFonts w:ascii="Times New Roman" w:hAnsi="Times New Roman" w:eastAsia="宋体"/>
        </w:rPr>
        <w:t>[36] Luccioni A S, Jernite Y, Strubell E. Power hungry processing: Watts driving the cost of AI deployment?[C]//Proceedings of the 2024 ACM Conference on Fairness, Accountability, and Transparency. New York: ACM, 2024: 85-99. DOI: 10.1145/3630106.3658542.</w:t>
      </w:r>
    </w:p>
    <w:p w14:paraId="42860ED7">
      <w:pPr>
        <w:ind w:firstLine="420"/>
        <w:rPr>
          <w:rFonts w:ascii="Times New Roman" w:hAnsi="Times New Roman" w:eastAsia="宋体"/>
        </w:rPr>
      </w:pPr>
      <w:r>
        <w:rPr>
          <w:rFonts w:ascii="Times New Roman" w:hAnsi="Times New Roman" w:eastAsia="宋体"/>
        </w:rPr>
        <w:t>[37] Wang P, Zhang L Y, Tzachor A, Chen W Q. E-waste challenges of generative artificial intelligence[J]. Nature Computational Science, 2024, 4: 818-823. DOI: 10.1038/s43588-024-00712-6.</w:t>
      </w:r>
    </w:p>
    <w:p w14:paraId="5EFD1747">
      <w:pPr>
        <w:ind w:firstLine="420"/>
        <w:rPr>
          <w:rFonts w:ascii="Times New Roman" w:hAnsi="Times New Roman" w:eastAsia="宋体"/>
        </w:rPr>
      </w:pPr>
      <w:r>
        <w:rPr>
          <w:rFonts w:ascii="Times New Roman" w:hAnsi="Times New Roman" w:eastAsia="宋体"/>
        </w:rPr>
        <w:t>[38] Li P, Yang J, Islam M A, Ren S. Making AI Less “Thirsty”: Uncovering and addressing the secret water footprint of AI models[J]. Communications of the ACM, 2025, 68(7): 54-61. DOI: 10.1145/3724499.</w:t>
      </w:r>
    </w:p>
    <w:p w14:paraId="0ED94D14">
      <w:pPr>
        <w:ind w:firstLine="420"/>
        <w:rPr>
          <w:rFonts w:ascii="Times New Roman" w:hAnsi="Times New Roman" w:eastAsia="宋体"/>
        </w:rPr>
      </w:pPr>
      <w:r>
        <w:rPr>
          <w:rFonts w:ascii="Times New Roman" w:hAnsi="Times New Roman" w:eastAsia="宋体"/>
        </w:rPr>
        <w:t>[39] Herrera M, Xie X, Menapace A, Zanfei A, Brentan B M. Sustainable AI infrastructure: A scenario-based forecast of water footprint under uncertainty[J]. Journal of Cleaner Production, 2025, 526: 146528. DOI: 10.1016/j.jclepro.2025.146528.</w:t>
      </w:r>
    </w:p>
    <w:p w14:paraId="1E9A7499">
      <w:pPr>
        <w:ind w:firstLine="420"/>
        <w:rPr>
          <w:rFonts w:ascii="Times New Roman" w:hAnsi="Times New Roman" w:eastAsia="宋体"/>
        </w:rPr>
      </w:pPr>
      <w:r>
        <w:rPr>
          <w:rFonts w:ascii="Times New Roman" w:hAnsi="Times New Roman" w:eastAsia="宋体"/>
        </w:rPr>
        <w:t>[40] Alissa H, Nick T, Raniwala A, et al. Using life cycle assessment to drive innovation for sustainable cool clouds[J]. Nature, 2025, 641: 331-338. DOI: 10.1038/s41586-025-08832-3.</w:t>
      </w:r>
    </w:p>
    <w:p w14:paraId="7CFAA67F">
      <w:pPr>
        <w:ind w:firstLine="420"/>
        <w:rPr>
          <w:rFonts w:ascii="Times New Roman" w:hAnsi="Times New Roman" w:eastAsia="宋体"/>
        </w:rPr>
      </w:pPr>
      <w:r>
        <w:rPr>
          <w:rFonts w:ascii="Times New Roman" w:hAnsi="Times New Roman" w:eastAsia="宋体"/>
        </w:rPr>
        <w:t>[41] Wang A, Zhang C, Xu T, Savić D, Jiang J, Xiao P, et al. Global data–water symbiosis reduces AI infrastructure’s carbon and water footprint[J]. Environmental Science and Ecotechnology, 2026, 31: 100702. DOI: 10.1016/j.ese.2026.100702.</w:t>
      </w:r>
    </w:p>
    <w:p w14:paraId="74D95565">
      <w:pPr>
        <w:ind w:firstLine="420"/>
        <w:rPr>
          <w:rFonts w:ascii="Times New Roman" w:hAnsi="Times New Roman" w:eastAsia="宋体"/>
        </w:rPr>
      </w:pPr>
      <w:r>
        <w:rPr>
          <w:rFonts w:ascii="Times New Roman" w:hAnsi="Times New Roman" w:eastAsia="宋体"/>
        </w:rPr>
        <w:t>[42] Ebrahimi K, Jones G F, Fleischer A S. A review of data center cooling technology, operating conditions and the corresponding low-grade waste heat recovery opportunities[J]. Renewable and Sustainable Energy Reviews, 2014, 31: 622-638. DOI: 10.1016/j.rser.2013.12.007.</w:t>
      </w:r>
    </w:p>
    <w:p w14:paraId="02492194">
      <w:pPr>
        <w:ind w:firstLine="420"/>
        <w:rPr>
          <w:rFonts w:ascii="Times New Roman" w:hAnsi="Times New Roman" w:eastAsia="宋体"/>
        </w:rPr>
      </w:pPr>
      <w:r>
        <w:rPr>
          <w:rFonts w:ascii="Times New Roman" w:hAnsi="Times New Roman" w:eastAsia="宋体"/>
        </w:rPr>
        <w:t>[43] Zhang H, Shao S, Xu H, Zou H, Tian C. Free cooling of data centers: A review[J]. Renewable and Sustainable Energy Reviews, 2014, 35: 171-182. DOI: 10.1016/j.rser.2014.04.017.</w:t>
      </w:r>
    </w:p>
    <w:p w14:paraId="7D0DA0A1">
      <w:pPr>
        <w:ind w:firstLine="420"/>
        <w:rPr>
          <w:rFonts w:ascii="Times New Roman" w:hAnsi="Times New Roman" w:eastAsia="宋体"/>
        </w:rPr>
      </w:pPr>
      <w:r>
        <w:rPr>
          <w:rFonts w:ascii="Times New Roman" w:hAnsi="Times New Roman" w:eastAsia="宋体"/>
        </w:rPr>
        <w:t>[44] Daraghmeh H M, Wang C C. A review of current status of free cooling in datacenters[J]. Applied Thermal Engineering, 2017, 114: 1224-1239. DOI: 10.1016/j.applthermaleng.2016.10.093.</w:t>
      </w:r>
    </w:p>
    <w:p w14:paraId="69E99B76">
      <w:pPr>
        <w:ind w:firstLine="420"/>
        <w:rPr>
          <w:rFonts w:ascii="Times New Roman" w:hAnsi="Times New Roman" w:eastAsia="宋体"/>
        </w:rPr>
      </w:pPr>
      <w:r>
        <w:rPr>
          <w:rFonts w:ascii="Times New Roman" w:hAnsi="Times New Roman" w:eastAsia="宋体"/>
        </w:rPr>
        <w:t>[45] Yuan X, Zhou X, Pan Y, Kosonen R, Cai H, Gao Y, Wang Y. Phase change cooling in data centers: A review[J]. Energy and Buildings, 2021, 236: 110764. DOI: 10.1016/j.enbuild.2021.110764.</w:t>
      </w:r>
    </w:p>
    <w:p w14:paraId="0FB65361">
      <w:pPr>
        <w:ind w:firstLine="420"/>
        <w:rPr>
          <w:rFonts w:ascii="Times New Roman" w:hAnsi="Times New Roman" w:eastAsia="宋体"/>
        </w:rPr>
      </w:pPr>
      <w:r>
        <w:rPr>
          <w:rFonts w:ascii="Times New Roman" w:hAnsi="Times New Roman" w:eastAsia="宋体"/>
        </w:rPr>
        <w:t>[46] Zhang Y, Zhao Y, Dai S, Nie B, Ma H, Li J, et al. Cooling technologies for data centres and telecommunication base stations—A comprehensive review[J]. Journal of Cleaner Production, 2022, 334: 130280. DOI: 10.1016/j.jclepro.2021.130280.</w:t>
      </w:r>
    </w:p>
    <w:p w14:paraId="566A6FB7">
      <w:pPr>
        <w:ind w:firstLine="420"/>
        <w:rPr>
          <w:rFonts w:ascii="Times New Roman" w:hAnsi="Times New Roman" w:eastAsia="宋体"/>
        </w:rPr>
      </w:pPr>
      <w:r>
        <w:rPr>
          <w:rFonts w:ascii="Times New Roman" w:hAnsi="Times New Roman" w:eastAsia="宋体"/>
        </w:rPr>
        <w:t>[47] Chen H, Li D. Current status and challenges for liquid-cooled data centers[J]. Frontiers in Energy Research, 2022, 10: 952680. DOI: 10.3389/fenrg.2022.952680.</w:t>
      </w:r>
    </w:p>
    <w:p w14:paraId="682DE7BB">
      <w:pPr>
        <w:ind w:firstLine="420"/>
        <w:rPr>
          <w:rFonts w:ascii="Times New Roman" w:hAnsi="Times New Roman" w:eastAsia="宋体"/>
        </w:rPr>
      </w:pPr>
      <w:r>
        <w:rPr>
          <w:rFonts w:ascii="Times New Roman" w:hAnsi="Times New Roman" w:eastAsia="宋体"/>
        </w:rPr>
        <w:t>[48] Hsieh M K, Li H, Chien S H, Monnell J D, Chowdhury I, Dzombak D A, Vidic R D. Corrosion control when using secondary treated municipal wastewater as alternative makeup water for cooling tower systems[J]. Water Environment Research, 2010, 82(12): 2346-2356. DOI: 10.2175/106143010X12681059117094.</w:t>
      </w:r>
    </w:p>
    <w:p w14:paraId="55DF9BFF">
      <w:pPr>
        <w:ind w:firstLine="420"/>
        <w:rPr>
          <w:rFonts w:ascii="Times New Roman" w:hAnsi="Times New Roman" w:eastAsia="宋体"/>
        </w:rPr>
      </w:pPr>
      <w:r>
        <w:rPr>
          <w:rFonts w:ascii="Times New Roman" w:hAnsi="Times New Roman" w:eastAsia="宋体"/>
        </w:rPr>
        <w:t>[49] Liu W, Chien S H, Dzombak D A, Vidic R D. Mineral scaling mitigation in cooling systems using tertiary-treated municipal wastewater[J]. Water Research, 2012, 46(14): 4488-4498. DOI: 10.1016/j.watres.2012.05.041.</w:t>
      </w:r>
    </w:p>
    <w:p w14:paraId="02869136">
      <w:pPr>
        <w:ind w:firstLine="420"/>
        <w:rPr>
          <w:rFonts w:ascii="Times New Roman" w:hAnsi="Times New Roman" w:eastAsia="宋体"/>
        </w:rPr>
      </w:pPr>
      <w:r>
        <w:rPr>
          <w:rFonts w:ascii="Times New Roman" w:hAnsi="Times New Roman" w:eastAsia="宋体"/>
        </w:rPr>
        <w:t>[50] Chien S H, Chowdhury I, Hsieh M K, Li H, Dzombak D A, Vidic R D. Control of biological growth in recirculating cooling systems using treated secondary effluent as makeup water with monochloramine[J]. Water Research, 2012, 46(19): 6508-6518. DOI: 10.1016/j.watres.2012.09.027.</w:t>
      </w:r>
    </w:p>
    <w:p w14:paraId="5B34E418">
      <w:pPr>
        <w:ind w:firstLine="420"/>
        <w:rPr>
          <w:rFonts w:ascii="Times New Roman" w:hAnsi="Times New Roman" w:eastAsia="宋体"/>
        </w:rPr>
      </w:pPr>
      <w:r>
        <w:rPr>
          <w:rFonts w:ascii="Times New Roman" w:hAnsi="Times New Roman" w:eastAsia="宋体"/>
        </w:rPr>
        <w:t>[51] Choudhury M R, Hsieh M K, Vidic R D, Dzombak D A. Corrosion management in power plant cooling systems using tertiary-treated municipal wastewater as makeup water[J]. Corrosion Science, 2012, 61: 231-241. DOI: 10.1016/j.corsci.2012.04.042.</w:t>
      </w:r>
    </w:p>
    <w:p w14:paraId="07BAB14E">
      <w:pPr>
        <w:ind w:firstLine="420"/>
        <w:rPr>
          <w:rFonts w:ascii="Times New Roman" w:hAnsi="Times New Roman" w:eastAsia="宋体"/>
        </w:rPr>
      </w:pPr>
      <w:r>
        <w:rPr>
          <w:rFonts w:ascii="Times New Roman" w:hAnsi="Times New Roman" w:eastAsia="宋体"/>
        </w:rPr>
        <w:t>[52] Kornboonraksa T. Using tertiary-treated municipal wastewater as makeup water by reverse osmosis membrane[J]. Desalination and Water Treatment, 2016, 57(16): 7422-7431. DOI: 10.1080/19443994.2015.1024937.</w:t>
      </w:r>
    </w:p>
    <w:p w14:paraId="6CB05D0C">
      <w:pPr>
        <w:ind w:firstLine="420"/>
        <w:rPr>
          <w:rFonts w:ascii="Times New Roman" w:hAnsi="Times New Roman" w:eastAsia="宋体"/>
        </w:rPr>
      </w:pPr>
      <w:r>
        <w:rPr>
          <w:rFonts w:ascii="Times New Roman" w:hAnsi="Times New Roman" w:eastAsia="宋体"/>
        </w:rPr>
        <w:t>[53] 段春青, 刘昌明, 陈晓楠, 柳文华, 郑红星. 区域水资源承载力概念及研究方法的探讨[J]. 地理学报, 2010, 65(1): 82-90. DOI: 10.11821/xb201001009.</w:t>
      </w:r>
    </w:p>
    <w:p w14:paraId="4910E358">
      <w:pPr>
        <w:ind w:firstLine="420"/>
        <w:rPr>
          <w:rFonts w:ascii="Times New Roman" w:hAnsi="Times New Roman" w:eastAsia="宋体"/>
        </w:rPr>
      </w:pPr>
      <w:r>
        <w:rPr>
          <w:rFonts w:ascii="Times New Roman" w:hAnsi="Times New Roman" w:eastAsia="宋体"/>
        </w:rPr>
        <w:t>[54] Qin G, Li H, Wang X, Ding J. Research on water resources design carrying capacity[J]. Water, 2016, 8(4): 157. DOI: 10.3390/w8040157.</w:t>
      </w:r>
    </w:p>
    <w:p w14:paraId="771D2C12">
      <w:pPr>
        <w:ind w:firstLine="420"/>
        <w:rPr>
          <w:rFonts w:ascii="Times New Roman" w:hAnsi="Times New Roman" w:eastAsia="宋体"/>
        </w:rPr>
      </w:pPr>
      <w:r>
        <w:rPr>
          <w:rFonts w:ascii="Times New Roman" w:hAnsi="Times New Roman" w:eastAsia="宋体"/>
        </w:rPr>
        <w:t>[55] Feng L H, Zhang X C, Luo G Y. Application of system dynamics in analyzing the carrying capacity of water resources in Yiwu City, China[J]. Mathematics and Computers in Simulation, 2008, 79(3): 269-278. DOI: 10.1016/j.matcom.2007.11.018.</w:t>
      </w:r>
    </w:p>
    <w:p w14:paraId="3DAB5C5E">
      <w:pPr>
        <w:ind w:firstLine="420"/>
        <w:rPr>
          <w:rFonts w:ascii="Times New Roman" w:hAnsi="Times New Roman" w:eastAsia="宋体"/>
        </w:rPr>
      </w:pPr>
      <w:r>
        <w:rPr>
          <w:rFonts w:ascii="Times New Roman" w:hAnsi="Times New Roman" w:eastAsia="宋体"/>
        </w:rPr>
        <w:t>[56] Wang X J, Zhang J Y, Liu J F, Wang G Q, He R M, Elmahdi A, Elsawah S. Water resources planning and management based on system dynamics: A case study of Yulin city[J]. Environment, Development and Sustainability, 2011, 13(2): 331-351. DOI: 10.1007/s10668-010-9264-6.</w:t>
      </w:r>
    </w:p>
    <w:p w14:paraId="408D7123">
      <w:pPr>
        <w:ind w:firstLine="420"/>
        <w:rPr>
          <w:rFonts w:ascii="Times New Roman" w:hAnsi="Times New Roman" w:eastAsia="宋体"/>
        </w:rPr>
      </w:pPr>
      <w:r>
        <w:rPr>
          <w:rFonts w:ascii="Times New Roman" w:hAnsi="Times New Roman" w:eastAsia="宋体"/>
        </w:rPr>
        <w:t>[57] Wang G, Xiao C, Qi Z, Meng F, Liang X. Development tendency analysis for the water resource carrying capacity based on system dynamics model and the improved fuzzy comprehensive evaluation method in Changchun City, China[J]. Ecological Indicators, 2021, 122: 107232. DOI: 10.1016/j.ecolind.2020.107232.</w:t>
      </w:r>
    </w:p>
    <w:p w14:paraId="7E3B10E7">
      <w:pPr>
        <w:ind w:firstLine="420"/>
        <w:rPr>
          <w:rFonts w:ascii="Times New Roman" w:hAnsi="Times New Roman" w:eastAsia="宋体"/>
        </w:rPr>
      </w:pPr>
      <w:r>
        <w:rPr>
          <w:rFonts w:ascii="Times New Roman" w:hAnsi="Times New Roman" w:eastAsia="宋体"/>
        </w:rPr>
        <w:t>[58] Wang X, Liu L, Zhang S, Gao C. Dynamic simulation and comprehensive evaluation of the water resources carrying capacity in Guangzhou City, China[J]. Ecological Indicators, 2022, 135: 108528. DOI: 10.1016/j.ecolind.2021.108528.</w:t>
      </w:r>
    </w:p>
    <w:p w14:paraId="3B759814">
      <w:pPr>
        <w:ind w:firstLine="420"/>
        <w:rPr>
          <w:rFonts w:ascii="Times New Roman" w:hAnsi="Times New Roman" w:eastAsia="宋体"/>
        </w:rPr>
      </w:pPr>
      <w:r>
        <w:rPr>
          <w:rFonts w:ascii="Times New Roman" w:hAnsi="Times New Roman" w:eastAsia="宋体"/>
        </w:rPr>
        <w:t>[59] Jia Z, Cai Y, Chen Y, Zeng W. Regionalization of water environmental carrying capacity for supporting the sustainable water resources management and development in China[J]. Resources, Conservation and Recycling, 2018, 134: 282-293. DOI: 10.1016/j.resconrec.2018.03.030.</w:t>
      </w:r>
    </w:p>
    <w:p w14:paraId="5CFED112">
      <w:pPr>
        <w:ind w:firstLine="420"/>
        <w:rPr>
          <w:rFonts w:ascii="Times New Roman" w:hAnsi="Times New Roman" w:eastAsia="宋体"/>
        </w:rPr>
      </w:pPr>
      <w:r>
        <w:rPr>
          <w:rFonts w:ascii="Times New Roman" w:hAnsi="Times New Roman" w:eastAsia="宋体"/>
        </w:rPr>
        <w:t>[60] Zhou X Y, Zheng B, Khu S T. Validation of the hypothesis on carrying capacity limits using the water environment carrying capacity[J]. Science of the Total Environment, 2019, 665: 774-784. DOI: 10.1016/j.scitotenv.2019.02.146.</w:t>
      </w:r>
    </w:p>
    <w:p w14:paraId="44AAB8C4">
      <w:pPr>
        <w:ind w:firstLine="420"/>
        <w:rPr>
          <w:rFonts w:ascii="Times New Roman" w:hAnsi="Times New Roman" w:eastAsia="宋体"/>
        </w:rPr>
      </w:pPr>
      <w:r>
        <w:rPr>
          <w:rFonts w:ascii="Times New Roman" w:hAnsi="Times New Roman" w:eastAsia="宋体"/>
        </w:rPr>
        <w:t>[61] He C, Liu Z, Wu J, Pan X, Fang Z, Li J, Bryan B A. Future global urban water scarcity and potential solutions[J]. Nature Communications, 2021, 12: 4667. DOI: 10.1038/s41467-021-25026-3.</w:t>
      </w:r>
    </w:p>
    <w:p w14:paraId="78278E0F">
      <w:pPr>
        <w:ind w:firstLine="420"/>
        <w:rPr>
          <w:rFonts w:ascii="Times New Roman" w:hAnsi="Times New Roman" w:eastAsia="宋体"/>
        </w:rPr>
      </w:pPr>
      <w:r>
        <w:rPr>
          <w:rFonts w:ascii="Times New Roman" w:hAnsi="Times New Roman" w:eastAsia="宋体"/>
        </w:rPr>
        <w:t>[62] Hashimoto T, Stedinger J R, Loucks D P. Reliability, resiliency, and vulnerability criteria for water resource system performance evaluation[J]. Water Resources Research, 1982, 18(1): 14-20. DOI: 10.1029/WR018i001p00014.</w:t>
      </w:r>
    </w:p>
    <w:p w14:paraId="7A5C3977">
      <w:pPr>
        <w:ind w:firstLine="420"/>
        <w:rPr>
          <w:rFonts w:ascii="Times New Roman" w:hAnsi="Times New Roman" w:eastAsia="宋体"/>
        </w:rPr>
      </w:pPr>
      <w:r>
        <w:rPr>
          <w:rFonts w:ascii="Times New Roman" w:hAnsi="Times New Roman" w:eastAsia="宋体"/>
        </w:rPr>
        <w:t>[63] Gupta H V, Kling H, Yilmaz K K, Martinez G F. Decomposition of the mean squared error and NSE performance criteria: Implications for improving hydrological modelling[J]. Journal of Hydrology, 2009, 377(1-2): 80-91. DOI: 10.1016/j.jhydrol.2009.08.003.</w:t>
      </w:r>
    </w:p>
    <w:p w14:paraId="1987E1CD">
      <w:pPr>
        <w:ind w:firstLine="420"/>
        <w:rPr>
          <w:rFonts w:ascii="Times New Roman" w:hAnsi="Times New Roman" w:eastAsia="宋体"/>
        </w:rPr>
      </w:pPr>
      <w:r>
        <w:rPr>
          <w:rFonts w:ascii="Times New Roman" w:hAnsi="Times New Roman" w:eastAsia="宋体"/>
        </w:rPr>
        <w:t>[64] Morris M D. Factorial sampling plans for preliminary computational experiments[J]. Technometrics, 1991, 33(2): 161-174. DOI: 10.1080/00401706.1991.10484804.</w:t>
      </w:r>
    </w:p>
    <w:p w14:paraId="3FC19BB9">
      <w:pPr>
        <w:ind w:firstLine="420"/>
        <w:rPr>
          <w:rFonts w:ascii="Times New Roman" w:hAnsi="Times New Roman" w:eastAsia="宋体"/>
        </w:rPr>
      </w:pPr>
      <w:r>
        <w:rPr>
          <w:rFonts w:ascii="Times New Roman" w:hAnsi="Times New Roman" w:eastAsia="宋体"/>
        </w:rPr>
        <w:t>[65] Campolongo F, Cariboni J, Saltelli A. An effective screening design for sensitivity analysis of large models[J]. Environmental Modelling &amp; Software, 2007, 22(10): 1509-1518. DOI: 10.1016/j.envsoft.2006.10.004.</w:t>
      </w:r>
    </w:p>
    <w:p w14:paraId="46247161">
      <w:pPr>
        <w:ind w:firstLine="420"/>
        <w:rPr>
          <w:rFonts w:ascii="Times New Roman" w:hAnsi="Times New Roman" w:eastAsia="宋体"/>
        </w:rPr>
      </w:pPr>
      <w:r>
        <w:rPr>
          <w:rFonts w:ascii="Times New Roman" w:hAnsi="Times New Roman" w:eastAsia="宋体"/>
        </w:rPr>
        <w:t>[66] Sobol I M. Global sensitivity indices for nonlinear mathematical models and their Monte Carlo estimates[J]. Mathematics and Computers in Simulation, 2001, 55(1-3): 271-280. DOI: 10.1016/S0378-4754(00)00270-6.</w:t>
      </w:r>
    </w:p>
    <w:p w14:paraId="1A5EC3CA">
      <w:pPr>
        <w:ind w:firstLine="420"/>
        <w:rPr>
          <w:rFonts w:ascii="Times New Roman" w:hAnsi="Times New Roman" w:eastAsia="宋体"/>
        </w:rPr>
      </w:pPr>
      <w:r>
        <w:rPr>
          <w:rFonts w:ascii="Times New Roman" w:hAnsi="Times New Roman" w:eastAsia="宋体"/>
        </w:rPr>
        <w:t>[67] Saltelli A, Ratto M, Andres T, Campolongo F, Cariboni J, Gatelli D, et al. Global Sensitivity Analysis: The Primer[M]. Chichester: John Wiley &amp; Sons, 2008. DOI: 10.1002/9780470725184.</w:t>
      </w:r>
    </w:p>
    <w:p w14:paraId="1F365D4C">
      <w:pPr>
        <w:ind w:firstLine="420"/>
        <w:rPr>
          <w:rFonts w:ascii="Times New Roman" w:hAnsi="Times New Roman" w:eastAsia="宋体"/>
        </w:rPr>
      </w:pPr>
      <w:r>
        <w:rPr>
          <w:rFonts w:ascii="Times New Roman" w:hAnsi="Times New Roman" w:eastAsia="宋体"/>
        </w:rPr>
        <w:t>[68] Razavi S, Gupta H V. What do we mean by sensitivity analysis? The need for comprehensive characterization of “global” sensitivity in Earth and environmental systems models[J]. Water Resources Research, 2015, 51(5): 3070-3092. DOI: 10.1002/2014WR016527.</w:t>
      </w:r>
    </w:p>
    <w:p w14:paraId="4A55EAD5">
      <w:pPr>
        <w:ind w:firstLine="420"/>
        <w:rPr>
          <w:rFonts w:ascii="Times New Roman" w:hAnsi="Times New Roman" w:eastAsia="宋体"/>
        </w:rPr>
      </w:pPr>
      <w:r>
        <w:rPr>
          <w:rFonts w:ascii="Times New Roman" w:hAnsi="Times New Roman" w:eastAsia="宋体"/>
        </w:rPr>
        <w:t>[69] Mortazavi-Naeini M, Kuczera G, Kiem A S, Cui L, Henley B, Berghout B, Turner E. Robust optimization to secure urban bulk water supply against extreme drought and uncertain climate change[J]. Environmental Modelling &amp; Software, 2015, 69: 437-451. DOI: 10.1016/j.envsoft.2015.02.021.</w:t>
      </w:r>
    </w:p>
    <w:p w14:paraId="74E5E2F3">
      <w:pPr>
        <w:ind w:firstLine="420"/>
        <w:rPr>
          <w:rFonts w:ascii="Times New Roman" w:hAnsi="Times New Roman" w:eastAsia="宋体"/>
        </w:rPr>
      </w:pPr>
      <w:r>
        <w:rPr>
          <w:rFonts w:ascii="Times New Roman" w:hAnsi="Times New Roman" w:eastAsia="宋体"/>
        </w:rPr>
        <w:t>[70] Lempert R J, Groves D G. Identifying and evaluating robust adaptive policy responses to climate change for water management agencies in the American West[J]. Technological Forecasting and Social Change, 2010, 77(6): 960-974. DOI: 10.1016/j.techfore.2010.04.007.</w:t>
      </w:r>
    </w:p>
    <w:p w14:paraId="2B4255F0">
      <w:pPr>
        <w:ind w:firstLine="420"/>
        <w:rPr>
          <w:rFonts w:ascii="Times New Roman" w:hAnsi="Times New Roman" w:eastAsia="宋体"/>
        </w:rPr>
      </w:pPr>
      <w:r>
        <w:rPr>
          <w:rFonts w:ascii="Times New Roman" w:hAnsi="Times New Roman" w:eastAsia="宋体"/>
        </w:rPr>
        <w:t>[71] Haasnoot M, Kwakkel J H, Walker W E, ter Maat J. Dynamic adaptive policy pathways: A method for crafting robust decisions for a deeply uncertain world[J]. Global Environmental Change, 2013, 23(2): 485-498. DOI: 10.1016/j.gloenvcha.2012.12.006.</w:t>
      </w:r>
    </w:p>
    <w:p w14:paraId="24C18FE7">
      <w:pPr>
        <w:ind w:firstLine="420"/>
        <w:rPr>
          <w:rFonts w:ascii="Times New Roman" w:hAnsi="Times New Roman" w:eastAsia="宋体"/>
        </w:rPr>
      </w:pPr>
      <w:r>
        <w:rPr>
          <w:rFonts w:ascii="Times New Roman" w:hAnsi="Times New Roman" w:eastAsia="宋体"/>
        </w:rPr>
        <w:t>[72] Kwakkel J H, Haasnoot M, Walker W E. Developing dynamic adaptive policy pathways: A computer-assisted approach for developing adaptive strategies for a deeply uncertain world[J]. Climatic Change, 2015, 132(3): 373-386. DOI: 10.1007/s10584-014-1210-4.</w:t>
      </w:r>
    </w:p>
    <w:p w14:paraId="0291BF82">
      <w:pPr>
        <w:ind w:firstLine="420"/>
        <w:rPr>
          <w:rFonts w:ascii="Times New Roman" w:hAnsi="Times New Roman" w:eastAsia="宋体"/>
        </w:rPr>
      </w:pPr>
      <w:r>
        <w:rPr>
          <w:rFonts w:ascii="Times New Roman" w:hAnsi="Times New Roman" w:eastAsia="宋体"/>
        </w:rPr>
        <w:t>[73] Sadr S M K, Casal-Campos A, Fu G, Farmani R, Ward S, Butler D. Strategic planning of the integrated urban wastewater system using adaptation pathways[J]. Water Research, 2020, 182: 116013. DOI: 10.1016/j.watres.2020.116013.</w:t>
      </w:r>
    </w:p>
    <w:p w14:paraId="369D3E3F">
      <w:pPr>
        <w:ind w:firstLine="420"/>
        <w:rPr>
          <w:rFonts w:ascii="Times New Roman" w:hAnsi="Times New Roman" w:eastAsia="宋体"/>
        </w:rPr>
      </w:pPr>
      <w:r>
        <w:rPr>
          <w:rFonts w:ascii="Times New Roman" w:hAnsi="Times New Roman" w:eastAsia="宋体"/>
        </w:rPr>
        <w:t>[74] Li R, Zhang D, Dong X, Gong D, Mo L. How can urban wastewater and reclaimed water systems tackle an uncertain future without regret?—Solutions based on adaptive pathway planning[J]. Journal of Environmental Management, 2026, 410: 130062. DOI: 10.1016/j.jenvman.2026.130062.</w:t>
      </w:r>
    </w:p>
    <w:p w14:paraId="711F6A7A">
      <w:pPr>
        <w:ind w:firstLine="420"/>
        <w:rPr>
          <w:rFonts w:ascii="Times New Roman" w:hAnsi="Times New Roman" w:eastAsia="宋体"/>
        </w:rPr>
      </w:pPr>
      <w:r>
        <w:rPr>
          <w:rFonts w:ascii="Times New Roman" w:hAnsi="Times New Roman" w:eastAsia="宋体"/>
        </w:rPr>
        <w:t>[75] Deb K, Pratap A, Agarwal S, Meyarivan T. A fast and elitist multiobjective genetic algorithm: NSGA-II[J]. IEEE Transactions on Evolutionary Computation, 2002, 6(2): 182-197. DOI: 10.1109/4235.996017.</w:t>
      </w:r>
    </w:p>
    <w:p w14:paraId="3A67DEEA">
      <w:pPr>
        <w:ind w:firstLine="420"/>
        <w:rPr>
          <w:rFonts w:ascii="Times New Roman" w:hAnsi="Times New Roman" w:eastAsia="宋体"/>
        </w:rPr>
      </w:pPr>
      <w:r>
        <w:rPr>
          <w:rFonts w:ascii="Times New Roman" w:hAnsi="Times New Roman" w:eastAsia="宋体"/>
        </w:rPr>
        <w:t>[76] Eyring V, Bony S, Meehl G A, Senior C A, Stevens B, Stouffer R J, Taylor K E. Overview of the Coupled Model Intercomparison Project Phase 6 (CMIP6) experimental design and organization[J]. Geoscientific Model Development, 2016, 9: 1937-1958. DOI: 10.5194/gmd-9-1937-2016.</w:t>
      </w:r>
    </w:p>
    <w:p w14:paraId="00F45A65">
      <w:pPr>
        <w:ind w:firstLine="420"/>
        <w:rPr>
          <w:rFonts w:ascii="Times New Roman" w:hAnsi="Times New Roman" w:eastAsia="宋体"/>
        </w:rPr>
      </w:pPr>
      <w:r>
        <w:rPr>
          <w:rFonts w:ascii="Times New Roman" w:hAnsi="Times New Roman" w:eastAsia="宋体"/>
        </w:rPr>
        <w:t>[77] Zscheischler J, Westra S, van den Hurk B J J M, Seneviratne S I, Ward P J, Pitman A, et al. Future climate risk from compound events[J]. Nature Climate Change, 2018, 8: 469-477. DOI: 10.1038/s41558-018-0156-3.</w:t>
      </w:r>
    </w:p>
    <w:p w14:paraId="1CCDD1F6">
      <w:pPr>
        <w:ind w:firstLine="420"/>
        <w:rPr>
          <w:rFonts w:ascii="Times New Roman" w:hAnsi="Times New Roman" w:eastAsia="宋体"/>
        </w:rPr>
      </w:pPr>
      <w:r>
        <w:rPr>
          <w:rFonts w:ascii="Times New Roman" w:hAnsi="Times New Roman" w:eastAsia="宋体"/>
        </w:rPr>
        <w:t>[78] Han Y, Li P, Wierman A, Ren S. Small Bottle, Big Pipe: Quantifying and Addressing the Impact of Data Centers on Public Water Systems[EB/OL]. arXiv:2603.02705, 2026. DOI: 10.48550/arXiv.2603.02705. （预印本）</w:t>
      </w:r>
    </w:p>
    <w:p w14:paraId="057F85CC">
      <w:pPr>
        <w:ind w:firstLine="420"/>
        <w:rPr>
          <w:rFonts w:ascii="Times New Roman" w:hAnsi="Times New Roman" w:eastAsia="宋体"/>
        </w:rPr>
      </w:pPr>
      <w:r>
        <w:rPr>
          <w:rFonts w:ascii="Times New Roman" w:hAnsi="Times New Roman" w:eastAsia="宋体"/>
        </w:rPr>
        <w:t>[79] Akinade B A, Amanambu A C, Frame J M, Ren S. AI Data Centers and the Water Use Feedback Loop[EB/OL]. arXiv:2606.21760, 2026. DOI: 10.48550/arXiv.2606.21760. （预印本）</w:t>
      </w:r>
    </w:p>
    <w:p w14:paraId="20ED1503">
      <w:pPr>
        <w:ind w:firstLine="420"/>
        <w:rPr>
          <w:rFonts w:ascii="Times New Roman" w:hAnsi="Times New Roman" w:eastAsia="宋体"/>
        </w:rPr>
      </w:pPr>
      <w:r>
        <w:rPr>
          <w:rFonts w:ascii="Times New Roman" w:hAnsi="Times New Roman" w:eastAsia="宋体"/>
        </w:rPr>
        <w:t>[80] IPCC. Climate Change 2021: The Physical Science Basis. Contribution of Working Group I to the Sixth Assessment Report of the Intergovernmental Panel on Climate Change[M]. Cambridge: Cambridge University Press, 2021. DOI: 10.1017/9781009157896.</w:t>
      </w:r>
    </w:p>
    <w:p w14:paraId="2F15B1C7">
      <w:pPr>
        <w:ind w:firstLine="420"/>
        <w:rPr>
          <w:rFonts w:ascii="Times New Roman" w:hAnsi="Times New Roman" w:eastAsia="宋体"/>
        </w:rPr>
      </w:pPr>
      <w:r>
        <w:rPr>
          <w:rFonts w:ascii="Times New Roman" w:hAnsi="Times New Roman" w:eastAsia="宋体"/>
        </w:rPr>
        <w:t>[81] Song E, Nelson B L, Staum J. Shapley Effects for Global Sensitivity Analysis: Theory and Computation[J]. SIAM/ASA Journal on Uncertainty Quantification, 2016, 4(1): 1060-1083. DOI: 10.1137/15M1048070.</w:t>
      </w:r>
    </w:p>
    <w:p w14:paraId="31D60A7B">
      <w:pPr>
        <w:ind w:firstLine="420"/>
        <w:rPr>
          <w:rFonts w:ascii="Times New Roman" w:hAnsi="Times New Roman" w:eastAsia="宋体"/>
        </w:rPr>
      </w:pPr>
      <w:r>
        <w:rPr>
          <w:rFonts w:ascii="Times New Roman" w:hAnsi="Times New Roman" w:eastAsia="宋体"/>
        </w:rPr>
        <w:t>[82] 国家市场监督管理总局, 国家标准化管理委员会. 数据中心 资源利用 第6部分：水资源使用效率: GB/T 32910.6-2025[S]. 2025.</w:t>
      </w:r>
    </w:p>
    <w:p w14:paraId="23659E9B">
      <w:pPr>
        <w:ind w:firstLine="420"/>
        <w:rPr>
          <w:rFonts w:ascii="Times New Roman" w:hAnsi="Times New Roman" w:eastAsia="宋体"/>
        </w:rPr>
      </w:pPr>
      <w:r>
        <w:rPr>
          <w:rFonts w:ascii="Times New Roman" w:hAnsi="Times New Roman" w:eastAsia="宋体"/>
        </w:rPr>
        <w:t>[83] 中华人民共和国住房和城乡建设部. 室外给水设计标准: GB 50013-2018[S]. 北京: 中国计划出版社, 2018.</w:t>
      </w:r>
    </w:p>
    <w:p w14:paraId="4744DFB3">
      <w:pPr>
        <w:ind w:firstLine="420"/>
        <w:rPr>
          <w:rFonts w:ascii="Times New Roman" w:hAnsi="Times New Roman" w:eastAsia="宋体"/>
        </w:rPr>
      </w:pPr>
      <w:r>
        <w:rPr>
          <w:rFonts w:ascii="Times New Roman" w:hAnsi="Times New Roman" w:eastAsia="宋体"/>
        </w:rPr>
        <w:t>[84] 中华人民共和国住房和城乡建设部. 室外排水设计标准: GB 50014-2021[S]. 北京: 中国计划出版社, 2021.</w:t>
      </w:r>
    </w:p>
    <w:sectPr>
      <w:pgSz w:w="12240" w:h="15840"/>
      <w:pgMar w:top="1247" w:right="1361" w:bottom="1134" w:left="147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24" w:lineRule="auto"/>
      </w:pPr>
      <w:r>
        <w:separator/>
      </w:r>
    </w:p>
  </w:footnote>
  <w:footnote w:type="continuationSeparator" w:id="1">
    <w:p>
      <w:pPr>
        <w:spacing w:before="0" w:after="0" w:line="324"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F7E163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20" w:line="324" w:lineRule="auto"/>
    </w:pPr>
    <w:rPr>
      <w:rFonts w:ascii="宋体" w:hAnsi="宋体" w:eastAsia="宋体" w:cstheme="minorBidi"/>
      <w:color w:val="222222"/>
      <w:sz w:val="21"/>
      <w:szCs w:val="22"/>
      <w:lang w:val="en-US" w:eastAsia="en-US" w:bidi="ar-SA"/>
    </w:rPr>
  </w:style>
  <w:style w:type="paragraph" w:styleId="3">
    <w:name w:val="heading 1"/>
    <w:basedOn w:val="1"/>
    <w:next w:val="1"/>
    <w:link w:val="138"/>
    <w:qFormat/>
    <w:uiPriority w:val="9"/>
    <w:pPr>
      <w:keepNext/>
      <w:keepLines/>
      <w:spacing w:before="480" w:after="120" w:line="324" w:lineRule="auto"/>
      <w:outlineLvl w:val="0"/>
    </w:pPr>
    <w:rPr>
      <w:rFonts w:asciiTheme="majorHAnsi" w:hAnsiTheme="majorHAnsi" w:eastAsiaTheme="majorEastAsia" w:cstheme="majorBidi"/>
      <w:b/>
      <w:bCs/>
      <w:color w:val="17365D"/>
      <w:sz w:val="30"/>
      <w:szCs w:val="28"/>
    </w:rPr>
  </w:style>
  <w:style w:type="paragraph" w:styleId="4">
    <w:name w:val="heading 2"/>
    <w:basedOn w:val="1"/>
    <w:next w:val="1"/>
    <w:link w:val="139"/>
    <w:unhideWhenUsed/>
    <w:qFormat/>
    <w:uiPriority w:val="9"/>
    <w:pPr>
      <w:keepNext/>
      <w:keepLines/>
      <w:spacing w:before="200" w:after="120" w:line="324" w:lineRule="auto"/>
      <w:outlineLvl w:val="1"/>
    </w:pPr>
    <w:rPr>
      <w:rFonts w:asciiTheme="majorHAnsi" w:hAnsiTheme="majorHAnsi" w:eastAsiaTheme="majorEastAsia" w:cstheme="majorBidi"/>
      <w:b/>
      <w:bCs/>
      <w:color w:val="2F5597"/>
      <w:sz w:val="24"/>
      <w:szCs w:val="26"/>
    </w:rPr>
  </w:style>
  <w:style w:type="paragraph" w:styleId="5">
    <w:name w:val="heading 3"/>
    <w:basedOn w:val="1"/>
    <w:next w:val="1"/>
    <w:link w:val="140"/>
    <w:unhideWhenUsed/>
    <w:qFormat/>
    <w:uiPriority w:val="9"/>
    <w:pPr>
      <w:keepNext/>
      <w:keepLines/>
      <w:spacing w:before="200" w:after="120" w:line="324" w:lineRule="auto"/>
      <w:outlineLvl w:val="2"/>
    </w:pPr>
    <w:rPr>
      <w:rFonts w:asciiTheme="majorHAnsi" w:hAnsiTheme="majorHAnsi" w:eastAsiaTheme="majorEastAsia" w:cstheme="majorBidi"/>
      <w:b/>
      <w:bCs/>
      <w:color w:val="404040"/>
      <w:sz w:val="22"/>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120" w:line="324" w:lineRule="auto"/>
      <w:contextualSpacing/>
    </w:pPr>
    <w:rPr>
      <w:rFonts w:asciiTheme="majorHAnsi" w:hAnsiTheme="majorHAnsi" w:eastAsiaTheme="majorEastAsia" w:cstheme="majorBidi"/>
      <w:color w:val="17365D"/>
      <w:spacing w:val="5"/>
      <w:kern w:val="28"/>
      <w:sz w:val="40"/>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19</Pages>
  <Words>13028</Words>
  <Characters>25993</Characters>
  <Lines>0</Lines>
  <Paragraphs>0</Paragraphs>
  <TotalTime>2</TotalTime>
  <ScaleCrop>false</ScaleCrop>
  <LinksUpToDate>false</LinksUpToDate>
  <CharactersWithSpaces>28393</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邵敬哲</cp:lastModifiedBy>
  <dcterms:modified xsi:type="dcterms:W3CDTF">2026-08-31T07:43:42Z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eyJoZGlkIjoiMTFhM2IzNWM3NjlkMzQ1M2QwMWYwMmIyMWUwMWQ5NzEiLCJ1c2VySWQiOiIxNzc3NTAzMzc5In0=</vt:lpwstr>
  </property>
  <property fmtid="{D5CDD505-2E9C-101B-9397-08002B2CF9AE}" pid="3" name="KSOProductBuildVer">
    <vt:lpwstr>2052-12.1.0.28043</vt:lpwstr>
  </property>
  <property fmtid="{D5CDD505-2E9C-101B-9397-08002B2CF9AE}" pid="4" name="ICV">
    <vt:lpwstr>8E5645215386452E9A82DBB9B6B58E22_12</vt:lpwstr>
  </property>
</Properties>
</file>