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jc w:val="center"/>
        <w:rPr>
          <w:rFonts w:eastAsia="楷体_GB2312"/>
          <w:b/>
          <w:spacing w:val="40"/>
          <w:sz w:val="36"/>
        </w:rPr>
      </w:pPr>
    </w:p>
    <w:p w14:paraId="15D6FB2D">
      <w:pPr>
        <w:keepNext w:val="0"/>
        <w:jc w:val="center"/>
        <w:rPr>
          <w:rFonts w:eastAsia="楷体_GB2312"/>
          <w:b/>
          <w:spacing w:val="40"/>
          <w:sz w:val="36"/>
        </w:rPr>
      </w:pPr>
    </w:p>
    <w:p w14:paraId="736EACCF">
      <w:pPr>
        <w:keepNext w:val="0"/>
        <w:jc w:val="center"/>
        <w:rPr>
          <w:rFonts w:eastAsia="楷体_GB2312"/>
          <w:b/>
          <w:spacing w:val="40"/>
          <w:sz w:val="36"/>
        </w:rPr>
      </w:pPr>
      <w:r>
        <w:rPr>
          <w:rFonts w:hint="eastAsia" w:eastAsia="楷体_GB2312"/>
          <w:b/>
          <w:color w:val="000000"/>
          <w:spacing w:val="40"/>
          <w:sz w:val="36"/>
        </w:rPr>
        <w:t>哈尔滨工业大学</w:t>
      </w:r>
    </w:p>
    <w:p w14:paraId="77E87BA1">
      <w:pPr>
        <w:keepNext w:val="0"/>
        <w:jc w:val="center"/>
        <w:rPr>
          <w:rFonts w:eastAsia="楷体_GB2312"/>
          <w:b/>
          <w:spacing w:val="40"/>
          <w:sz w:val="36"/>
        </w:rPr>
      </w:pPr>
    </w:p>
    <w:p w14:paraId="2CDBC833">
      <w:pPr>
        <w:keepNext w:val="0"/>
        <w:jc w:val="center"/>
        <w:rPr>
          <w:rFonts w:ascii="Roman PS" w:hAnsi="Roman PS"/>
          <w:b/>
          <w:spacing w:val="40"/>
          <w:sz w:val="48"/>
        </w:rPr>
      </w:pPr>
      <w:r>
        <w:rPr>
          <w:rFonts w:ascii="Times New Roman" w:hAnsi="Times New Roman" w:eastAsia="黑体"/>
          <w:b/>
        </w:rPr>
        <w:t>硕士学位论文开题报告</w:t>
      </w:r>
    </w:p>
    <w:p w14:paraId="069C17FC">
      <w:pPr>
        <w:keepNext w:val="0"/>
        <w:rPr>
          <w:b/>
          <w:sz w:val="32"/>
        </w:rPr>
      </w:pPr>
    </w:p>
    <w:p w14:paraId="2D50CEA7">
      <w:pPr>
        <w:keepNext w:val="0"/>
        <w:spacing w:line="300" w:lineRule="auto"/>
        <w:rPr>
          <w:b/>
          <w:sz w:val="36"/>
        </w:rPr>
      </w:pPr>
      <w:r>
        <w:t>题目：AI算力基础设施驱动下城市人工水系统代谢响应与条件化承载边界的系统模拟研究</w:t>
      </w:r>
    </w:p>
    <w:p w14:paraId="1014A7AD">
      <w:pPr>
        <w:keepNext w:val="0"/>
        <w:spacing w:before="240"/>
        <w:jc w:val="center"/>
        <w:rPr>
          <w:b/>
          <w:sz w:val="32"/>
        </w:rPr>
      </w:pPr>
      <w:r>
        <w:rPr>
          <w:rFonts w:ascii="Times New Roman" w:hAnsi="Times New Roman" w:eastAsia="宋体" w:cs="Times New Roman"/>
          <w:b/>
          <w:color w:val="000000"/>
          <w:sz w:val="32"/>
        </w:rPr>
        <w:t>（学位论文）</w:t>
      </w:r>
    </w:p>
    <w:p w14:paraId="03714482">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学院（部）：____________________</w:t>
      </w:r>
    </w:p>
    <w:p w14:paraId="2B5DEC98">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学科/专业学位类别：____________________</w:t>
      </w:r>
    </w:p>
    <w:p w14:paraId="4D4A53FE">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导师：____________________</w:t>
      </w:r>
    </w:p>
    <w:p w14:paraId="378509C5">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研究生：____________________</w:t>
      </w:r>
    </w:p>
    <w:p w14:paraId="05D4A3E3">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学号：____________________</w:t>
      </w:r>
    </w:p>
    <w:p w14:paraId="499FDC5C">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开题报告日期：____________________</w:t>
      </w:r>
    </w:p>
    <w:p w14:paraId="41B0077A">
      <w:pPr>
        <w:keepNext w:val="0"/>
        <w:snapToGrid w:val="0"/>
        <w:spacing w:line="300" w:lineRule="auto"/>
        <w:rPr>
          <w:b/>
          <w:sz w:val="32"/>
        </w:rPr>
      </w:pPr>
    </w:p>
    <w:p w14:paraId="191BA153">
      <w:pPr>
        <w:keepNext w:val="0"/>
        <w:jc w:val="center"/>
        <w:rPr>
          <w:b/>
          <w:sz w:val="32"/>
        </w:rPr>
      </w:pPr>
      <w:r>
        <w:rPr>
          <w:rFonts w:hint="eastAsia"/>
          <w:b/>
          <w:color w:val="000000"/>
          <w:sz w:val="32"/>
        </w:rPr>
        <w:t>研究生院制</w:t>
      </w:r>
    </w:p>
    <w:p w14:paraId="06B90ADE">
      <w:pPr>
        <w:sectPr>
          <w:headerReference r:id="rId5" w:type="default"/>
          <w:footerReference r:id="rId6" w:type="default"/>
          <w:pgSz w:w="11907" w:h="16840"/>
          <w:pgMar w:top="1418" w:right="1418" w:bottom="1247" w:left="1418" w:header="851" w:footer="992" w:gutter="0"/>
          <w:cols w:space="425" w:num="1"/>
          <w:docGrid w:type="lines" w:linePitch="312" w:charSpace="0"/>
        </w:sectPr>
      </w:pPr>
    </w:p>
    <w:p w14:paraId="43EC369F">
      <w:pPr>
        <w:pStyle w:val="16"/>
        <w:spacing w:after="430"/>
        <w:jc w:val="center"/>
      </w:pPr>
      <w:r>
        <w:t>目　录</w:t>
      </w:r>
    </w:p>
    <w:p w14:paraId="150912C9">
      <w:pPr>
        <w:pStyle w:val="21"/>
        <w:jc w:val="left"/>
      </w:pPr>
      <w:r>
        <w:t>摘　要</w:t>
      </w:r>
      <w:r>
        <w:tab/>
      </w:r>
      <w:r>
        <w:t>3</w:t>
      </w:r>
    </w:p>
    <w:p w14:paraId="11E965C5">
      <w:pPr>
        <w:pStyle w:val="21"/>
        <w:jc w:val="left"/>
      </w:pPr>
      <w:r>
        <w:t>1 课题来源及研究目的和意义</w:t>
      </w:r>
      <w:r>
        <w:tab/>
      </w:r>
      <w:r>
        <w:t>5</w:t>
      </w:r>
    </w:p>
    <w:p w14:paraId="45637B5F">
      <w:pPr>
        <w:pStyle w:val="21"/>
        <w:jc w:val="left"/>
      </w:pPr>
      <w:r>
        <w:t>2 国内外研究现状及分析</w:t>
      </w:r>
      <w:r>
        <w:tab/>
      </w:r>
      <w:r>
        <w:t>8</w:t>
      </w:r>
    </w:p>
    <w:p w14:paraId="24E10F4B">
      <w:pPr>
        <w:pStyle w:val="21"/>
        <w:jc w:val="left"/>
      </w:pPr>
      <w:r>
        <w:t>3 主要内容及方案</w:t>
      </w:r>
      <w:r>
        <w:tab/>
      </w:r>
      <w:r>
        <w:t>12</w:t>
      </w:r>
    </w:p>
    <w:p w14:paraId="4418819C">
      <w:pPr>
        <w:pStyle w:val="21"/>
        <w:jc w:val="left"/>
      </w:pPr>
      <w:r>
        <w:t>4 预期达到的目标</w:t>
      </w:r>
      <w:r>
        <w:tab/>
      </w:r>
      <w:r>
        <w:t>18</w:t>
      </w:r>
    </w:p>
    <w:p w14:paraId="7092AF59">
      <w:pPr>
        <w:pStyle w:val="21"/>
        <w:jc w:val="left"/>
      </w:pPr>
      <w:r>
        <w:t>5 已完成的学术研究工作</w:t>
      </w:r>
      <w:r>
        <w:tab/>
      </w:r>
      <w:r>
        <w:t>19</w:t>
      </w:r>
    </w:p>
    <w:p w14:paraId="3C8E917A">
      <w:pPr>
        <w:pStyle w:val="21"/>
        <w:jc w:val="left"/>
      </w:pPr>
      <w:r>
        <w:t>6 进度安排</w:t>
      </w:r>
      <w:r>
        <w:tab/>
      </w:r>
      <w:r>
        <w:t>19</w:t>
      </w:r>
    </w:p>
    <w:p w14:paraId="4F9763F0">
      <w:pPr>
        <w:pStyle w:val="21"/>
        <w:jc w:val="left"/>
      </w:pPr>
      <w:r>
        <w:t>7 为完成课题所需的条件</w:t>
      </w:r>
      <w:r>
        <w:tab/>
      </w:r>
      <w:r>
        <w:t>20</w:t>
      </w:r>
    </w:p>
    <w:p w14:paraId="4CC7455D">
      <w:pPr>
        <w:pStyle w:val="21"/>
        <w:jc w:val="left"/>
      </w:pPr>
      <w:r>
        <w:t>8 研究过程中可能遇到的问题及解决措施</w:t>
      </w:r>
      <w:r>
        <w:tab/>
      </w:r>
      <w:r>
        <w:t>20</w:t>
      </w:r>
    </w:p>
    <w:p w14:paraId="6D87BBB2">
      <w:pPr>
        <w:pStyle w:val="21"/>
        <w:jc w:val="left"/>
      </w:pPr>
      <w:r>
        <w:t>9 参考文献</w:t>
      </w:r>
      <w:r>
        <w:tab/>
      </w:r>
      <w:r>
        <w:t>22</w:t>
      </w:r>
    </w:p>
    <w:p w14:paraId="7CC91361">
      <w:pPr>
        <w:pStyle w:val="16"/>
        <w:pageBreakBefore/>
      </w:pPr>
      <w:r>
        <w:rPr>
          <w:rFonts w:ascii="Times New Roman" w:hAnsi="Times New Roman" w:eastAsia="黑体" w:cs="Times New Roman"/>
          <w:b/>
          <w:color w:val="000000"/>
          <w:sz w:val="30"/>
        </w:rPr>
        <w:t>摘　要</w:t>
      </w:r>
    </w:p>
    <w:p w14:paraId="289AC530">
      <w:r>
        <w:t>生成式人工智能使数据中心进入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r>
        <w:t>本研究以城市人工水系统为研究对象，提出“设施过程—城市代谢—条件化承载边界”的统一系统模拟框架。研究首先把AI算力中心表示为城市水系统中的特殊节点，沿“IT容量—实际负载—能耗—热排散—冷却补水—蒸发与排污—污水处理—再生水回用”建立水量和水质的闭合核算；其次通过输入城市供水、污水、再生水、气象、设施能力和技术参数，构造可重复的参数化城市水系统，比较AI负荷与等年用水量普通工业冷却负荷的差异；最后以条件化AI水系统承载容量（CAWCC）表示在给定系统参数、技术架构、水源配置、气候压力和服务优先级下可支持的最大AI IT容量，识别容量边界及其主导约束。</w:t>
      </w:r>
    </w:p>
    <w:p w14:paraId="26074E34">
      <w:r>
        <w:t>论文拟回答三个科学问题：其一，AI负荷在什么条件下由单纯水量增加转变为水源结构和消耗、回流关系的重构；其二，年均、日尺度和极端高温/干旱条件下的容量边界为何不同，哪些参数决定“平均安全而峰值失稳”；其三，AI扩张以及再生水、冷却和设施扩容等参数干预如何引起水源、给水、污水、再生水和局部接入瓶颈的迁移。研究不以特定真实城市为前提，而是通过参数化系统输入和可重复情景模拟，结合过程验证、极限行为检验、结构对照和敏感性分析约束结论。预期形成关于AI城市水代谢重构、时间尺度依赖承载边界和瓶颈转换机制的科学认识，并为算力布局与城市水务协同规划提供可解释的容量依据。</w:t>
      </w:r>
    </w:p>
    <w:p w14:paraId="344FD411">
      <w:r>
        <w:rPr>
          <w:rFonts w:ascii="Times New Roman" w:hAnsi="Times New Roman" w:eastAsia="宋体" w:cs="Times New Roman"/>
          <w:b w:val="0"/>
          <w:color w:val="000000"/>
          <w:sz w:val="24"/>
        </w:rPr>
        <w:t>关键词：人工智能；数据中心；城市人工水系统；城市代谢；再生水；承载容量；峰值压力；瓶颈转换</w:t>
      </w:r>
    </w:p>
    <w:p w14:paraId="5163B948">
      <w:pPr>
        <w:pStyle w:val="16"/>
        <w:pageBreakBefore/>
      </w:pPr>
      <w:r>
        <w:rPr>
          <w:rFonts w:ascii="Times New Roman" w:hAnsi="Times New Roman" w:eastAsia="黑体" w:cs="Times New Roman"/>
          <w:b/>
          <w:color w:val="000000"/>
          <w:sz w:val="30"/>
        </w:rPr>
        <w:t>1 课题来源及研究目的和意义</w:t>
      </w:r>
    </w:p>
    <w:p w14:paraId="7211C648">
      <w:pPr>
        <w:pStyle w:val="17"/>
        <w:pageBreakBefore w:val="0"/>
      </w:pPr>
      <w:r>
        <w:rPr>
          <w:rFonts w:ascii="Times New Roman" w:hAnsi="Times New Roman" w:eastAsia="黑体" w:cs="Times New Roman"/>
          <w:b/>
          <w:color w:val="000000"/>
          <w:sz w:val="28"/>
        </w:rPr>
        <w:t>1.1 课题来源</w:t>
      </w:r>
    </w:p>
    <w:p w14:paraId="45CA7A8E">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。本研究据此前期城市代谢建模积累，选择AI负荷引入后的水流结构、峰值服务和承载边界作为学位论文研究对象。</w:t>
      </w:r>
    </w:p>
    <w:p w14:paraId="2747444E">
      <w:pPr>
        <w:pStyle w:val="17"/>
        <w:pageBreakBefore w:val="0"/>
      </w:pPr>
      <w:r>
        <w:rPr>
          <w:rFonts w:ascii="Times New Roman" w:hAnsi="Times New Roman" w:eastAsia="黑体" w:cs="Times New Roman"/>
          <w:b/>
          <w:color w:val="000000"/>
          <w:sz w:val="28"/>
        </w:rPr>
        <w:t>1.2 课题研究目的和意义</w:t>
      </w:r>
    </w:p>
    <w:p w14:paraId="06B380D3">
      <w:pPr>
        <w:pStyle w:val="18"/>
        <w:pageBreakBefore w:val="0"/>
      </w:pPr>
      <w:r>
        <w:rPr>
          <w:rFonts w:ascii="Times New Roman" w:hAnsi="Times New Roman" w:eastAsia="黑体" w:cs="Times New Roman"/>
          <w:b/>
          <w:color w:val="000000"/>
          <w:sz w:val="24"/>
        </w:rPr>
        <w:t>1.2.1 AI基础设施扩张与研究目的</w:t>
      </w:r>
    </w:p>
    <w:p w14:paraId="1C7B623C">
      <w:r>
        <w:rPr>
          <w:rFonts w:ascii="Times New Roman" w:hAnsi="Times New Roman"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Times New Roman" w:hAnsi="Times New Roman"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Times New Roman" w:hAnsi="Times New Roman" w:eastAsia="宋体" w:cs="Times New Roman"/>
          <w:b w:val="0"/>
          <w:color w:val="000000"/>
          <w:sz w:val="24"/>
        </w:rPr>
        <w:t>。电力需求通过热排散和冷却过程连接到水系统，本研究拟从这一接口出发解释城市水务系统的增量压力。</w:t>
      </w:r>
    </w:p>
    <w:p w14:paraId="35E68F84">
      <w:r>
        <w:rPr>
          <w:rFonts w:ascii="宋体" w:hAnsi="宋体" w:eastAsia="宋体"/>
          <w:sz w:val="24"/>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979A5EB">
      <w:pPr>
        <w:pStyle w:val="18"/>
        <w:pageBreakBefore w:val="0"/>
      </w:pPr>
      <w:r>
        <w:rPr>
          <w:rFonts w:ascii="Times New Roman" w:hAnsi="Times New Roman" w:eastAsia="黑体" w:cs="Times New Roman"/>
          <w:b/>
          <w:color w:val="000000"/>
          <w:sz w:val="24"/>
        </w:rPr>
        <w:t>1.2.2 从设施足迹转向城市系统</w:t>
      </w:r>
    </w:p>
    <w:p w14:paraId="6949580D">
      <w:r>
        <w:rPr>
          <w:rFonts w:ascii="Times New Roman" w:hAnsi="Times New Roman"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Times New Roman" w:hAnsi="Times New Roman" w:eastAsia="宋体" w:cs="Times New Roman"/>
          <w:b w:val="0"/>
          <w:color w:val="000000"/>
          <w:sz w:val="24"/>
        </w:rPr>
        <w:t>。</w:t>
      </w:r>
    </w:p>
    <w:p w14:paraId="78534302">
      <w:r>
        <w:rPr>
          <w:rFonts w:ascii="宋体" w:hAnsi="宋体" w:eastAsia="宋体"/>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这说明，城市规划需要的是水流路径和服务可靠性的解释，而不仅是一个年度总量。</w:t>
      </w:r>
    </w:p>
    <w:p w14:paraId="70DC19DF">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18"/>
        <w:pageBreakBefore w:val="0"/>
      </w:pPr>
      <w:r>
        <w:rPr>
          <w:rFonts w:ascii="Times New Roman" w:hAnsi="Times New Roman" w:eastAsia="黑体" w:cs="Times New Roman"/>
          <w:b/>
          <w:color w:val="000000"/>
          <w:sz w:val="24"/>
        </w:rPr>
        <w:t>1.2.3 理论意义</w:t>
      </w:r>
    </w:p>
    <w:p w14:paraId="16FFEB4E">
      <w:r>
        <w:rPr>
          <w:rFonts w:ascii="Times New Roman" w:hAnsi="Times New Roman" w:eastAsia="宋体" w:cs="Times New Roman"/>
          <w:b w:val="0"/>
          <w:color w:val="000000"/>
          <w:sz w:val="24"/>
        </w:rPr>
        <w:t>拓展城市代谢理论：把“计算需求驱动的物理资源流”作为城市代谢的新型节点，连接数字基础设施研究与城市水循环研究。</w:t>
      </w:r>
    </w:p>
    <w:p w14:paraId="141A194F">
      <w:r>
        <w:rPr>
          <w:rFonts w:ascii="宋体" w:hAnsi="宋体" w:eastAsia="宋体"/>
          <w:sz w:val="24"/>
        </w:rPr>
        <w:t>发展综合水系统模拟：在供水，用水，污水，再生水框架中显式区分Withdrawal、Consumption与Return Flow，并将水量、水质、储存和峰值服务纳入统一边界。</w:t>
      </w:r>
    </w:p>
    <w:p w14:paraId="087909F9">
      <w:r>
        <w:rPr>
          <w:rFonts w:ascii="Times New Roman" w:hAnsi="Times New Roman" w:eastAsia="宋体" w:cs="Times New Roman"/>
          <w:b w:val="0"/>
          <w:color w:val="000000"/>
          <w:sz w:val="24"/>
        </w:rPr>
        <w:t>深化承载力理论：把承载对象从人口或经济规模转化为可度量的AI IT容量，讨论资源量、基础设施能力和风险容忍共同形成的条件边界。</w:t>
      </w:r>
    </w:p>
    <w:p w14:paraId="78975824">
      <w:pPr>
        <w:pStyle w:val="18"/>
        <w:pageBreakBefore w:val="0"/>
      </w:pPr>
      <w:r>
        <w:rPr>
          <w:rFonts w:ascii="Times New Roman" w:hAnsi="Times New Roman" w:eastAsia="黑体" w:cs="Times New Roman"/>
          <w:b/>
          <w:color w:val="000000"/>
          <w:sz w:val="24"/>
        </w:rPr>
        <w:t>1.2.4 实践意义</w:t>
      </w:r>
    </w:p>
    <w:p w14:paraId="7287BCB4">
      <w:r>
        <w:rPr>
          <w:rFonts w:ascii="Times New Roman" w:hAnsi="Times New Roman" w:eastAsia="宋体" w:cs="Times New Roman"/>
          <w:b w:val="0"/>
          <w:color w:val="000000"/>
          <w:sz w:val="24"/>
        </w:rPr>
        <w:t>为地方政府提供算力项目与水资源、水务设施协同布局的分析框架，把年均资源量、峰值服务和基础设施余量纳入重大项目论证。</w:t>
      </w:r>
    </w:p>
    <w:p w14:paraId="1E68BFAE">
      <w:r>
        <w:rPr>
          <w:rFonts w:ascii="Times New Roman" w:hAnsi="Times New Roman" w:eastAsia="宋体" w:cs="Times New Roman"/>
          <w:b w:val="0"/>
          <w:color w:val="000000"/>
          <w:sz w:val="24"/>
        </w:rPr>
        <w:t>为数据中心规划者比较空气/液冷、干式/湿式排热、淡水/再生水配置的系统影响，识别节水措施可能造成的能耗或碳排放转移。</w:t>
      </w:r>
    </w:p>
    <w:p w14:paraId="2D1E0727">
      <w:r>
        <w:rPr>
          <w:rFonts w:ascii="Times New Roman" w:hAnsi="Times New Roman" w:eastAsia="宋体" w:cs="Times New Roman"/>
          <w:b w:val="0"/>
          <w:color w:val="000000"/>
          <w:sz w:val="24"/>
        </w:rPr>
        <w:t>为水务部门评估AI扩张对给水、污水、再生水处理和局部接入能力的增量压力，并判断扩容措施的有效区间。</w:t>
      </w:r>
    </w:p>
    <w:p w14:paraId="7FC8DEC8">
      <w:pPr>
        <w:pStyle w:val="17"/>
        <w:pageBreakBefore w:val="0"/>
      </w:pPr>
      <w:r>
        <w:rPr>
          <w:rFonts w:ascii="Times New Roman" w:hAnsi="Times New Roman" w:eastAsia="黑体" w:cs="Times New Roman"/>
          <w:b/>
          <w:color w:val="000000"/>
          <w:sz w:val="28"/>
        </w:rPr>
        <w:t>1.3 研究对象与核心概念</w:t>
      </w:r>
    </w:p>
    <w:p w14:paraId="2C14C67A">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4C6566E0">
      <w:pPr>
        <w:pStyle w:val="16"/>
        <w:pageBreakBefore/>
      </w:pPr>
      <w:bookmarkStart w:id="0" w:name="_GoBack"/>
      <w:bookmarkEnd w:id="0"/>
      <w:r>
        <w:rPr>
          <w:rFonts w:ascii="Times New Roman" w:hAnsi="Times New Roman" w:eastAsia="黑体" w:cs="Times New Roman"/>
          <w:b/>
          <w:color w:val="000000"/>
          <w:sz w:val="30"/>
        </w:rPr>
        <w:t>2 国内外研究现状及分析</w:t>
      </w:r>
    </w:p>
    <w:p w14:paraId="32B44F48">
      <w:pPr>
        <w:pStyle w:val="17"/>
        <w:pageBreakBefore w:val="0"/>
      </w:pPr>
      <w:r>
        <w:rPr>
          <w:rFonts w:ascii="Times New Roman" w:hAnsi="Times New Roman" w:eastAsia="黑体" w:cs="Times New Roman"/>
          <w:b/>
          <w:color w:val="000000"/>
          <w:sz w:val="28"/>
        </w:rPr>
        <w:t>2.1 国外研究现状</w:t>
      </w:r>
    </w:p>
    <w:p w14:paraId="6122C738">
      <w:pPr>
        <w:pStyle w:val="18"/>
        <w:pageBreakBefore w:val="0"/>
      </w:pPr>
      <w:r>
        <w:rPr>
          <w:rFonts w:ascii="Times New Roman" w:hAnsi="Times New Roman" w:eastAsia="黑体" w:cs="Times New Roman"/>
          <w:b/>
          <w:color w:val="000000"/>
          <w:sz w:val="24"/>
        </w:rPr>
        <w:t>2.1.1 城市代谢与综合城市水系统</w:t>
      </w:r>
    </w:p>
    <w:p w14:paraId="238F5590">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Times New Roman" w:hAnsi="Times New Roman"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Times New Roman" w:hAnsi="Times New Roman" w:eastAsia="宋体" w:cs="Times New Roman"/>
          <w:b w:val="0"/>
          <w:color w:val="000000"/>
          <w:sz w:val="24"/>
        </w:rPr>
        <w:t>。对于水系统而言，代谢视角的价值在于把供水、用水、污水、再生利用和环境排放放到同一张网络中，从而识别水量之外的路径结构。</w:t>
      </w:r>
    </w:p>
    <w:p w14:paraId="310EAC60">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Times New Roman" w:hAnsi="Times New Roman"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Times New Roman" w:hAnsi="Times New Roman"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Times New Roman" w:hAnsi="Times New Roman" w:eastAsia="宋体" w:cs="Times New Roman"/>
          <w:b w:val="0"/>
          <w:color w:val="000000"/>
          <w:sz w:val="24"/>
        </w:rPr>
        <w:t>。</w:t>
      </w:r>
    </w:p>
    <w:p w14:paraId="31CD2C75">
      <w:pPr>
        <w:pStyle w:val="18"/>
        <w:pageBreakBefore w:val="0"/>
      </w:pPr>
      <w:r>
        <w:rPr>
          <w:rFonts w:ascii="宋体" w:hAnsi="宋体" w:eastAsia="宋体"/>
          <w:sz w:val="24"/>
        </w:rPr>
        <w:t>2.1.2 城市水，能，碳关系</w:t>
      </w:r>
    </w:p>
    <w:p w14:paraId="7F077B82">
      <w:r>
        <w:rPr>
          <w:rFonts w:ascii="宋体" w:hAnsi="宋体"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r>
        <w:rPr>
          <w:rFonts w:ascii="Times New Roman" w:hAnsi="Times New Roman"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Times New Roman" w:hAnsi="Times New Roman" w:eastAsia="宋体" w:cs="Times New Roman"/>
          <w:b w:val="0"/>
          <w:color w:val="000000"/>
          <w:sz w:val="24"/>
        </w:rPr>
        <w:t>。</w:t>
      </w:r>
    </w:p>
    <w:p w14:paraId="28ACECCD">
      <w:pPr>
        <w:pStyle w:val="18"/>
        <w:pageBreakBefore w:val="0"/>
      </w:pPr>
      <w:r>
        <w:rPr>
          <w:rFonts w:ascii="Times New Roman" w:hAnsi="Times New Roman" w:eastAsia="黑体" w:cs="Times New Roman"/>
          <w:b/>
          <w:color w:val="000000"/>
          <w:sz w:val="24"/>
        </w:rPr>
        <w:t>2.1.3 AI与数据中心资源环境足迹</w:t>
      </w:r>
    </w:p>
    <w:p w14:paraId="58184674">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Times New Roman" w:hAnsi="Times New Roman" w:eastAsia="宋体" w:cs="Times New Roman"/>
          <w:b w:val="0"/>
          <w:color w:val="000000"/>
          <w:sz w:val="24"/>
        </w:rPr>
        <w:t>。</w:t>
      </w:r>
    </w:p>
    <w:p w14:paraId="504B5840">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Times New Roman" w:hAnsi="Times New Roman" w:eastAsia="宋体" w:cs="Times New Roman"/>
          <w:b w:val="0"/>
          <w:color w:val="000000"/>
          <w:sz w:val="24"/>
        </w:rPr>
        <w:t>。现有成果多以设施或区域足迹为终点，本研究拟继续追踪补水来源、排污去向、再生水竞争与城市设施余量。</w:t>
      </w:r>
    </w:p>
    <w:p w14:paraId="7C2AC68A">
      <w:r>
        <w:rPr>
          <w:rFonts w:ascii="宋体" w:hAnsi="宋体"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值得进一步研究的方向。</w:t>
      </w:r>
    </w:p>
    <w:p w14:paraId="4E28DE6E">
      <w:pPr>
        <w:pStyle w:val="18"/>
        <w:pageBreakBefore w:val="0"/>
      </w:pPr>
      <w:r>
        <w:rPr>
          <w:rFonts w:ascii="Times New Roman" w:hAnsi="Times New Roman" w:eastAsia="黑体" w:cs="Times New Roman"/>
          <w:b/>
          <w:color w:val="000000"/>
          <w:sz w:val="24"/>
        </w:rPr>
        <w:t>2.1.4 冷却与再生水工程</w:t>
      </w:r>
    </w:p>
    <w:p w14:paraId="2A312FA4">
      <w:r>
        <w:rPr>
          <w:rFonts w:ascii="Times New Roman" w:hAnsi="Times New Roman"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Times New Roman" w:hAnsi="Times New Roman"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Times New Roman" w:hAnsi="Times New Roman"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r>
        <w:rPr>
          <w:rFonts w:ascii="宋体" w:hAnsi="宋体"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18"/>
        <w:pageBreakBefore w:val="0"/>
      </w:pPr>
      <w:r>
        <w:rPr>
          <w:rFonts w:ascii="Times New Roman" w:hAnsi="Times New Roman" w:eastAsia="黑体" w:cs="Times New Roman"/>
          <w:b/>
          <w:color w:val="000000"/>
          <w:sz w:val="24"/>
        </w:rPr>
        <w:t>2.1.5 可靠性与不确定性决策方法</w:t>
      </w:r>
    </w:p>
    <w:p w14:paraId="2D0A84C4">
      <w:r>
        <w:rPr>
          <w:rFonts w:ascii="宋体" w:hAnsi="宋体"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可在此基础上展开。</w:t>
      </w:r>
    </w:p>
    <w:p w14:paraId="1B245A3B">
      <w:pPr>
        <w:pStyle w:val="17"/>
        <w:pageBreakBefore w:val="0"/>
      </w:pPr>
      <w:r>
        <w:rPr>
          <w:rFonts w:ascii="Times New Roman" w:hAnsi="Times New Roman" w:eastAsia="黑体" w:cs="Times New Roman"/>
          <w:b/>
          <w:color w:val="000000"/>
          <w:sz w:val="28"/>
        </w:rPr>
        <w:t>2.2 国内研究现状</w:t>
      </w:r>
    </w:p>
    <w:p w14:paraId="3C45FD8D">
      <w:r>
        <w:rPr>
          <w:rFonts w:ascii="Times New Roman" w:hAnsi="Times New Roman"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Times New Roman" w:hAnsi="Times New Roman"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Times New Roman" w:hAnsi="Times New Roman"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Times New Roman" w:hAnsi="Times New Roman"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Times New Roman" w:hAnsi="Times New Roman"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r>
        <w:rPr>
          <w:rFonts w:ascii="宋体" w:hAnsi="宋体"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将在这些基础上，以深度案例和外部城市锚点比较AI负荷引起的结构响应，而不以城市排名替代机制分析。</w:t>
      </w:r>
    </w:p>
    <w:p w14:paraId="2024C0AD">
      <w:r>
        <w:rPr>
          <w:rFonts w:ascii="Times New Roman" w:hAnsi="Times New Roman"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Times New Roman" w:hAnsi="Times New Roman"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17"/>
        <w:pageBreakBefore w:val="0"/>
      </w:pPr>
      <w:r>
        <w:rPr>
          <w:rFonts w:ascii="Times New Roman" w:hAnsi="Times New Roman" w:eastAsia="黑体" w:cs="Times New Roman"/>
          <w:b/>
          <w:color w:val="000000"/>
          <w:sz w:val="28"/>
        </w:rPr>
        <w:t>2.3 国内外文献综述简析</w:t>
      </w:r>
    </w:p>
    <w:p w14:paraId="75892E0C">
      <w: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r>
        <w:rPr>
          <w:rFonts w:ascii="宋体" w:hAnsi="宋体"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2E8E3F48">
      <w:pPr>
        <w:pStyle w:val="16"/>
        <w:pageBreakBefore/>
      </w:pPr>
      <w:r>
        <w:rPr>
          <w:rFonts w:ascii="Times New Roman" w:hAnsi="Times New Roman" w:eastAsia="黑体" w:cs="Times New Roman"/>
          <w:b/>
          <w:color w:val="000000"/>
          <w:sz w:val="30"/>
        </w:rPr>
        <w:t>3 主要内容及方案</w:t>
      </w:r>
    </w:p>
    <w:p w14:paraId="4ADB3769">
      <w:pPr>
        <w:pStyle w:val="17"/>
        <w:pageBreakBefore w:val="0"/>
      </w:pPr>
      <w:r>
        <w:rPr>
          <w:rFonts w:ascii="Times New Roman" w:hAnsi="Times New Roman" w:eastAsia="黑体" w:cs="Times New Roman"/>
          <w:b/>
          <w:color w:val="000000"/>
          <w:sz w:val="28"/>
        </w:rPr>
        <w:t>3.1 科学问题与研究假设</w:t>
      </w:r>
    </w:p>
    <w:p w14:paraId="247C0A66">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r>
        <w:rPr>
          <w:rFonts w:ascii="宋体" w:hAnsi="宋体"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r>
        <w:rPr>
          <w:rFonts w:ascii="宋体" w:hAnsi="宋体" w:eastAsia="宋体"/>
          <w:sz w:val="24"/>
        </w:rPr>
        <w:t>H1（代谢结构假设）：低AI负荷主要产生规模效应；当AI负荷接近关键设施剩余容量或改变水源配置时，淡水依赖、消耗，回流比例和再生水路径出现非线性结构变化。</w:t>
      </w:r>
    </w:p>
    <w:p w14:paraId="16B4A0CA">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17"/>
        <w:pageBreakBefore w:val="0"/>
      </w:pPr>
      <w:r>
        <w:rPr>
          <w:rFonts w:ascii="Times New Roman" w:hAnsi="Times New Roman" w:eastAsia="黑体" w:cs="Times New Roman"/>
          <w:b/>
          <w:color w:val="000000"/>
          <w:sz w:val="28"/>
        </w:rPr>
        <w:t>3.2 研究内容与总体框架</w:t>
      </w:r>
    </w:p>
    <w:p w14:paraId="5BE5642A">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pStyle w:val="20"/>
      </w:pPr>
      <w:r>
        <w:rPr>
          <w:rFonts w:ascii="Times New Roman" w:hAnsi="Times New Roman" w:eastAsia="宋体" w:cs="Times New Roman"/>
          <w:b w:val="0"/>
          <w:color w:val="000000"/>
          <w:sz w:val="24"/>
        </w:rPr>
        <w:t>表3-1 研究内容、核心任务与预期产出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7" w:type="dxa"/>
          </w:tcPr>
          <w:p w14:paraId="28EA782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研究内容</w:t>
            </w:r>
          </w:p>
        </w:tc>
        <w:tc>
          <w:tcPr>
            <w:tcW w:w="2267" w:type="dxa"/>
          </w:tcPr>
          <w:p w14:paraId="46D3E4E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核心任务</w:t>
            </w:r>
          </w:p>
        </w:tc>
        <w:tc>
          <w:tcPr>
            <w:tcW w:w="2267" w:type="dxa"/>
          </w:tcPr>
          <w:p w14:paraId="55C24A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拟回答的问题</w:t>
            </w:r>
          </w:p>
        </w:tc>
        <w:tc>
          <w:tcPr>
            <w:tcW w:w="2270" w:type="dxa"/>
          </w:tcPr>
          <w:p w14:paraId="04952F5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一、耦合模型</w:t>
            </w:r>
          </w:p>
        </w:tc>
        <w:tc>
          <w:tcPr>
            <w:tcW w:w="2267" w:type="dxa"/>
          </w:tcPr>
          <w:p w14:paraId="6CC6CE7C">
            <w:pPr>
              <w:keepNext w:val="0"/>
              <w:spacing w:before="40" w:after="40" w:line="360" w:lineRule="exact"/>
              <w:ind w:left="0" w:right="0" w:firstLine="0"/>
              <w:jc w:val="left"/>
              <w:rPr>
                <w:rFonts w:ascii="Times New Roman" w:hAnsi="Times New Roman" w:eastAsia="宋体"/>
              </w:rPr>
            </w:pPr>
            <w:r>
              <w:t>建立AI节点、城市水循环、水量水质守恒和参数证据库</w:t>
            </w:r>
          </w:p>
        </w:tc>
        <w:tc>
          <w:tcPr>
            <w:tcW w:w="2267" w:type="dxa"/>
          </w:tcPr>
          <w:p w14:paraId="7373FF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AI如何进入城市水流网络</w:t>
            </w:r>
          </w:p>
        </w:tc>
        <w:tc>
          <w:tcPr>
            <w:tcW w:w="2270" w:type="dxa"/>
          </w:tcPr>
          <w:p w14:paraId="471264C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二、代谢响应</w:t>
            </w:r>
          </w:p>
        </w:tc>
        <w:tc>
          <w:tcPr>
            <w:tcW w:w="2267" w:type="dxa"/>
          </w:tcPr>
          <w:p w14:paraId="3030DEF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容量梯度、冷却/水源对照、AI与普通工业对照</w:t>
            </w:r>
          </w:p>
        </w:tc>
        <w:tc>
          <w:tcPr>
            <w:tcW w:w="2267" w:type="dxa"/>
          </w:tcPr>
          <w:p w14:paraId="2253B6B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何时由规模效应转为结构重构</w:t>
            </w:r>
          </w:p>
        </w:tc>
        <w:tc>
          <w:tcPr>
            <w:tcW w:w="2270" w:type="dxa"/>
          </w:tcPr>
          <w:p w14:paraId="434A3E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三、承载边界</w:t>
            </w:r>
          </w:p>
        </w:tc>
        <w:tc>
          <w:tcPr>
            <w:tcW w:w="2267" w:type="dxa"/>
          </w:tcPr>
          <w:p w14:paraId="465881E0">
            <w:pPr>
              <w:keepNext w:val="0"/>
              <w:spacing w:before="40" w:after="40" w:line="360" w:lineRule="exact"/>
              <w:ind w:left="0" w:right="0" w:firstLine="0"/>
              <w:jc w:val="left"/>
              <w:rPr>
                <w:rFonts w:ascii="Times New Roman" w:hAnsi="Times New Roman" w:eastAsia="宋体"/>
              </w:rPr>
            </w:pPr>
            <w:r>
              <w:t>年均，日，小时、复合气候、CAWCC求解</w:t>
            </w:r>
          </w:p>
        </w:tc>
        <w:tc>
          <w:tcPr>
            <w:tcW w:w="2267" w:type="dxa"/>
          </w:tcPr>
          <w:p w14:paraId="4EC1BE6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平均与峰值边界为何不同</w:t>
            </w:r>
          </w:p>
        </w:tc>
        <w:tc>
          <w:tcPr>
            <w:tcW w:w="2270" w:type="dxa"/>
          </w:tcPr>
          <w:p w14:paraId="02621CA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四、瓶颈与干预</w:t>
            </w:r>
          </w:p>
        </w:tc>
        <w:tc>
          <w:tcPr>
            <w:tcW w:w="2267" w:type="dxa"/>
          </w:tcPr>
          <w:p w14:paraId="6AA3F71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约束转换、再生水边际收益、负担转移</w:t>
            </w:r>
          </w:p>
        </w:tc>
        <w:tc>
          <w:tcPr>
            <w:tcW w:w="2267" w:type="dxa"/>
          </w:tcPr>
          <w:p w14:paraId="26E4A2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什么措施在什么条件下有效</w:t>
            </w:r>
          </w:p>
        </w:tc>
        <w:tc>
          <w:tcPr>
            <w:tcW w:w="2270" w:type="dxa"/>
          </w:tcPr>
          <w:p w14:paraId="380A044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瓶颈图谱和规划建议</w:t>
            </w:r>
          </w:p>
        </w:tc>
      </w:tr>
    </w:tbl>
    <w:p w14:paraId="2C7C8C6C">
      <w:r>
        <w:rPr>
          <w:rFonts w:ascii="宋体" w:hAnsi="宋体"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r>
        <w:rPr>
          <w:rFonts w:ascii="宋体" w:hAnsi="宋体"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17"/>
        <w:pageBreakBefore w:val="0"/>
      </w:pPr>
      <w:r>
        <w:rPr>
          <w:rFonts w:ascii="Times New Roman" w:hAnsi="Times New Roman" w:eastAsia="黑体" w:cs="Times New Roman"/>
          <w:b/>
          <w:color w:val="000000"/>
          <w:sz w:val="28"/>
        </w:rPr>
        <w:t>3.3 总体技术路线</w:t>
      </w:r>
    </w:p>
    <w:p w14:paraId="59994E59">
      <w:r>
        <w:t>总体技术路线：证据审计→AI—城市水系统水量/水质闭合→连续参数空间采样→典型参数组合实验→CAWCC与瓶颈图谱→结构化干预和稳健性分析。</w:t>
      </w:r>
    </w:p>
    <w:p w14:paraId="5AC701E9">
      <w:r>
        <w:rPr>
          <w:rFonts w:ascii="宋体" w:hAnsi="宋体" w:eastAsia="宋体"/>
          <w:sz w:val="24"/>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21C6A845">
      <w:pPr>
        <w:pStyle w:val="17"/>
        <w:pageBreakBefore w:val="0"/>
      </w:pPr>
      <w:r>
        <w:rPr>
          <w:rFonts w:ascii="Times New Roman" w:hAnsi="Times New Roman" w:eastAsia="黑体" w:cs="Times New Roman"/>
          <w:b/>
          <w:color w:val="000000"/>
          <w:sz w:val="28"/>
        </w:rPr>
        <w:t>3.4 城市水系统边界与守恒关系</w:t>
      </w:r>
    </w:p>
    <w:p w14:paraId="0C71D5C1">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17"/>
        <w:pageBreakBefore w:val="0"/>
      </w:pPr>
      <w:r>
        <w:rPr>
          <w:rFonts w:ascii="Times New Roman" w:hAnsi="Times New Roman" w:eastAsia="黑体" w:cs="Times New Roman"/>
          <w:b/>
          <w:color w:val="000000"/>
          <w:sz w:val="28"/>
        </w:rPr>
        <w:t>3.5 AI设施过程模型</w:t>
      </w:r>
    </w:p>
    <w:p w14:paraId="0B355A8A">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17"/>
        <w:pageBreakBefore w:val="0"/>
      </w:pPr>
      <w:r>
        <w:rPr>
          <w:rFonts w:ascii="Times New Roman" w:hAnsi="Times New Roman" w:eastAsia="黑体" w:cs="Times New Roman"/>
          <w:b/>
          <w:color w:val="000000"/>
          <w:sz w:val="28"/>
        </w:rPr>
        <w:t>3.6 水源、再生水与分配机制</w:t>
      </w:r>
    </w:p>
    <w:p w14:paraId="4AEB99BC">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r>
        <w:rPr>
          <w:rFonts w:ascii="Times New Roman" w:hAnsi="Times New Roman"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w:t>
      </w:r>
    </w:p>
    <w:p w14:paraId="02B5BD9F">
      <w:pPr>
        <w:pStyle w:val="17"/>
        <w:pageBreakBefore w:val="0"/>
      </w:pPr>
      <w:r>
        <w:rPr>
          <w:rFonts w:ascii="Times New Roman" w:hAnsi="Times New Roman" w:eastAsia="黑体" w:cs="Times New Roman"/>
          <w:b/>
          <w:color w:val="000000"/>
          <w:sz w:val="28"/>
        </w:rPr>
        <w:t>3.7 代谢指标与对照设计</w:t>
      </w:r>
    </w:p>
    <w:p w14:paraId="060F00DD">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274CC47">
      <w:pPr>
        <w:pStyle w:val="17"/>
        <w:pageBreakBefore w:val="0"/>
      </w:pPr>
      <w:r>
        <w:rPr>
          <w:rFonts w:ascii="Times New Roman" w:hAnsi="Times New Roman" w:eastAsia="黑体" w:cs="Times New Roman"/>
          <w:b/>
          <w:color w:val="000000"/>
          <w:sz w:val="28"/>
        </w:rPr>
        <w:t>3.8 条件化承载边界求解</w:t>
      </w:r>
    </w:p>
    <w:p w14:paraId="5B229D3F">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17"/>
        <w:pageBreakBefore w:val="0"/>
      </w:pPr>
      <w:r>
        <w:rPr>
          <w:rFonts w:ascii="Times New Roman" w:hAnsi="Times New Roman" w:eastAsia="黑体" w:cs="Times New Roman"/>
          <w:b/>
          <w:color w:val="000000"/>
          <w:sz w:val="28"/>
        </w:rPr>
        <w:t>3.9 时间尺度、可靠性与复合压力</w:t>
      </w:r>
    </w:p>
    <w:p w14:paraId="6881E35B">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Times New Roman" w:hAnsi="Times New Roman"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Times New Roman" w:hAnsi="Times New Roman"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17"/>
        <w:pageBreakBefore w:val="0"/>
      </w:pPr>
      <w:r>
        <w:rPr>
          <w:rFonts w:ascii="Times New Roman" w:hAnsi="Times New Roman" w:eastAsia="黑体" w:cs="Times New Roman"/>
          <w:b/>
          <w:color w:val="000000"/>
          <w:sz w:val="28"/>
        </w:rPr>
        <w:t>3.10 不确定性与敏感性分析</w:t>
      </w:r>
    </w:p>
    <w:p w14:paraId="71A19BC2">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Times New Roman" w:hAnsi="Times New Roman"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Times New Roman" w:hAnsi="Times New Roman" w:eastAsia="宋体" w:cs="Times New Roman"/>
          <w:b w:val="0"/>
          <w:color w:val="000000"/>
          <w:sz w:val="24"/>
        </w:rPr>
        <w:t>。</w:t>
      </w:r>
    </w:p>
    <w:p w14:paraId="69A6066A">
      <w:pPr>
        <w:pStyle w:val="17"/>
        <w:pageBreakBefore w:val="0"/>
      </w:pPr>
      <w:r>
        <w:rPr>
          <w:rFonts w:ascii="Times New Roman" w:hAnsi="Times New Roman" w:eastAsia="黑体" w:cs="Times New Roman"/>
          <w:b/>
          <w:color w:val="000000"/>
          <w:sz w:val="28"/>
        </w:rPr>
        <w:t>3.11 数据方案与案例策略</w:t>
      </w:r>
    </w:p>
    <w:p w14:paraId="7C273DCE">
      <w:pPr>
        <w:pStyle w:val="20"/>
      </w:pPr>
      <w:r>
        <w:rPr>
          <w:rFonts w:ascii="Times New Roman" w:hAnsi="Times New Roman" w:eastAsia="宋体" w:cs="Times New Roman"/>
          <w:b w:val="0"/>
          <w:color w:val="000000"/>
          <w:sz w:val="24"/>
        </w:rPr>
        <w:t>表3-2 分层数据方案与证据用途</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数据层级</w:t>
            </w:r>
          </w:p>
        </w:tc>
        <w:tc>
          <w:tcPr>
            <w:tcW w:w="2267" w:type="dxa"/>
          </w:tcPr>
          <w:p w14:paraId="1E5EE68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数据内容</w:t>
            </w:r>
          </w:p>
        </w:tc>
        <w:tc>
          <w:tcPr>
            <w:tcW w:w="2267" w:type="dxa"/>
          </w:tcPr>
          <w:p w14:paraId="5D8EE9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获取与使用方式</w:t>
            </w:r>
          </w:p>
        </w:tc>
        <w:tc>
          <w:tcPr>
            <w:tcW w:w="2270" w:type="dxa"/>
          </w:tcPr>
          <w:p w14:paraId="5BE705B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r>
              <w:t>参数化系统输入</w:t>
            </w:r>
          </w:p>
        </w:tc>
        <w:tc>
          <w:tcPr>
            <w:tcW w:w="2267" w:type="dxa"/>
          </w:tcPr>
          <w:p w14:paraId="6DAC62C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连续日尺度供水、污水、再生水、气象及设施能力</w:t>
            </w:r>
          </w:p>
        </w:tc>
        <w:tc>
          <w:tcPr>
            <w:tcW w:w="2267" w:type="dxa"/>
          </w:tcPr>
          <w:p>
            <w:r>
              <w:t>公开统计、年报、公开统计、标准和工程文献；用于构造参数域和情景剖面</w:t>
            </w:r>
          </w:p>
        </w:tc>
        <w:tc>
          <w:tcPr>
            <w:tcW w:w="2270" w:type="dxa"/>
          </w:tcPr>
          <w:p w14:paraId="0091C42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r>
              <w:t>参数范围校核</w:t>
            </w:r>
          </w:p>
        </w:tc>
        <w:tc>
          <w:tcPr>
            <w:tcW w:w="2267" w:type="dxa"/>
          </w:tcPr>
          <w:p w14:paraId="77456FA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水资源禀赋、热环境、供排水能力、再生水利用和典型运行指标</w:t>
            </w:r>
          </w:p>
        </w:tc>
        <w:tc>
          <w:tcPr>
            <w:tcW w:w="2267" w:type="dxa"/>
          </w:tcPr>
          <w:p>
            <w:r>
              <w:t>公开资料和可比统计；用于检验参数范围与机制方向</w:t>
            </w:r>
          </w:p>
        </w:tc>
        <w:tc>
          <w:tcPr>
            <w:tcW w:w="2270" w:type="dxa"/>
          </w:tcPr>
          <w:p w14:paraId="176C408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工程与文献</w:t>
            </w:r>
          </w:p>
        </w:tc>
        <w:tc>
          <w:tcPr>
            <w:tcW w:w="2267" w:type="dxa"/>
          </w:tcPr>
          <w:p w14:paraId="23F154C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冷却架构、PUE、CoC、蒸发排污、水质和处理能耗</w:t>
            </w:r>
          </w:p>
        </w:tc>
        <w:tc>
          <w:tcPr>
            <w:tcW w:w="2267" w:type="dxa"/>
          </w:tcPr>
          <w:p w14:paraId="05CFC2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标准、工程文献、公开Benchmark</w:t>
            </w:r>
          </w:p>
        </w:tc>
        <w:tc>
          <w:tcPr>
            <w:tcW w:w="2270" w:type="dxa"/>
          </w:tcPr>
          <w:p w14:paraId="7188E11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敏感数据</w:t>
            </w:r>
          </w:p>
        </w:tc>
        <w:tc>
          <w:tcPr>
            <w:tcW w:w="2267" w:type="dxa"/>
          </w:tcPr>
          <w:p w14:paraId="7FB0C33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企业逐小时负载、用水、水质和局部接入</w:t>
            </w:r>
          </w:p>
        </w:tc>
        <w:tc>
          <w:tcPr>
            <w:tcW w:w="2267" w:type="dxa"/>
          </w:tcPr>
          <w:p w14:paraId="5155EB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若可获得则用于校核；否则使用区间与替代剖面</w:t>
            </w:r>
          </w:p>
        </w:tc>
        <w:tc>
          <w:tcPr>
            <w:tcW w:w="2270" w:type="dxa"/>
          </w:tcPr>
          <w:p w14:paraId="4183AF9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不作为模型成立的单一前提</w:t>
            </w:r>
          </w:p>
        </w:tc>
      </w:tr>
    </w:tbl>
    <w:p w14:paraId="2321CBE0">
      <w:pPr>
        <w:pStyle w:val="17"/>
        <w:pageBreakBefore w:val="0"/>
      </w:pPr>
      <w:r>
        <w:rPr>
          <w:rFonts w:ascii="Times New Roman" w:hAnsi="Times New Roman" w:eastAsia="黑体" w:cs="Times New Roman"/>
          <w:b/>
          <w:color w:val="000000"/>
          <w:sz w:val="28"/>
        </w:rPr>
        <w:t>3.12 模型验证与证据等级</w:t>
      </w:r>
    </w:p>
    <w:p w14:paraId="48E05256">
      <w:r>
        <w:t>模型验证包括五个层次：守恒关系与代码测试、过程基准对比、极限行为检验、参数合理性审计，以及在不同冷却方程、结构关系和约束优先级下的结构稳健性分析。</w:t>
      </w:r>
    </w:p>
    <w:p w14:paraId="6C7654AB">
      <w:r>
        <w:t>年均、日尺度和极端周剖面由文献与工程证据约束生成，用于系统压力实验；研究不依赖特定真实城市的时间序列拟合，结论限定在给定参数域和情景条件内。</w:t>
      </w:r>
    </w:p>
    <w:p w14:paraId="0E6BF485">
      <w:pPr>
        <w:pStyle w:val="17"/>
        <w:pageBreakBefore w:val="0"/>
      </w:pPr>
      <w:r>
        <w:rPr>
          <w:rFonts w:ascii="Times New Roman" w:hAnsi="Times New Roman" w:eastAsia="黑体" w:cs="Times New Roman"/>
          <w:b/>
          <w:color w:val="000000"/>
          <w:sz w:val="28"/>
        </w:rPr>
        <w:t>3.13 研究任务安排与优先级</w:t>
      </w:r>
    </w:p>
    <w:p w14:paraId="0BE58A48">
      <w:r>
        <w:rPr>
          <w:rFonts w:ascii="宋体" w:hAnsi="宋体" w:eastAsia="宋体"/>
          <w:sz w:val="24"/>
        </w:rPr>
        <w:t>硕士论文以四项任务形成闭合主线。第一优先级是AI-UWM物理闭合、代谢响应、时间尺度CAWCC和瓶颈转换；第二优先级是再生水边际收益与参数不确定性；在前两级形成稳定结果后，再拓展完整水质过程、水，能，碳比较和跨城市泛化。这样的安排使每一阶段都能产出科学结果，同时保留技术扩展的空间。</w:t>
      </w:r>
    </w:p>
    <w:p w14:paraId="0AFA45D0">
      <w:r>
        <w:t>研究以AI-UWM物理闭合、代谢响应、时间尺度承载边界与瓶颈迁移为核心任务。水—能—碳和成本比较作为参数化系统模拟的扩展分析，在核心模型稳定后开展。</w:t>
      </w:r>
    </w:p>
    <w:p w14:paraId="452A3B36">
      <w:pPr>
        <w:pStyle w:val="16"/>
        <w:pageBreakBefore/>
      </w:pPr>
      <w:r>
        <w:rPr>
          <w:rFonts w:ascii="Times New Roman" w:hAnsi="Times New Roman" w:eastAsia="黑体" w:cs="Times New Roman"/>
          <w:b/>
          <w:color w:val="000000"/>
          <w:sz w:val="30"/>
        </w:rPr>
        <w:t>4 预期达到的目标</w:t>
      </w:r>
    </w:p>
    <w:p w14:paraId="6966E2E1">
      <w:pPr>
        <w:pStyle w:val="17"/>
        <w:pageBreakBefore w:val="0"/>
      </w:pPr>
      <w:r>
        <w:rPr>
          <w:rFonts w:ascii="Times New Roman" w:hAnsi="Times New Roman" w:eastAsia="黑体" w:cs="Times New Roman"/>
          <w:b/>
          <w:color w:val="000000"/>
          <w:sz w:val="28"/>
        </w:rPr>
        <w:t>4.1 预期科学认识</w:t>
      </w:r>
    </w:p>
    <w:p w14:paraId="45EFBD85">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r>
        <w:rPr>
          <w:rFonts w:ascii="Times New Roman" w:hAnsi="Times New Roman" w:eastAsia="宋体" w:cs="Times New Roman"/>
          <w:b w:val="0"/>
          <w:color w:val="000000"/>
          <w:sz w:val="24"/>
        </w:rPr>
        <w:t>识别年均、日尺度和极端时段容量边界差异的控制因素，说明峰值重合和设施裕度在不同城市中的作用。</w:t>
      </w:r>
    </w:p>
    <w:p w14:paraId="685A141D">
      <w:r>
        <w:rPr>
          <w:rFonts w:ascii="宋体" w:hAnsi="宋体" w:eastAsia="宋体"/>
          <w:sz w:val="24"/>
        </w:rPr>
        <w:t>建立水源，给水，污水，再生水，接入约束的瓶颈转换条件，区分稳健主导区与竞争约束区。</w:t>
      </w:r>
    </w:p>
    <w:p w14:paraId="4B672CCD">
      <w:r>
        <w:rPr>
          <w:rFonts w:ascii="Times New Roman" w:hAnsi="Times New Roman" w:eastAsia="宋体" w:cs="Times New Roman"/>
          <w:b w:val="0"/>
          <w:color w:val="000000"/>
          <w:sz w:val="24"/>
        </w:rPr>
        <w:t>解释再生水扩容何时有效、何时受源量或水质等条件限制，并识别节水措施可能造成的能耗、碳排放或成本转移。</w:t>
      </w:r>
    </w:p>
    <w:p w14:paraId="6458820D">
      <w:pPr>
        <w:pStyle w:val="17"/>
        <w:pageBreakBefore w:val="0"/>
      </w:pPr>
      <w:r>
        <w:rPr>
          <w:rFonts w:ascii="Times New Roman" w:hAnsi="Times New Roman" w:eastAsia="黑体" w:cs="Times New Roman"/>
          <w:b/>
          <w:color w:val="000000"/>
          <w:sz w:val="28"/>
        </w:rPr>
        <w:t>4.2 预期创新</w:t>
      </w:r>
    </w:p>
    <w:p w14:paraId="0E1830DD">
      <w:r>
        <w:rPr>
          <w:rFonts w:ascii="宋体" w:hAnsi="宋体" w:eastAsia="宋体"/>
          <w:sz w:val="24"/>
        </w:rPr>
        <w:t>创新一（研究尺度）：把AI算力中心从设施水足迹研究中的“黑箱”转化为城市人工水系统中的可计算节点，建立从IT容量到给水，污水，再生水的水量水质闭合。</w:t>
      </w:r>
    </w:p>
    <w:p w14:paraId="7A224235">
      <w:r>
        <w:rPr>
          <w:rFonts w:ascii="宋体" w:hAnsi="宋体" w:eastAsia="宋体"/>
          <w:sz w:val="24"/>
        </w:rPr>
        <w:t>创新二（科学机制）：提出并检验“连续AI负荷，气候敏感冷却，城市峰值需求”共同形成时间尺度依赖承载边界的机制，解释相同年用水量为何产生不同峰值风险。</w:t>
      </w:r>
    </w:p>
    <w:p w14:paraId="1902F7F3">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17"/>
        <w:pageBreakBefore w:val="0"/>
      </w:pPr>
      <w:r>
        <w:rPr>
          <w:rFonts w:ascii="Times New Roman" w:hAnsi="Times New Roman" w:eastAsia="黑体" w:cs="Times New Roman"/>
          <w:b/>
          <w:color w:val="000000"/>
          <w:sz w:val="28"/>
        </w:rPr>
        <w:t>4.3 预期成果</w:t>
      </w:r>
    </w:p>
    <w:p w14:paraId="715FDCEE">
      <w:r>
        <w:rPr>
          <w:rFonts w:ascii="Times New Roman" w:hAnsi="Times New Roman" w:eastAsia="宋体" w:cs="Times New Roman"/>
          <w:b w:val="0"/>
          <w:color w:val="000000"/>
          <w:sz w:val="24"/>
        </w:rPr>
        <w:t>形成经过代码验证、过程Benchmark、独立时间验证和外部锚定的AI-UWM模型及版本化代码。</w:t>
      </w:r>
    </w:p>
    <w:p w14:paraId="6C4C6006">
      <w:r>
        <w:rPr>
          <w:rFonts w:ascii="宋体" w:hAnsi="宋体" w:eastAsia="宋体"/>
          <w:sz w:val="24"/>
        </w:rPr>
        <w:t>形成AI容量，代谢结构，分系统峰值压力响应面和适用参数域。</w:t>
      </w:r>
    </w:p>
    <w:p w14:paraId="22500872">
      <w:r>
        <w:rPr>
          <w:rFonts w:ascii="Times New Roman" w:hAnsi="Times New Roman" w:eastAsia="宋体" w:cs="Times New Roman"/>
          <w:b w:val="0"/>
          <w:color w:val="000000"/>
          <w:sz w:val="24"/>
        </w:rPr>
        <w:t>形成工程安全与风险条件下的CAWCC边界、边界提前量和瓶颈转换图谱。</w:t>
      </w:r>
    </w:p>
    <w:p w14:paraId="7D55109D">
      <w:r>
        <w:rPr>
          <w:rFonts w:ascii="Times New Roman" w:hAnsi="Times New Roman" w:eastAsia="宋体" w:cs="Times New Roman"/>
          <w:b w:val="0"/>
          <w:color w:val="000000"/>
          <w:sz w:val="24"/>
        </w:rPr>
        <w:t>发表围绕模型、时间尺度边界和瓶颈/干预机制的系列论文，提交数据字典、参数证据表和可重复运行脚本。</w:t>
      </w:r>
    </w:p>
    <w:p w14:paraId="5C893B0C">
      <w:pPr>
        <w:pStyle w:val="16"/>
        <w:pageBreakBefore w:val="0"/>
      </w:pPr>
      <w:r>
        <w:rPr>
          <w:rFonts w:ascii="Times New Roman" w:hAnsi="Times New Roman" w:eastAsia="黑体" w:cs="Times New Roman"/>
          <w:b/>
          <w:color w:val="000000"/>
          <w:sz w:val="30"/>
        </w:rPr>
        <w:t>5 已完成的学术研究工作</w:t>
      </w:r>
    </w:p>
    <w:p w14:paraId="43D9611B">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16"/>
        <w:pageBreakBefore w:val="0"/>
      </w:pPr>
      <w:r>
        <w:rPr>
          <w:rFonts w:ascii="Times New Roman" w:hAnsi="Times New Roman" w:eastAsia="黑体" w:cs="Times New Roman"/>
          <w:b/>
          <w:color w:val="000000"/>
          <w:sz w:val="30"/>
        </w:rPr>
        <w:t>6 进度安排</w:t>
      </w:r>
    </w:p>
    <w:p w14:paraId="607ECEE0">
      <w:pPr>
        <w:pStyle w:val="20"/>
      </w:pPr>
      <w:r>
        <w:rPr>
          <w:rFonts w:ascii="Times New Roman" w:hAnsi="Times New Roman" w:eastAsia="宋体" w:cs="Times New Roman"/>
          <w:b w:val="0"/>
          <w:color w:val="000000"/>
          <w:sz w:val="24"/>
        </w:rPr>
        <w:t>表6-1 研究阶段、主要工作与阶段产出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w:t>
            </w:r>
          </w:p>
        </w:tc>
        <w:tc>
          <w:tcPr>
            <w:tcW w:w="2267" w:type="dxa"/>
          </w:tcPr>
          <w:p w14:paraId="4999D5B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时间</w:t>
            </w:r>
          </w:p>
        </w:tc>
        <w:tc>
          <w:tcPr>
            <w:tcW w:w="2267" w:type="dxa"/>
          </w:tcPr>
          <w:p w14:paraId="14D57C1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主要工作</w:t>
            </w:r>
          </w:p>
        </w:tc>
        <w:tc>
          <w:tcPr>
            <w:tcW w:w="2270" w:type="dxa"/>
          </w:tcPr>
          <w:p w14:paraId="28CFA97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第一阶段</w:t>
            </w:r>
          </w:p>
        </w:tc>
        <w:tc>
          <w:tcPr>
            <w:tcW w:w="2267" w:type="dxa"/>
          </w:tcPr>
          <w:p w14:paraId="761470BB">
            <w:pPr>
              <w:keepNext w:val="0"/>
              <w:spacing w:before="40" w:after="40" w:line="360" w:lineRule="exact"/>
              <w:ind w:left="0" w:right="0" w:firstLine="0"/>
              <w:jc w:val="left"/>
              <w:rPr>
                <w:rFonts w:ascii="Times New Roman" w:hAnsi="Times New Roman" w:eastAsia="宋体"/>
              </w:rPr>
            </w:pPr>
            <w:r>
              <w:t>2026.09，2027.06</w:t>
            </w:r>
          </w:p>
        </w:tc>
        <w:tc>
          <w:tcPr>
            <w:tcW w:w="2267" w:type="dxa"/>
          </w:tcPr>
          <w:p w14:paraId="0347188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数据审计、案例筛选、文献综述、最小闭环、单元测试</w:t>
            </w:r>
          </w:p>
        </w:tc>
        <w:tc>
          <w:tcPr>
            <w:tcW w:w="2270" w:type="dxa"/>
          </w:tcPr>
          <w:p w14:paraId="53F4D34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第二阶段</w:t>
            </w:r>
          </w:p>
        </w:tc>
        <w:tc>
          <w:tcPr>
            <w:tcW w:w="2267" w:type="dxa"/>
          </w:tcPr>
          <w:p w14:paraId="0290DC2B">
            <w:pPr>
              <w:keepNext w:val="0"/>
              <w:spacing w:before="40" w:after="40" w:line="360" w:lineRule="exact"/>
              <w:ind w:left="0" w:right="0" w:firstLine="0"/>
              <w:jc w:val="left"/>
              <w:rPr>
                <w:rFonts w:ascii="Times New Roman" w:hAnsi="Times New Roman" w:eastAsia="宋体"/>
              </w:rPr>
            </w:pPr>
            <w:r>
              <w:t>2027.07，2028.03</w:t>
            </w:r>
          </w:p>
        </w:tc>
        <w:tc>
          <w:tcPr>
            <w:tcW w:w="2267" w:type="dxa"/>
          </w:tcPr>
          <w:p w14:paraId="7B6D2BF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深度案例校准、时间留出验证、外部锚点和对照实验</w:t>
            </w:r>
          </w:p>
        </w:tc>
        <w:tc>
          <w:tcPr>
            <w:tcW w:w="2270" w:type="dxa"/>
          </w:tcPr>
          <w:p w14:paraId="3B59D1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第三阶段</w:t>
            </w:r>
          </w:p>
        </w:tc>
        <w:tc>
          <w:tcPr>
            <w:tcW w:w="2267" w:type="dxa"/>
          </w:tcPr>
          <w:p w14:paraId="3E6EA77E">
            <w:pPr>
              <w:keepNext w:val="0"/>
              <w:spacing w:before="40" w:after="40" w:line="360" w:lineRule="exact"/>
              <w:ind w:left="0" w:right="0" w:firstLine="0"/>
              <w:jc w:val="left"/>
              <w:rPr>
                <w:rFonts w:ascii="Times New Roman" w:hAnsi="Times New Roman" w:eastAsia="宋体"/>
              </w:rPr>
            </w:pPr>
            <w:r>
              <w:t>2028.04，2028.12</w:t>
            </w:r>
          </w:p>
        </w:tc>
        <w:tc>
          <w:tcPr>
            <w:tcW w:w="2267" w:type="dxa"/>
          </w:tcPr>
          <w:p w14:paraId="2CE8E214">
            <w:pPr>
              <w:keepNext w:val="0"/>
              <w:spacing w:before="40" w:after="40" w:line="360" w:lineRule="exact"/>
              <w:ind w:left="0" w:right="0" w:firstLine="0"/>
              <w:jc w:val="left"/>
              <w:rPr>
                <w:rFonts w:ascii="Times New Roman" w:hAnsi="Times New Roman" w:eastAsia="宋体"/>
              </w:rPr>
            </w:pPr>
            <w:r>
              <w:t>年均，日，小时比较、高温干旱复合压力、CAWCC</w:t>
            </w:r>
          </w:p>
        </w:tc>
        <w:tc>
          <w:tcPr>
            <w:tcW w:w="2270" w:type="dxa"/>
          </w:tcPr>
          <w:p w14:paraId="7A1112E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第四阶段</w:t>
            </w:r>
          </w:p>
        </w:tc>
        <w:tc>
          <w:tcPr>
            <w:tcW w:w="2267" w:type="dxa"/>
          </w:tcPr>
          <w:p w14:paraId="42066DAE">
            <w:pPr>
              <w:keepNext w:val="0"/>
              <w:spacing w:before="40" w:after="40" w:line="360" w:lineRule="exact"/>
              <w:ind w:left="0" w:right="0" w:firstLine="0"/>
              <w:jc w:val="left"/>
              <w:rPr>
                <w:rFonts w:ascii="Times New Roman" w:hAnsi="Times New Roman" w:eastAsia="宋体"/>
              </w:rPr>
            </w:pPr>
            <w:r>
              <w:t>2029.01，2029.09</w:t>
            </w:r>
          </w:p>
        </w:tc>
        <w:tc>
          <w:tcPr>
            <w:tcW w:w="2267" w:type="dxa"/>
          </w:tcPr>
          <w:p w14:paraId="7FD01A7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不确定性、瓶颈转换、再生水和设施干预</w:t>
            </w:r>
          </w:p>
        </w:tc>
        <w:tc>
          <w:tcPr>
            <w:tcW w:w="2270" w:type="dxa"/>
          </w:tcPr>
          <w:p w14:paraId="7DD53A5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第五阶段</w:t>
            </w:r>
          </w:p>
        </w:tc>
        <w:tc>
          <w:tcPr>
            <w:tcW w:w="2267" w:type="dxa"/>
          </w:tcPr>
          <w:p w14:paraId="58F5542F">
            <w:pPr>
              <w:keepNext w:val="0"/>
              <w:spacing w:before="40" w:after="40" w:line="360" w:lineRule="exact"/>
              <w:ind w:left="0" w:right="0" w:firstLine="0"/>
              <w:jc w:val="left"/>
              <w:rPr>
                <w:rFonts w:ascii="Times New Roman" w:hAnsi="Times New Roman" w:eastAsia="宋体"/>
              </w:rPr>
            </w:pPr>
            <w:r>
              <w:t>2029.10，2030.06</w:t>
            </w:r>
          </w:p>
        </w:tc>
        <w:tc>
          <w:tcPr>
            <w:tcW w:w="2267" w:type="dxa"/>
          </w:tcPr>
          <w:p w14:paraId="23C6EEF4">
            <w:pPr>
              <w:keepNext w:val="0"/>
              <w:spacing w:before="40" w:after="40" w:line="360" w:lineRule="exact"/>
              <w:ind w:left="0" w:right="0" w:firstLine="0"/>
              <w:jc w:val="left"/>
              <w:rPr>
                <w:rFonts w:ascii="Times New Roman" w:hAnsi="Times New Roman" w:eastAsia="宋体"/>
              </w:rPr>
            </w:pPr>
            <w:r>
              <w:t>固定容量水，能，碳比较、论文整合、预答辩与送审</w:t>
            </w:r>
          </w:p>
        </w:tc>
        <w:tc>
          <w:tcPr>
            <w:tcW w:w="2270" w:type="dxa"/>
          </w:tcPr>
          <w:p w14:paraId="1E03C4FA">
            <w:pPr>
              <w:keepNext w:val="0"/>
              <w:spacing w:before="40" w:after="40" w:line="360" w:lineRule="exact"/>
              <w:ind w:left="0" w:right="0" w:firstLine="0"/>
              <w:jc w:val="left"/>
              <w:rPr>
                <w:rFonts w:ascii="Times New Roman" w:hAnsi="Times New Roman" w:eastAsia="宋体"/>
              </w:rPr>
            </w:pPr>
            <w:r>
              <w:rPr>
                <w:rFonts w:hint="eastAsia" w:cs="Times New Roman"/>
                <w:b w:val="0"/>
                <w:color w:val="000000"/>
                <w:sz w:val="24"/>
                <w:lang w:eastAsia="zh-CN"/>
              </w:rPr>
              <w:t>硕士</w:t>
            </w:r>
            <w:r>
              <w:rPr>
                <w:rFonts w:ascii="Times New Roman" w:hAnsi="Times New Roman" w:eastAsia="宋体" w:cs="Times New Roman"/>
                <w:b w:val="0"/>
                <w:color w:val="000000"/>
                <w:sz w:val="24"/>
              </w:rPr>
              <w:t>论文、代码和数据治理文档</w:t>
            </w:r>
          </w:p>
        </w:tc>
      </w:tr>
    </w:tbl>
    <w:p w14:paraId="3F5C3547">
      <w:pPr>
        <w:pStyle w:val="16"/>
        <w:pageBreakBefore w:val="0"/>
      </w:pPr>
      <w:r>
        <w:rPr>
          <w:rFonts w:ascii="Times New Roman" w:hAnsi="Times New Roman" w:eastAsia="黑体" w:cs="Times New Roman"/>
          <w:b/>
          <w:color w:val="000000"/>
          <w:sz w:val="30"/>
        </w:rPr>
        <w:t>7 为完成课题所需的条件</w:t>
      </w:r>
    </w:p>
    <w:p w14:paraId="1C3F9983">
      <w:pPr>
        <w:pStyle w:val="17"/>
        <w:pageBreakBefore w:val="0"/>
      </w:pPr>
      <w:r>
        <w:rPr>
          <w:rFonts w:ascii="Times New Roman" w:hAnsi="Times New Roman" w:eastAsia="黑体" w:cs="Times New Roman"/>
          <w:b/>
          <w:color w:val="000000"/>
          <w:sz w:val="28"/>
        </w:rPr>
        <w:t>7.1 理论、数据与计算条件</w:t>
      </w:r>
    </w:p>
    <w:p w14:paraId="57D6C175">
      <w:r>
        <w:rPr>
          <w:rFonts w:ascii="Times New Roman" w:hAnsi="Times New Roman" w:eastAsia="宋体" w:cs="Times New Roman"/>
          <w:b w:val="0"/>
          <w:color w:val="000000"/>
          <w:sz w:val="24"/>
        </w:rPr>
        <w:t>理论可行性：城市代谢、综合水系统、数据中心冷却和可靠性评价已有成熟理论接口，本研究的增量在于耦合和机制解释。</w:t>
      </w:r>
    </w:p>
    <w:p w14:paraId="7B04E49A">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r>
        <w:rPr>
          <w:rFonts w:ascii="Times New Roman" w:hAnsi="Times New Roman" w:eastAsia="宋体" w:cs="Times New Roman"/>
          <w:b w:val="0"/>
          <w:color w:val="000000"/>
          <w:sz w:val="24"/>
        </w:rPr>
        <w:t>计算可行性：模型按模块开发，优先在边界附近计算；高维敏感性分析只对证据充分的变量实施。</w:t>
      </w:r>
    </w:p>
    <w:p w14:paraId="4CB28AC8">
      <w:r>
        <w:rPr>
          <w:rFonts w:ascii="宋体" w:hAnsi="宋体" w:eastAsia="宋体"/>
          <w:sz w:val="24"/>
        </w:rPr>
        <w:t>论文可行性：模型建立、代谢响应、承载边界、瓶颈与干预四部分具有相对独立的研究问题，可形成连续论文产出。</w:t>
      </w:r>
    </w:p>
    <w:p w14:paraId="7348F27D">
      <w:r>
        <w:t>模型实施重点包括证据更新、典型参数组合生成、压力剖面构造、重复采样和版本化复现。</w:t>
      </w:r>
    </w:p>
    <w:p w14:paraId="0A8D2CAA">
      <w:pPr>
        <w:pStyle w:val="17"/>
        <w:pageBreakBefore w:val="0"/>
      </w:pPr>
      <w:r>
        <w:rPr>
          <w:rFonts w:ascii="Times New Roman" w:hAnsi="Times New Roman" w:eastAsia="黑体" w:cs="Times New Roman"/>
          <w:b/>
          <w:color w:val="000000"/>
          <w:sz w:val="28"/>
        </w:rPr>
        <w:t>7.2 研究组织与成果管理</w:t>
      </w:r>
    </w:p>
    <w:p w14:paraId="5CD7E6B5">
      <w:r>
        <w:rPr>
          <w:rFonts w:ascii="Times New Roman" w:hAnsi="Times New Roman"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16"/>
        <w:pageBreakBefore w:val="0"/>
      </w:pPr>
      <w:r>
        <w:rPr>
          <w:rFonts w:ascii="Times New Roman" w:hAnsi="Times New Roman" w:eastAsia="黑体" w:cs="Times New Roman"/>
          <w:b/>
          <w:color w:val="000000"/>
          <w:sz w:val="30"/>
        </w:rPr>
        <w:t>8 研究过程中可能遇到的问题及解决措施</w:t>
      </w:r>
    </w:p>
    <w:p w14:paraId="42EC31FE">
      <w:pPr>
        <w:pStyle w:val="20"/>
      </w:pPr>
      <w:r>
        <w:rPr>
          <w:rFonts w:ascii="Times New Roman" w:hAnsi="Times New Roman" w:eastAsia="宋体" w:cs="Times New Roman"/>
          <w:b w:val="0"/>
          <w:color w:val="000000"/>
          <w:sz w:val="24"/>
        </w:rPr>
        <w:t>表8-1 关键难点、研究影响与解决路径</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难点</w:t>
            </w:r>
          </w:p>
        </w:tc>
        <w:tc>
          <w:tcPr>
            <w:tcW w:w="3023" w:type="dxa"/>
          </w:tcPr>
          <w:p w14:paraId="20AD098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可能后果</w:t>
            </w:r>
          </w:p>
        </w:tc>
        <w:tc>
          <w:tcPr>
            <w:tcW w:w="3025" w:type="dxa"/>
          </w:tcPr>
          <w:p w14:paraId="0E75BAA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AI运行数据不足</w:t>
            </w:r>
          </w:p>
        </w:tc>
        <w:tc>
          <w:tcPr>
            <w:tcW w:w="3023" w:type="dxa"/>
          </w:tcPr>
          <w:p w14:paraId="31ED21B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难以校准逐小时负荷和水耗</w:t>
            </w:r>
          </w:p>
        </w:tc>
        <w:tc>
          <w:tcPr>
            <w:tcW w:w="3025" w:type="dxa"/>
          </w:tcPr>
          <w:p w14:paraId="1E76CBE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水量与水质耦合复杂</w:t>
            </w:r>
          </w:p>
        </w:tc>
        <w:tc>
          <w:tcPr>
            <w:tcW w:w="3023" w:type="dxa"/>
          </w:tcPr>
          <w:p w14:paraId="6C297C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水量余量掩盖水质失效</w:t>
            </w:r>
          </w:p>
        </w:tc>
        <w:tc>
          <w:tcPr>
            <w:tcW w:w="3025" w:type="dxa"/>
          </w:tcPr>
          <w:p w14:paraId="160877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反馈导致可行域非单调</w:t>
            </w:r>
          </w:p>
        </w:tc>
        <w:tc>
          <w:tcPr>
            <w:tcW w:w="3023" w:type="dxa"/>
          </w:tcPr>
          <w:p w14:paraId="244B3DF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只报告最大值会掩盖中间失效</w:t>
            </w:r>
          </w:p>
        </w:tc>
        <w:tc>
          <w:tcPr>
            <w:tcW w:w="3025" w:type="dxa"/>
          </w:tcPr>
          <w:p w14:paraId="11567EA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城市间可比性不足</w:t>
            </w:r>
          </w:p>
        </w:tc>
        <w:tc>
          <w:tcPr>
            <w:tcW w:w="3023" w:type="dxa"/>
          </w:tcPr>
          <w:p w14:paraId="7718DA5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跨城市结论被过度外推</w:t>
            </w:r>
          </w:p>
        </w:tc>
        <w:tc>
          <w:tcPr>
            <w:tcW w:w="3025" w:type="dxa"/>
          </w:tcPr>
          <w:p w14:paraId="38E5962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使用无量纲裕度和适用参数域，外部锚点只承担方向核验</w:t>
            </w:r>
          </w:p>
        </w:tc>
      </w:tr>
    </w:tbl>
    <w:p w14:paraId="4ED0A000">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0BE3BC36">
      <w:pPr>
        <w:pStyle w:val="16"/>
        <w:pageBreakBefore/>
      </w:pPr>
      <w:r>
        <w:rPr>
          <w:rFonts w:ascii="Times New Roman" w:hAnsi="Times New Roman" w:eastAsia="黑体" w:cs="Times New Roman"/>
          <w:b/>
          <w:color w:val="000000"/>
          <w:sz w:val="30"/>
        </w:rPr>
        <w:t>9 参考文献</w:t>
      </w:r>
    </w:p>
    <w:p w14:paraId="2DA2B94E">
      <w:pPr>
        <w:pStyle w:val="19"/>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pStyle w:val="19"/>
      </w:pPr>
      <w:r>
        <w:rPr>
          <w:rFonts w:ascii="Times New Roman" w:hAnsi="Times New Roman" w:eastAsia="宋体" w:cs="Times New Roman"/>
          <w:b w:val="0"/>
          <w:color w:val="000000"/>
          <w:sz w:val="24"/>
        </w:rPr>
        <w:t>[2] International Energy Agency. Key Questions on Energy and AI[R]. Paris: IEA, 2026.</w:t>
      </w:r>
    </w:p>
    <w:p w14:paraId="079E8635">
      <w:pPr>
        <w:pStyle w:val="19"/>
      </w:pPr>
      <w:r>
        <w:rPr>
          <w:rFonts w:ascii="Times New Roman" w:hAnsi="Times New Roman" w:eastAsia="宋体" w:cs="Times New Roman"/>
          <w:b w:val="0"/>
          <w:color w:val="000000"/>
          <w:sz w:val="24"/>
        </w:rPr>
        <w:t>[3] International Energy Agency. Energy and AI[R]. Paris: IEA, 2025.</w:t>
      </w:r>
    </w:p>
    <w:p w14:paraId="331827A7">
      <w:pPr>
        <w:pStyle w:val="19"/>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pStyle w:val="19"/>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pStyle w:val="19"/>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pStyle w:val="19"/>
      </w:pPr>
      <w:r>
        <w:rPr>
          <w:rFonts w:ascii="Times New Roman" w:hAnsi="Times New Roman" w:eastAsia="宋体" w:cs="Times New Roman"/>
          <w:b w:val="0"/>
          <w:color w:val="000000"/>
          <w:sz w:val="24"/>
        </w:rPr>
        <w:t>[7] Mytton D. Data centre water consumption[J]. npj Clean Water, 2021, 4: 11. DOI: 10.1038/s41545-021-00101-w.</w:t>
      </w:r>
    </w:p>
    <w:p w14:paraId="1CD19AFB">
      <w:pPr>
        <w:pStyle w:val="19"/>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pStyle w:val="19"/>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pStyle w:val="19"/>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pStyle w:val="19"/>
      </w:pPr>
      <w:r>
        <w:rPr>
          <w:rFonts w:ascii="Times New Roman" w:hAnsi="Times New Roman" w:eastAsia="宋体" w:cs="Times New Roman"/>
          <w:b w:val="0"/>
          <w:color w:val="000000"/>
          <w:sz w:val="24"/>
        </w:rPr>
        <w:t>[11] 北京市水务局. 北京市水资源公报（2024年度）[R]. 2025. https://swj.beijing.gov.cn/zwgk/szygb/</w:t>
      </w:r>
    </w:p>
    <w:p w14:paraId="1F92EC81">
      <w:pPr>
        <w:pStyle w:val="19"/>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pStyle w:val="19"/>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pStyle w:val="19"/>
      </w:pPr>
      <w:r>
        <w:rPr>
          <w:rFonts w:ascii="Times New Roman" w:hAnsi="Times New Roman" w:eastAsia="宋体" w:cs="Times New Roman"/>
          <w:b w:val="0"/>
          <w:color w:val="000000"/>
          <w:sz w:val="24"/>
        </w:rPr>
        <w:t>[14] 贵州省水利厅. 2024年贵州省水资源公报[R]. 2026. https://gzswj.guizhou.gov.cn/swyw/szy/</w:t>
      </w:r>
    </w:p>
    <w:p w14:paraId="4D0D1697">
      <w:pPr>
        <w:pStyle w:val="19"/>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pStyle w:val="19"/>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pStyle w:val="19"/>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pStyle w:val="19"/>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pStyle w:val="19"/>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pStyle w:val="19"/>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pStyle w:val="19"/>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pStyle w:val="19"/>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pStyle w:val="19"/>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pStyle w:val="19"/>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pStyle w:val="19"/>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pStyle w:val="19"/>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pStyle w:val="19"/>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pStyle w:val="19"/>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pStyle w:val="19"/>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pStyle w:val="19"/>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pStyle w:val="19"/>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pStyle w:val="19"/>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pStyle w:val="19"/>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pStyle w:val="19"/>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pStyle w:val="19"/>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pStyle w:val="19"/>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pStyle w:val="19"/>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pStyle w:val="19"/>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pStyle w:val="19"/>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pStyle w:val="19"/>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pStyle w:val="19"/>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pStyle w:val="19"/>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pStyle w:val="19"/>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pStyle w:val="19"/>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pStyle w:val="19"/>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pStyle w:val="19"/>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pStyle w:val="19"/>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pStyle w:val="19"/>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pStyle w:val="19"/>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pStyle w:val="19"/>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pStyle w:val="19"/>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pStyle w:val="19"/>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pStyle w:val="19"/>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pStyle w:val="19"/>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pStyle w:val="19"/>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pStyle w:val="19"/>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pStyle w:val="19"/>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pStyle w:val="19"/>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pStyle w:val="19"/>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pStyle w:val="19"/>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pStyle w:val="19"/>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pStyle w:val="19"/>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pStyle w:val="19"/>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pStyle w:val="19"/>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pStyle w:val="19"/>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pStyle w:val="19"/>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pStyle w:val="19"/>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pStyle w:val="19"/>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pStyle w:val="19"/>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pStyle w:val="19"/>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pStyle w:val="19"/>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pStyle w:val="19"/>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pStyle w:val="19"/>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pStyle w:val="19"/>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pStyle w:val="19"/>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pStyle w:val="19"/>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pStyle w:val="19"/>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pStyle w:val="19"/>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pStyle w:val="19"/>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pStyle w:val="19"/>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pStyle w:val="19"/>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pStyle w:val="19"/>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pStyle w:val="19"/>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pStyle w:val="19"/>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pStyle w:val="19"/>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pStyle w:val="19"/>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pStyle w:val="19"/>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pStyle w:val="19"/>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5AEF3B65">
      <w:pPr>
        <w:pStyle w:val="19"/>
        <w:ind w:left="420" w:hanging="420"/>
      </w:pPr>
      <w:r>
        <w:t>[90] Pearl J. Causal inference in statistics: An overview[J]. Statistics Surveys, 2010, 3: 96-146. DOI: 10.1214/09-SS057.</w:t>
      </w:r>
    </w:p>
    <w:p w14:paraId="7FF9A9B8">
      <w:pPr>
        <w:pStyle w:val="19"/>
        <w:ind w:left="420" w:hanging="420"/>
      </w:pPr>
      <w:r>
        <w:t>[91] Pearl J. Causal diagrams for empirical research[J]. Biometrika, 1995, 82(4): 669-688. DOI: 10.1093/biomet/82.4.669.</w:t>
      </w:r>
    </w:p>
    <w:p w14:paraId="3DF8D7DC">
      <w:pPr>
        <w:pStyle w:val="19"/>
        <w:ind w:left="420" w:hanging="420"/>
      </w:pPr>
      <w:r>
        <w:t>[92] Hernán M A, Robins J M. Causal Inference: What If[M]. Boca Raton: Chapman &amp; Hall/CRC, 2020.</w:t>
      </w:r>
    </w:p>
    <w:p w14:paraId="7F710B3E">
      <w:pPr>
        <w:pStyle w:val="19"/>
        <w:ind w:left="420" w:hanging="420"/>
      </w:pPr>
      <w:r>
        <w:t>[93] Imai K, Keele L, Tingley D. A general approach to causal mediation analysis[J]. Psychological Methods, 2010, 15(4): 309-334. DOI: 10.1037/a0020761.</w:t>
      </w:r>
    </w:p>
    <w:p w14:paraId="585C9F03">
      <w:pPr>
        <w:pStyle w:val="19"/>
        <w:ind w:left="420" w:hanging="420"/>
      </w:pPr>
      <w:r>
        <w:t>[94] VanderWeele T J. Explanation in Causal Inference: Methods for Mediation and Interaction[M]. New York: Oxford University Press, 2015.</w:t>
      </w:r>
    </w:p>
    <w:p w14:paraId="33DF674C">
      <w:pPr>
        <w:pStyle w:val="19"/>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sectPr>
      <w:headerReference r:id="rId7" w:type="default"/>
      <w:footerReference r:id="rId8" w:type="default"/>
      <w:pgSz w:w="11907" w:h="16840"/>
      <w:pgMar w:top="1418" w:right="1418" w:bottom="1247" w:left="1418"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27E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BE6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24245A28"/>
    <w:rsid w:val="3A4F678F"/>
    <w:rsid w:val="40D53766"/>
    <w:rsid w:val="412169AB"/>
    <w:rsid w:val="4D1063BF"/>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430" w:lineRule="exact"/>
      <w:ind w:firstLine="480"/>
      <w:jc w:val="both"/>
    </w:pPr>
    <w:rPr>
      <w:rFonts w:ascii="Times New Roman" w:hAnsi="Times New Roman" w:eastAsia="宋体" w:cs="Times New Roman"/>
      <w:color w:val="000000"/>
      <w:kern w:val="2"/>
      <w:sz w:val="24"/>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2"/>
    <w:uiPriority w:val="0"/>
    <w:pPr>
      <w:ind w:left="360" w:hanging="360"/>
    </w:pPr>
  </w:style>
  <w:style w:type="paragraph" w:styleId="3">
    <w:name w:val="Plain Text"/>
    <w:basedOn w:val="1"/>
    <w:link w:val="14"/>
    <w:uiPriority w:val="0"/>
    <w:rPr>
      <w:rFonts w:ascii="宋体" w:hAnsi="Courier New"/>
    </w:rPr>
  </w:style>
  <w:style w:type="paragraph" w:styleId="4">
    <w:name w:val="Body Text Indent 2"/>
    <w:basedOn w:val="1"/>
    <w:link w:val="13"/>
    <w:uiPriority w:val="0"/>
    <w:pPr>
      <w:ind w:left="420" w:hanging="420"/>
    </w:pPr>
  </w:style>
  <w:style w:type="paragraph" w:styleId="5">
    <w:name w:val="Balloon Text"/>
    <w:basedOn w:val="1"/>
    <w:link w:val="15"/>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正文文本缩进 字符"/>
    <w:basedOn w:val="9"/>
    <w:link w:val="2"/>
    <w:uiPriority w:val="0"/>
    <w:rPr>
      <w:rFonts w:ascii="Times New Roman" w:hAnsi="Times New Roman" w:eastAsia="宋体" w:cs="Times New Roman"/>
      <w:szCs w:val="20"/>
    </w:rPr>
  </w:style>
  <w:style w:type="character" w:customStyle="1" w:styleId="13">
    <w:name w:val="正文文本缩进 2 字符"/>
    <w:basedOn w:val="9"/>
    <w:link w:val="4"/>
    <w:uiPriority w:val="0"/>
    <w:rPr>
      <w:rFonts w:ascii="Times New Roman" w:hAnsi="Times New Roman" w:eastAsia="宋体" w:cs="Times New Roman"/>
      <w:szCs w:val="20"/>
    </w:rPr>
  </w:style>
  <w:style w:type="character" w:customStyle="1" w:styleId="14">
    <w:name w:val="纯文本 字符"/>
    <w:basedOn w:val="9"/>
    <w:link w:val="3"/>
    <w:uiPriority w:val="0"/>
    <w:rPr>
      <w:rFonts w:ascii="宋体" w:hAnsi="Courier New" w:eastAsia="宋体" w:cs="Times New Roman"/>
      <w:szCs w:val="20"/>
    </w:rPr>
  </w:style>
  <w:style w:type="character" w:customStyle="1" w:styleId="15">
    <w:name w:val="批注框文本 字符"/>
    <w:basedOn w:val="9"/>
    <w:link w:val="5"/>
    <w:semiHidden/>
    <w:uiPriority w:val="99"/>
    <w:rPr>
      <w:rFonts w:ascii="Times New Roman" w:hAnsi="Times New Roman" w:eastAsia="宋体" w:cs="Times New Roman"/>
      <w:sz w:val="18"/>
      <w:szCs w:val="18"/>
    </w:rPr>
  </w:style>
  <w:style w:type="paragraph" w:customStyle="1" w:styleId="16">
    <w:name w:val="heading 1"/>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30"/>
    </w:rPr>
  </w:style>
  <w:style w:type="paragraph" w:customStyle="1" w:styleId="17">
    <w:name w:val="heading 2"/>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28"/>
    </w:rPr>
  </w:style>
  <w:style w:type="paragraph" w:customStyle="1" w:styleId="18">
    <w:name w:val="heading 3"/>
    <w:uiPriority w:val="0"/>
    <w:pPr>
      <w:keepNext/>
      <w:pageBreakBefore w:val="0"/>
      <w:widowControl/>
      <w:spacing w:before="0" w:after="0" w:line="430" w:lineRule="exact"/>
      <w:ind w:firstLine="0"/>
      <w:jc w:val="left"/>
    </w:pPr>
    <w:rPr>
      <w:rFonts w:ascii="Times New Roman" w:hAnsi="Times New Roman" w:eastAsia="黑体" w:cstheme="minorBidi"/>
      <w:b/>
      <w:color w:val="000000"/>
      <w:sz w:val="24"/>
    </w:rPr>
  </w:style>
  <w:style w:type="paragraph" w:customStyle="1" w:styleId="19">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0">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1">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14497</Words>
  <Characters>30885</Characters>
  <Lines>11</Lines>
  <Paragraphs>3</Paragraphs>
  <TotalTime>49</TotalTime>
  <ScaleCrop>false</ScaleCrop>
  <LinksUpToDate>false</LinksUpToDate>
  <CharactersWithSpaces>33731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2026-09-01T05:49:14Z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