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F7276">
      <w:pPr>
        <w:keepNext w:val="0"/>
        <w:jc w:val="center"/>
        <w:rPr>
          <w:rFonts w:eastAsia="楷体_GB2312"/>
          <w:b/>
          <w:spacing w:val="40"/>
          <w:sz w:val="36"/>
        </w:rPr>
      </w:pPr>
    </w:p>
    <w:p w14:paraId="15D6FB2D">
      <w:pPr>
        <w:keepNext w:val="0"/>
        <w:spacing w:line="360" w:lineRule="auto" w:before="0" w:after="0"/>
        <w:ind w:firstLine="420"/>
        <w:jc w:val="center"/>
        <w:rPr>
          <w:rFonts w:eastAsia="楷体_GB2312"/>
          <w:b/>
          <w:spacing w:val="40"/>
          <w:sz w:val="36"/>
        </w:rPr>
      </w:pPr>
    </w:p>
    <w:p w14:paraId="736EACCF">
      <w:pPr>
        <w:keepNext w:val="0"/>
        <w:jc w:val="center"/>
        <w:rPr>
          <w:rFonts w:eastAsia="楷体_GB2312"/>
          <w:b/>
          <w:spacing w:val="40"/>
          <w:sz w:val="36"/>
        </w:rPr>
      </w:pPr>
      <w:r>
        <w:rPr>
          <w:rFonts w:hint="eastAsia" w:eastAsia="宋体" w:ascii="宋体" w:hAnsi="宋体"/>
          <w:b/>
          <w:color w:val="000000"/>
          <w:spacing w:val="40"/>
          <w:sz w:val="36"/>
        </w:rPr>
        <w:t>哈尔滨工业大学</w:t>
      </w:r>
    </w:p>
    <w:p w14:paraId="77E87BA1">
      <w:pPr>
        <w:keepNext w:val="0"/>
        <w:spacing w:line="360" w:lineRule="auto" w:before="0" w:after="0"/>
        <w:ind w:firstLine="420"/>
        <w:jc w:val="center"/>
        <w:rPr>
          <w:rFonts w:eastAsia="楷体_GB2312"/>
          <w:b/>
          <w:spacing w:val="40"/>
          <w:sz w:val="36"/>
        </w:rPr>
      </w:pPr>
    </w:p>
    <w:p w14:paraId="2CDBC833">
      <w:pPr>
        <w:keepNext w:val="0"/>
        <w:spacing w:after="360"/>
        <w:jc w:val="center"/>
        <w:rPr>
          <w:rFonts w:ascii="Roman PS" w:hAnsi="Roman PS"/>
          <w:b/>
          <w:spacing w:val="40"/>
          <w:sz w:val="48"/>
        </w:rPr>
      </w:pPr>
      <w:r>
        <w:rPr>
          <w:rFonts w:ascii="宋体" w:hAnsi="宋体" w:eastAsia="宋体"/>
          <w:b/>
          <w:sz w:val="48"/>
        </w:rPr>
        <w:t>硕士学位开题报告</w:t>
      </w:r>
    </w:p>
    <w:p w14:paraId="069C17FC">
      <w:pPr>
        <w:keepNext w:val="0"/>
        <w:spacing w:line="360" w:lineRule="auto" w:before="0" w:after="0"/>
        <w:ind w:firstLine="420"/>
        <w:rPr>
          <w:b/>
          <w:sz w:val="32"/>
        </w:rPr>
      </w:pPr>
    </w:p>
    <w:p w14:paraId="2D50CEA7">
      <w:pPr>
        <w:keepNext w:val="0"/>
        <w:spacing w:line="300" w:lineRule="auto" w:before="480" w:after="240"/>
        <w:jc w:val="center"/>
        <w:rPr>
          <w:b/>
          <w:sz w:val="36"/>
        </w:rPr>
      </w:pPr>
      <w:r>
        <w:rPr>
          <w:rFonts w:ascii="Times New Roman" w:hAnsi="Times New Roman" w:eastAsia="宋体"/>
          <w:b/>
          <w:sz w:val="32"/>
        </w:rPr>
        <w:t>题目：AI算力基础设施驱动下城市人工水系统代谢响应与条件化承载边界的系统模拟研究</w:t>
      </w:r>
    </w:p>
    <w:p w14:paraId="1014A7AD">
      <w:pPr>
        <w:keepNext w:val="0"/>
        <w:spacing w:before="240" w:after="360"/>
        <w:jc w:val="center"/>
        <w:rPr>
          <w:b/>
          <w:sz w:val="32"/>
        </w:rPr>
      </w:pPr>
      <w:r>
        <w:rPr>
          <w:rFonts w:ascii="宋体" w:hAnsi="宋体" w:eastAsia="宋体" w:cs="Times New Roman"/>
          <w:b/>
          <w:color w:val="000000"/>
          <w:sz w:val="32"/>
        </w:rPr>
        <w:t>（学位论文）</w:t>
      </w:r>
    </w:p>
    <w:p w14:paraId="03714482">
      <w:pPr>
        <w:keepNext w:val="0"/>
        <w:snapToGrid w:val="0"/>
        <w:spacing w:before="0" w:after="0" w:line="360" w:lineRule="auto"/>
        <w:ind w:left="1134" w:firstLine="420"/>
        <w:rPr>
          <w:b/>
          <w:sz w:val="32"/>
          <w:u w:val="single"/>
        </w:rPr>
      </w:pPr>
      <w:r>
        <w:rPr>
          <w:rFonts w:ascii="宋体" w:hAnsi="宋体" w:eastAsia="宋体" w:cs="Times New Roman"/>
          <w:b/>
          <w:color w:val="000000"/>
          <w:sz w:val="32"/>
        </w:rPr>
        <w:t>学院（部）：____________________</w:t>
      </w:r>
    </w:p>
    <w:p w14:paraId="2B5DEC98">
      <w:pPr>
        <w:keepNext w:val="0"/>
        <w:snapToGrid w:val="0"/>
        <w:spacing w:before="0" w:after="0" w:line="360" w:lineRule="auto"/>
        <w:ind w:left="1134" w:right="-9" w:firstLine="420"/>
        <w:rPr>
          <w:b/>
          <w:sz w:val="32"/>
          <w:u w:val="single"/>
        </w:rPr>
      </w:pPr>
      <w:r>
        <w:rPr>
          <w:rFonts w:ascii="宋体" w:hAnsi="宋体" w:eastAsia="宋体" w:cs="Times New Roman"/>
          <w:b/>
          <w:color w:val="000000"/>
          <w:sz w:val="32"/>
        </w:rPr>
        <w:t>学科/专业学位类别：____________________</w:t>
      </w:r>
    </w:p>
    <w:p w14:paraId="4D4A53FE">
      <w:pPr>
        <w:keepNext w:val="0"/>
        <w:snapToGrid w:val="0"/>
        <w:spacing w:before="0" w:after="0" w:line="360" w:lineRule="auto"/>
        <w:ind w:left="1134" w:firstLine="420"/>
        <w:rPr>
          <w:b/>
          <w:sz w:val="32"/>
          <w:u w:val="single"/>
        </w:rPr>
      </w:pPr>
      <w:r>
        <w:rPr>
          <w:rFonts w:ascii="宋体" w:hAnsi="宋体" w:eastAsia="宋体" w:cs="Times New Roman"/>
          <w:b/>
          <w:color w:val="000000"/>
          <w:sz w:val="32"/>
        </w:rPr>
        <w:t>导师：____________________</w:t>
      </w:r>
    </w:p>
    <w:p w14:paraId="378509C5">
      <w:pPr>
        <w:keepNext w:val="0"/>
        <w:snapToGrid w:val="0"/>
        <w:spacing w:before="0" w:after="0" w:line="360" w:lineRule="auto"/>
        <w:ind w:left="1134" w:right="-9" w:firstLine="420"/>
        <w:rPr>
          <w:b/>
          <w:sz w:val="32"/>
          <w:u w:val="single"/>
        </w:rPr>
      </w:pPr>
      <w:r>
        <w:rPr>
          <w:rFonts w:ascii="宋体" w:hAnsi="宋体" w:eastAsia="宋体" w:cs="Times New Roman"/>
          <w:b/>
          <w:color w:val="000000"/>
          <w:sz w:val="32"/>
        </w:rPr>
        <w:t>研究生：____________________</w:t>
      </w:r>
    </w:p>
    <w:p w14:paraId="05D4A3E3">
      <w:pPr>
        <w:keepNext w:val="0"/>
        <w:snapToGrid w:val="0"/>
        <w:spacing w:before="0" w:after="0" w:line="360" w:lineRule="auto"/>
        <w:ind w:left="1134" w:firstLine="420"/>
        <w:rPr>
          <w:b/>
          <w:sz w:val="32"/>
          <w:u w:val="single"/>
        </w:rPr>
      </w:pPr>
      <w:r>
        <w:rPr>
          <w:rFonts w:ascii="宋体" w:hAnsi="宋体" w:eastAsia="宋体" w:cs="Times New Roman"/>
          <w:b/>
          <w:color w:val="000000"/>
          <w:sz w:val="32"/>
        </w:rPr>
        <w:t>学号：____________________</w:t>
      </w:r>
    </w:p>
    <w:p w14:paraId="499FDC5C">
      <w:pPr>
        <w:keepNext w:val="0"/>
        <w:snapToGrid w:val="0"/>
        <w:spacing w:before="0" w:after="0" w:line="360" w:lineRule="auto"/>
        <w:ind w:left="1134" w:firstLine="420"/>
        <w:rPr>
          <w:b/>
          <w:sz w:val="32"/>
          <w:u w:val="single"/>
        </w:rPr>
      </w:pPr>
      <w:r>
        <w:rPr>
          <w:rFonts w:ascii="宋体" w:hAnsi="宋体" w:eastAsia="宋体" w:cs="Times New Roman"/>
          <w:b/>
          <w:color w:val="000000"/>
          <w:sz w:val="32"/>
        </w:rPr>
        <w:t>开题报告日期：____________________</w:t>
      </w:r>
    </w:p>
    <w:p w14:paraId="41B0077A">
      <w:pPr>
        <w:keepNext w:val="0"/>
        <w:snapToGrid w:val="0"/>
        <w:spacing w:line="360" w:lineRule="auto" w:before="0" w:after="0"/>
        <w:ind w:firstLine="420"/>
        <w:rPr>
          <w:b/>
          <w:sz w:val="32"/>
        </w:rPr>
      </w:pPr>
    </w:p>
    <w:p w14:paraId="7CC91361">
      <w:pPr>
        <w:pStyle w:val="16"/>
        <w:pageBreakBefore/>
        <w:jc w:val="center"/>
      </w:pPr>
      <w:r>
        <w:rPr>
          <w:rFonts w:ascii="宋体" w:hAnsi="宋体" w:eastAsia="宋体"/>
          <w:sz w:val="24"/>
        </w:rPr>
        <w:t>摘 要</w:t>
      </w:r>
    </w:p>
    <w:p w14:paraId="289AC530">
      <w:pPr>
        <w:spacing w:line="360" w:lineRule="auto" w:before="0" w:after="0"/>
        <w:ind w:firstLine="420"/>
      </w:pPr>
      <w:r>
        <w:rPr>
          <w:rFonts w:ascii="Times New Roman" w:hAnsi="Times New Roman"/>
          <w:sz w:val="24"/>
        </w:rPr>
        <w:t>生成式人工智能使数据中心进入高功率密度、长时间连续运行和快速空间集聚的新阶段。大模型训练、推理、视频生成和自主智能体等任务不断提高服务器负载，计算活动由数字空间转化为持续的散热、冷却和基础设施需求。已有研究已经估算了数据中心的电力、水足迹和碳排放，也比较了空气冷却、液冷、蒸发冷却和再生水等技术路线。现有成果主要回答“一个模型、一个服务器或一个数据中心消耗多少水”，城市规划还需要进一步回答：当AI算力以持续增长的工业负荷进入城市以后，它如何改变原水取用、给水处理、用户用水、污水回流、再生水生产及最终排放之间的关系？</w:t>
      </w:r>
    </w:p>
    <w:p w14:paraId="278BC1D7">
      <w:pPr>
        <w:spacing w:line="360" w:lineRule="auto" w:before="0" w:after="0"/>
        <w:ind w:firstLine="420"/>
      </w:pPr>
      <w:r>
        <w:rPr>
          <w:rFonts w:ascii="Times New Roman" w:hAnsi="Times New Roman"/>
          <w:sz w:val="24"/>
        </w:rPr>
        <w:t>本研究以城市人工水系统为研究对象，提出“设施过程—城市代谢—条件化承载边界”的统一系统模拟框架。研究首先把AI算力中心表示为城市水系统中的特殊节点，沿“IT容量—实际负载—能耗—热排散—冷却补水—蒸发与排污—污水处理—再生水回用”建立水量和水质的闭合核算；其次通过输入城市供水、污水、再生水、气象、设施能力和技术参数，构造可重复的参数化城市水系统，比较AI负荷与等年用水量普通工业冷却负荷的差异；最后以条件化AI水系统承载容量（CAWCC）表示在给定系统参数、技术架构、水源配置、气候压力和服务优先级下可支持的最大AI IT容量，识别容量边界及其主导约束。</w:t>
      </w:r>
    </w:p>
    <w:p w14:paraId="26074E34">
      <w:pPr>
        <w:spacing w:line="360" w:lineRule="auto" w:before="0" w:after="0"/>
        <w:ind w:firstLine="420"/>
      </w:pPr>
      <w:r>
        <w:rPr>
          <w:rFonts w:ascii="Times New Roman" w:hAnsi="Times New Roman"/>
          <w:sz w:val="24"/>
        </w:rPr>
        <w:t>论文拟回答三个相互递进的科学问题：第一，AI负荷在什么条件下由单纯水量增加转变为水源结构、消耗和回流关系的重构；第二，年均、日尺度与极端高温和干旱条件下的容量边界为何不同，哪些参数决定“平均安全而峰值失稳”；第三，AI扩张以及再生水、冷却和设施扩容等参数干预如何引起水源、给水、污水、再生水和局部接入瓶颈的迁移。研究不以特定真实城市为前提，而是通过参数化系统输入、典型参数域和可重复情景模拟，结合工程基准、守恒检验、极限行为检验、结构对照和敏感性分析约束结论。预期形成关于AI城市水代谢重构、时间尺度依赖承载边界和瓶颈转换机制的科学认识，并为算力布局与城市水务协同规划提供可解释的容量依据。</w:t>
      </w:r>
    </w:p>
    <w:p w14:paraId="344FD411">
      <w:pPr>
        <w:spacing w:line="360" w:lineRule="auto" w:before="0" w:after="0"/>
        <w:ind w:firstLine="420"/>
      </w:pPr>
      <w:r>
        <w:rPr>
          <w:rFonts w:ascii="宋体" w:hAnsi="宋体" w:eastAsia="宋体" w:cs="Times New Roman"/>
          <w:b w:val="0"/>
          <w:color w:val="000000"/>
          <w:sz w:val="24"/>
        </w:rPr>
        <w:t>关键词：人工智能；数据中心；城市人工水系统；城市代谢；再生水；承载容量；峰值压力；瓶颈转换</w:t>
      </w:r>
    </w:p>
    <w:p w14:paraId="5163B948">
      <w:pPr>
        <w:pStyle w:val="16"/>
        <w:pageBreakBefore/>
      </w:pPr>
      <w:r>
        <w:rPr>
          <w:rFonts w:ascii="Times New Roman" w:hAnsi="Times New Roman" w:eastAsia="黑体" w:cs="Times New Roman"/>
          <w:b/>
          <w:color w:val="000000"/>
          <w:sz w:val="30"/>
        </w:rPr>
        <w:t>1 课题来源及研究目的和意义</w:t>
      </w:r>
    </w:p>
    <w:p w14:paraId="7211C648">
      <w:pPr>
        <w:pStyle w:val="17"/>
        <w:pageBreakBefore w:val="0"/>
      </w:pPr>
      <w:r>
        <w:rPr>
          <w:rFonts w:ascii="Times New Roman" w:hAnsi="Times New Roman" w:eastAsia="黑体" w:cs="Times New Roman"/>
          <w:b/>
          <w:color w:val="000000"/>
          <w:sz w:val="28"/>
        </w:rPr>
        <w:t>1.1 课题来源</w:t>
      </w:r>
    </w:p>
    <w:p w14:paraId="45CA7A8E">
      <w:pPr>
        <w:spacing w:line="360" w:lineRule="auto" w:before="0" w:after="0"/>
        <w:ind w:firstLine="420"/>
      </w:pPr>
      <w:r>
        <w:rPr>
          <w:rFonts w:ascii="Times New Roman" w:hAnsi="Times New Roman" w:eastAsia="宋体" w:cs="Times New Roman"/>
          <w:b w:val="0"/>
          <w:color w:val="000000"/>
          <w:sz w:val="24"/>
        </w:rPr>
        <w:t>本课题由AI算力基础设施扩张与城市供排水、再生水系统协同规划的现实需求提出，研究问题来源于数字基础设施资源环境影响与城市水系统管理之间的衔接。数据中心绿色低碳发展政策已将资源效率与基础设施布局作为重要方向</w:t>
      </w:r>
      <w:r>
        <w:rPr>
          <w:rFonts w:ascii="Times New Roman" w:hAnsi="Times New Roman" w:eastAsia="宋体" w:cs="Times New Roman"/>
          <w:b w:val="0"/>
          <w:color w:val="000000"/>
          <w:sz w:val="24"/>
          <w:vertAlign w:val="superscript"/>
        </w:rPr>
        <w:t>[1]</w:t>
      </w:r>
      <w:r>
        <w:rPr>
          <w:rFonts w:ascii="Times New Roman" w:hAnsi="Times New Roman" w:eastAsia="宋体" w:cs="Times New Roman"/>
          <w:b w:val="0"/>
          <w:color w:val="000000"/>
          <w:sz w:val="24"/>
        </w:rPr>
        <w:t>。本研究据此前期城市代谢建模积累，选择AI负荷引入后的水流结构、峰值服务和承载边界作为学位论文研究对象。</w:t>
      </w:r>
    </w:p>
    <w:p w14:paraId="2747444E">
      <w:pPr>
        <w:pStyle w:val="17"/>
        <w:pageBreakBefore w:val="0"/>
      </w:pPr>
      <w:r>
        <w:rPr>
          <w:rFonts w:ascii="Times New Roman" w:hAnsi="Times New Roman" w:eastAsia="黑体" w:cs="Times New Roman"/>
          <w:b/>
          <w:color w:val="000000"/>
          <w:sz w:val="28"/>
        </w:rPr>
        <w:t>1.2 课题研究目的和意义</w:t>
      </w:r>
    </w:p>
    <w:p w14:paraId="06B380D3">
      <w:pPr>
        <w:pStyle w:val="18"/>
        <w:pageBreakBefore w:val="0"/>
      </w:pPr>
      <w:r>
        <w:rPr>
          <w:rFonts w:ascii="Times New Roman" w:hAnsi="Times New Roman" w:eastAsia="黑体" w:cs="Times New Roman"/>
          <w:b/>
          <w:color w:val="000000"/>
          <w:sz w:val="24"/>
        </w:rPr>
        <w:t>1.2.1 AI基础设施扩张与研究目的</w:t>
      </w:r>
    </w:p>
    <w:p w14:paraId="1C7B623C">
      <w:pPr>
        <w:spacing w:line="360" w:lineRule="auto" w:before="0" w:after="0"/>
        <w:ind w:firstLine="420"/>
      </w:pPr>
      <w:r>
        <w:rPr>
          <w:rFonts w:ascii="宋体" w:hAnsi="宋体" w:eastAsia="宋体" w:cs="Times New Roman"/>
          <w:b w:val="0"/>
          <w:color w:val="000000"/>
          <w:sz w:val="24"/>
        </w:rPr>
        <w:t>人工智能产业的竞争焦点已经从单一算法性能扩展到模型、芯片、算力集群和数据中心基础设施的协同能力。大语言模型和多模态模型的参数规模、上下文长度以及推理步数不断增加，视频生成、科学计算和自主智能体又将计算从一次性训练推向高频、连续的在线服务。计算需求的增长具有明确的物理后果：服务器功率密度提高，机房热流密度上升，冷却系统从辅助设备变成决定数据中心能耗和水耗的关键环节。</w:t>
      </w:r>
    </w:p>
    <w:p w14:paraId="6AA95E12">
      <w:pPr>
        <w:spacing w:line="360" w:lineRule="auto" w:before="0" w:after="0"/>
        <w:ind w:firstLine="420"/>
      </w:pPr>
      <w:r>
        <w:rPr>
          <w:rFonts w:ascii="Times New Roman" w:hAnsi="Times New Roman" w:eastAsia="宋体" w:cs="Times New Roman"/>
          <w:b w:val="0"/>
          <w:color w:val="000000"/>
          <w:sz w:val="24"/>
        </w:rPr>
        <w:t>在传统数字基础设施中，计算活动常被视为“无形服务”，城市规划因而容易把数据中心看作普通建筑或一般工业用户。但AI数据中心具有高连续负荷、设备集中、对供电和散热可靠性要求高等特征，其水需求并非只取决于年均用水量，而同时受湿球温度、冷却架构、负载率、浓缩倍数、再生水水质和局部管网能力影响。AI基础设施因此成为连接数字经济与城市物质系统的新型工业节点。</w:t>
      </w:r>
    </w:p>
    <w:p w14:paraId="725C1530">
      <w:pPr>
        <w:spacing w:line="360" w:lineRule="auto" w:before="0" w:after="0"/>
        <w:ind w:firstLine="420"/>
      </w:pPr>
      <w:r>
        <w:rPr>
          <w:rFonts w:ascii="Times New Roman" w:hAnsi="Times New Roman" w:eastAsia="宋体" w:cs="Times New Roman"/>
          <w:b w:val="0"/>
          <w:color w:val="000000"/>
          <w:sz w:val="24"/>
        </w:rPr>
        <w:t>国际能源署的Energy and AI及后续分析讨论了AI与电力系统的联系</w:t>
      </w:r>
      <w:r>
        <w:rPr>
          <w:rFonts w:ascii="Times New Roman" w:hAnsi="Times New Roman" w:eastAsia="宋体" w:cs="Times New Roman"/>
          <w:b w:val="0"/>
          <w:color w:val="000000"/>
          <w:sz w:val="24"/>
          <w:vertAlign w:val="superscript"/>
        </w:rPr>
        <w:t>[2,3]</w:t>
      </w:r>
      <w:r>
        <w:rPr>
          <w:rFonts w:ascii="宋体" w:hAnsi="宋体" w:eastAsia="宋体" w:cs="Times New Roman"/>
          <w:b w:val="0"/>
          <w:color w:val="000000"/>
          <w:sz w:val="24"/>
        </w:rPr>
        <w:t>；劳伦斯伯克利国家实验室报告和全球数据中心能耗研究为负荷规模与效率变化提供了核算依据</w:t>
      </w:r>
      <w:r>
        <w:rPr>
          <w:rFonts w:ascii="Times New Roman" w:hAnsi="Times New Roman" w:eastAsia="宋体" w:cs="Times New Roman"/>
          <w:b w:val="0"/>
          <w:color w:val="000000"/>
          <w:sz w:val="24"/>
          <w:vertAlign w:val="superscript"/>
        </w:rPr>
        <w:t>[4,5]</w:t>
      </w:r>
      <w:r>
        <w:rPr>
          <w:rFonts w:ascii="Times New Roman" w:hAnsi="Times New Roman" w:eastAsia="宋体" w:cs="Times New Roman"/>
          <w:b w:val="0"/>
          <w:color w:val="000000"/>
          <w:sz w:val="24"/>
        </w:rPr>
        <w:t>；de Vries进一步讨论了人工智能的新增能源需求</w:t>
      </w:r>
      <w:r>
        <w:rPr>
          <w:rFonts w:ascii="Times New Roman" w:hAnsi="Times New Roman" w:eastAsia="宋体" w:cs="Times New Roman"/>
          <w:b w:val="0"/>
          <w:color w:val="000000"/>
          <w:sz w:val="24"/>
          <w:vertAlign w:val="superscript"/>
        </w:rPr>
        <w:t>[6]</w:t>
      </w:r>
      <w:r>
        <w:rPr>
          <w:rFonts w:ascii="宋体" w:hAnsi="宋体" w:eastAsia="宋体" w:cs="Times New Roman"/>
          <w:b w:val="0"/>
          <w:color w:val="000000"/>
          <w:sz w:val="24"/>
        </w:rPr>
        <w:t>。电力需求通过热排散和冷却过程连接到水系统，本研究拟从这一接口出发解释城市水务系统的增量压力。</w:t>
      </w:r>
    </w:p>
    <w:p w14:paraId="35E68F84">
      <w:pPr>
        <w:spacing w:line="360" w:lineRule="auto" w:before="0" w:after="0"/>
        <w:ind w:firstLine="420"/>
      </w:pPr>
      <w:r>
        <w:rPr>
          <w:rFonts w:ascii="Times New Roman" w:hAnsi="Times New Roman" w:eastAsia="宋体"/>
          <w:sz w:val="24"/>
        </w:rPr>
        <w:t>建立AI，城市人工水系统代谢动态模型和条件化承载分析框架，形成从AI IT容量、热排散和冷却补水到城市给水，污水，再生水网络的可验证闭环；揭示AI扩张引起的代谢结构变化、时间尺度依赖边界和瓶颈迁移机制；在明确适用参数域和不确定性范围的前提下，为城市算力布局与水务设施协同规划提供可解释的容量依据。</w:t>
      </w:r>
    </w:p>
    <w:p w14:paraId="2979A5EB">
      <w:pPr>
        <w:pStyle w:val="18"/>
        <w:pageBreakBefore w:val="0"/>
      </w:pPr>
      <w:r>
        <w:rPr>
          <w:rFonts w:ascii="Times New Roman" w:hAnsi="Times New Roman" w:eastAsia="黑体" w:cs="Times New Roman"/>
          <w:b/>
          <w:color w:val="000000"/>
          <w:sz w:val="24"/>
        </w:rPr>
        <w:t>1.2.2 从设施足迹转向城市系统</w:t>
      </w:r>
    </w:p>
    <w:p w14:paraId="6949580D">
      <w:pPr>
        <w:spacing w:line="360" w:lineRule="auto" w:before="0" w:after="0"/>
        <w:ind w:firstLine="420"/>
      </w:pPr>
      <w:r>
        <w:rPr>
          <w:rFonts w:ascii="宋体" w:hAnsi="宋体" w:eastAsia="宋体" w:cs="Times New Roman"/>
          <w:b w:val="0"/>
          <w:color w:val="000000"/>
          <w:sz w:val="24"/>
        </w:rPr>
        <w:t>现有数据中心水研究至少包含两个边界：一是冷却塔、蒸发器和辅助设备在所在地直接发生的取水与耗水；二是发电和燃料供应在异地形成的间接水足迹。两者在空间位置、治理主体和可干预手段上并不相同。把二者简单相加，虽然可以得到一个综合足迹，却会掩盖城市本地供水系统真正承受的压力；只计算直接用水，又会低估能源结构变化带来的环境后果</w:t>
      </w:r>
      <w:r>
        <w:rPr>
          <w:rFonts w:ascii="Times New Roman" w:hAnsi="Times New Roman" w:eastAsia="宋体" w:cs="Times New Roman"/>
          <w:b w:val="0"/>
          <w:color w:val="000000"/>
          <w:sz w:val="24"/>
          <w:vertAlign w:val="superscript"/>
        </w:rPr>
        <w:t>[7-10]</w:t>
      </w:r>
      <w:r>
        <w:rPr>
          <w:rFonts w:ascii="宋体" w:hAnsi="宋体" w:eastAsia="宋体" w:cs="Times New Roman"/>
          <w:b w:val="0"/>
          <w:color w:val="000000"/>
          <w:sz w:val="24"/>
        </w:rPr>
        <w:t>。</w:t>
      </w:r>
    </w:p>
    <w:p w14:paraId="78534302">
      <w:pPr>
        <w:spacing w:line="360" w:lineRule="auto" w:before="0" w:after="0"/>
        <w:ind w:firstLine="420"/>
      </w:pPr>
      <w:r>
        <w:rPr>
          <w:rFonts w:ascii="宋体" w:hAnsi="宋体" w:eastAsia="宋体"/>
          <w:sz w:val="24"/>
        </w:rPr>
        <w:t>设施水足迹还存在“同量异压”现象。两个数据中心即使具有相同的年度补水量，如果一个使用本地淡水、在夏季高温时段集中取水，另一个主要使用稳定的再生水并通过储水削峰，它们对城市的影响将完全不同。前者可能首先触发水源或给水峰值约束，后者则可能把压力转移到污水深度处理、输配或水质控制环节。这说明，城市规划需要的是水流路径和服务可靠性的解释，而不仅是一个年度总量。</w:t>
      </w:r>
    </w:p>
    <w:p w14:paraId="70DC19DF">
      <w:pPr>
        <w:spacing w:line="360" w:lineRule="auto" w:before="0" w:after="0"/>
        <w:ind w:firstLine="420"/>
      </w:pPr>
      <w:r>
        <w:rPr>
          <w:rFonts w:ascii="Times New Roman" w:hAnsi="Times New Roman" w:eastAsia="宋体" w:cs="Times New Roman"/>
          <w:b w:val="0"/>
          <w:color w:val="000000"/>
          <w:sz w:val="24"/>
        </w:rPr>
        <w:t>城市人工水系统是一个开放而具有循环性的网络。外部原水经给水处理后进入居民、商业、工业和公共设施；一部分水以蒸发、产品含水或其他形式离开可管理系统，另一部分形成污水进入收集和处理环节；处理出水既可以排放，也可以经深度处理转化为再生水，重新供给工业、生态或冷却用途。AI节点进入以后，既会增加冷却蒸发消耗，也可能通过排污增加污水和再生水的潜在来源，因此其影响可能表现为网络结构重组。</w:t>
      </w:r>
    </w:p>
    <w:p w14:paraId="7BB65127">
      <w:pPr>
        <w:pStyle w:val="18"/>
        <w:pageBreakBefore w:val="0"/>
      </w:pPr>
      <w:r>
        <w:rPr>
          <w:rFonts w:ascii="Times New Roman" w:hAnsi="Times New Roman" w:eastAsia="黑体" w:cs="Times New Roman"/>
          <w:b/>
          <w:color w:val="000000"/>
          <w:sz w:val="24"/>
        </w:rPr>
        <w:t>1.2.3 理论意义</w:t>
      </w:r>
    </w:p>
    <w:p w14:paraId="16FFEB4E">
      <w:pPr>
        <w:spacing w:line="360" w:lineRule="auto" w:before="0" w:after="0"/>
        <w:ind w:firstLine="420"/>
      </w:pPr>
      <w:r>
        <w:rPr>
          <w:rFonts w:ascii="宋体" w:hAnsi="宋体" w:eastAsia="宋体" w:cs="Times New Roman"/>
          <w:b w:val="0"/>
          <w:color w:val="000000"/>
          <w:sz w:val="24"/>
        </w:rPr>
        <w:t>拓展城市代谢理论：把“计算需求驱动的物理资源流”作为城市代谢的新型节点，连接数字基础设施研究与城市水循环研究。</w:t>
      </w:r>
    </w:p>
    <w:p w14:paraId="141A194F">
      <w:pPr>
        <w:spacing w:line="360" w:lineRule="auto" w:before="0" w:after="0"/>
        <w:ind w:firstLine="420"/>
      </w:pPr>
      <w:r>
        <w:rPr>
          <w:rFonts w:ascii="Times New Roman" w:hAnsi="Times New Roman" w:eastAsia="宋体"/>
          <w:sz w:val="24"/>
        </w:rPr>
        <w:t>发展综合水系统模拟：在供水，用水，污水，再生水框架中显式区分Withdrawal、Consumption与Return Flow，并将水量、水质、储存和峰值服务纳入统一边界。</w:t>
      </w:r>
    </w:p>
    <w:p w14:paraId="087909F9">
      <w:pPr>
        <w:spacing w:line="360" w:lineRule="auto" w:before="0" w:after="0"/>
        <w:ind w:firstLine="420"/>
      </w:pPr>
      <w:r>
        <w:rPr>
          <w:rFonts w:ascii="Times New Roman" w:hAnsi="Times New Roman" w:eastAsia="宋体" w:cs="Times New Roman"/>
          <w:b w:val="0"/>
          <w:color w:val="000000"/>
          <w:sz w:val="24"/>
        </w:rPr>
        <w:t>深化承载力理论：把承载对象从人口或经济规模转化为可度量的AI IT容量，讨论资源量、基础设施能力和风险容忍共同形成的条件边界。</w:t>
      </w:r>
    </w:p>
    <w:p w14:paraId="78975824">
      <w:pPr>
        <w:pStyle w:val="18"/>
        <w:pageBreakBefore w:val="0"/>
      </w:pPr>
      <w:r>
        <w:rPr>
          <w:rFonts w:ascii="Times New Roman" w:hAnsi="Times New Roman" w:eastAsia="黑体" w:cs="Times New Roman"/>
          <w:b/>
          <w:color w:val="000000"/>
          <w:sz w:val="24"/>
        </w:rPr>
        <w:t>1.2.4 实践意义</w:t>
      </w:r>
    </w:p>
    <w:p w14:paraId="7287BCB4">
      <w:pPr>
        <w:spacing w:line="360" w:lineRule="auto" w:before="0" w:after="0"/>
        <w:ind w:firstLine="420"/>
      </w:pPr>
      <w:r>
        <w:rPr>
          <w:rFonts w:ascii="宋体" w:hAnsi="宋体" w:eastAsia="宋体" w:cs="Times New Roman"/>
          <w:b w:val="0"/>
          <w:color w:val="000000"/>
          <w:sz w:val="24"/>
        </w:rPr>
        <w:t>为地方政府提供算力项目与水资源、水务设施协同布局的分析框架，把年均资源量、峰值服务和基础设施余量纳入重大项目论证。</w:t>
      </w:r>
    </w:p>
    <w:p w14:paraId="1E68BFAE">
      <w:pPr>
        <w:spacing w:line="360" w:lineRule="auto" w:before="0" w:after="0"/>
        <w:ind w:firstLine="420"/>
      </w:pPr>
      <w:r>
        <w:rPr>
          <w:rFonts w:ascii="宋体" w:hAnsi="宋体" w:eastAsia="宋体" w:cs="Times New Roman"/>
          <w:b w:val="0"/>
          <w:color w:val="000000"/>
          <w:sz w:val="24"/>
        </w:rPr>
        <w:t>为数据中心规划者比较空气/液冷、干式/湿式排热、淡水/再生水配置的系统影响，识别节水措施可能造成的能耗或碳排放转移。</w:t>
      </w:r>
    </w:p>
    <w:p w14:paraId="2D1E0727">
      <w:pPr>
        <w:spacing w:line="360" w:lineRule="auto" w:before="0" w:after="0"/>
        <w:ind w:firstLine="420"/>
      </w:pPr>
      <w:r>
        <w:rPr>
          <w:rFonts w:ascii="Times New Roman" w:hAnsi="Times New Roman" w:eastAsia="宋体" w:cs="Times New Roman"/>
          <w:b w:val="0"/>
          <w:color w:val="000000"/>
          <w:sz w:val="24"/>
        </w:rPr>
        <w:t>为水务部门评估AI扩张对给水、污水、再生水处理和局部接入能力的增量压力，并判断扩容措施的有效区间。</w:t>
      </w:r>
    </w:p>
    <w:p w14:paraId="7FC8DEC8">
      <w:pPr>
        <w:pStyle w:val="17"/>
        <w:pageBreakBefore w:val="0"/>
      </w:pPr>
      <w:r>
        <w:rPr>
          <w:rFonts w:ascii="Times New Roman" w:hAnsi="Times New Roman" w:eastAsia="黑体" w:cs="Times New Roman"/>
          <w:b/>
          <w:color w:val="000000"/>
          <w:sz w:val="28"/>
        </w:rPr>
        <w:t>1.3 研究对象与核心概念</w:t>
      </w:r>
    </w:p>
    <w:p w14:paraId="2C14C67A">
      <w:pPr>
        <w:spacing w:line="360" w:lineRule="auto" w:before="0" w:after="0"/>
        <w:ind w:firstLine="420"/>
      </w:pPr>
      <w:r>
        <w:rPr>
          <w:rFonts w:ascii="Times New Roman" w:hAnsi="Times New Roman" w:eastAsia="宋体" w:cs="Times New Roman"/>
          <w:b w:val="0"/>
          <w:color w:val="000000"/>
          <w:sz w:val="24"/>
        </w:rPr>
        <w:t>本研究的核心对象是“AI算力基础设施进入城市人工水系统后的系统响应”，研究重点放在城市尺度耦合及其科学机制。研究边界包括城市外部水源、原水和给水处理、配水、终端用户、AI数据中心、污水收集与处理、再生水处理与输配以及最终排放；雨洪、地下水和完整电网仅在具有清晰输入、输出和储量关系的扩展情景中讨论。CAWCC不是脱离条件的固定常数，而是在明确城市状态、技术架构、水源政策、气候情景、基本服务约束和风险容忍水平下的最大可行AI IT容量。</w:t>
      </w:r>
    </w:p>
    <w:p w14:paraId="4C6566E0">
      <w:pPr>
        <w:pStyle w:val="16"/>
        <w:pageBreakBefore/>
      </w:pPr>
      <w:bookmarkStart w:id="0" w:name="_GoBack"/>
      <w:bookmarkEnd w:id="0"/>
      <w:r>
        <w:rPr>
          <w:rFonts w:ascii="Times New Roman" w:hAnsi="Times New Roman" w:eastAsia="黑体" w:cs="Times New Roman"/>
          <w:b/>
          <w:color w:val="000000"/>
          <w:sz w:val="30"/>
        </w:rPr>
        <w:t>2 国内外研究现状及分析</w:t>
      </w:r>
    </w:p>
    <w:p w14:paraId="32B44F48">
      <w:pPr>
        <w:pStyle w:val="17"/>
        <w:pageBreakBefore w:val="0"/>
      </w:pPr>
      <w:r>
        <w:rPr>
          <w:rFonts w:ascii="Times New Roman" w:hAnsi="Times New Roman" w:eastAsia="黑体" w:cs="Times New Roman"/>
          <w:b/>
          <w:color w:val="000000"/>
          <w:sz w:val="28"/>
        </w:rPr>
        <w:t>2.1 国外研究现状</w:t>
      </w:r>
    </w:p>
    <w:p w14:paraId="6122C738">
      <w:pPr>
        <w:pStyle w:val="18"/>
        <w:pageBreakBefore w:val="0"/>
      </w:pPr>
      <w:r>
        <w:rPr>
          <w:rFonts w:ascii="Times New Roman" w:hAnsi="Times New Roman" w:eastAsia="黑体" w:cs="Times New Roman"/>
          <w:b/>
          <w:color w:val="000000"/>
          <w:sz w:val="24"/>
        </w:rPr>
        <w:t>2.1.1 城市代谢与综合城市水系统</w:t>
      </w:r>
    </w:p>
    <w:p w14:paraId="238F5590">
      <w:pPr>
        <w:spacing w:line="360" w:lineRule="auto" w:before="0" w:after="0"/>
        <w:ind w:firstLine="420"/>
      </w:pPr>
      <w:r>
        <w:rPr>
          <w:rFonts w:ascii="Times New Roman" w:hAnsi="Times New Roman" w:eastAsia="宋体" w:cs="Times New Roman"/>
          <w:b w:val="0"/>
          <w:color w:val="000000"/>
          <w:sz w:val="24"/>
        </w:rPr>
        <w:t>Wolman以城市资源输入与废弃物输出阐述城市代谢概念</w:t>
      </w:r>
      <w:r>
        <w:rPr>
          <w:rFonts w:ascii="Times New Roman" w:hAnsi="Times New Roman" w:eastAsia="宋体" w:cs="Times New Roman"/>
          <w:b w:val="0"/>
          <w:color w:val="000000"/>
          <w:sz w:val="24"/>
          <w:vertAlign w:val="superscript"/>
        </w:rPr>
        <w:t>[16]</w:t>
      </w:r>
      <w:r>
        <w:rPr>
          <w:rFonts w:ascii="Times New Roman" w:hAnsi="Times New Roman" w:eastAsia="宋体" w:cs="Times New Roman"/>
          <w:b w:val="0"/>
          <w:color w:val="000000"/>
          <w:sz w:val="24"/>
        </w:rPr>
        <w:t>。Kennedy等从代谢变化及规划应用拓展了这一视角</w:t>
      </w:r>
      <w:r>
        <w:rPr>
          <w:rFonts w:ascii="Times New Roman" w:hAnsi="Times New Roman" w:eastAsia="宋体" w:cs="Times New Roman"/>
          <w:b w:val="0"/>
          <w:color w:val="000000"/>
          <w:sz w:val="24"/>
          <w:vertAlign w:val="superscript"/>
        </w:rPr>
        <w:t>[17,18]</w:t>
      </w:r>
      <w:r>
        <w:rPr>
          <w:rFonts w:ascii="宋体" w:hAnsi="宋体" w:eastAsia="宋体" w:cs="Times New Roman"/>
          <w:b w:val="0"/>
          <w:color w:val="000000"/>
          <w:sz w:val="24"/>
        </w:rPr>
        <w:t>，跨学科研究进一步强调物质流与城市过程之间的联系</w:t>
      </w:r>
      <w:r>
        <w:rPr>
          <w:rFonts w:ascii="Times New Roman" w:hAnsi="Times New Roman" w:eastAsia="宋体" w:cs="Times New Roman"/>
          <w:b w:val="0"/>
          <w:color w:val="000000"/>
          <w:sz w:val="24"/>
          <w:vertAlign w:val="superscript"/>
        </w:rPr>
        <w:t>[19]</w:t>
      </w:r>
      <w:r>
        <w:rPr>
          <w:rFonts w:ascii="宋体" w:hAnsi="宋体" w:eastAsia="宋体" w:cs="Times New Roman"/>
          <w:b w:val="0"/>
          <w:color w:val="000000"/>
          <w:sz w:val="24"/>
        </w:rPr>
        <w:t>。对于水系统而言，代谢视角的价值在于把供水、用水、污水、再生利用和环境排放放到同一张网络中，从而识别水量之外的路径结构。</w:t>
      </w:r>
    </w:p>
    <w:p w14:paraId="310EAC60">
      <w:pPr>
        <w:spacing w:line="360" w:lineRule="auto" w:before="0" w:after="0"/>
        <w:ind w:firstLine="420"/>
      </w:pPr>
      <w:r>
        <w:rPr>
          <w:rFonts w:ascii="Times New Roman" w:hAnsi="Times New Roman" w:eastAsia="宋体" w:cs="Times New Roman"/>
          <w:b w:val="0"/>
          <w:color w:val="000000"/>
          <w:sz w:val="24"/>
        </w:rPr>
        <w:t>WaterMet²将供水、需求、污水和环境绩效置于统一分析框架</w:t>
      </w:r>
      <w:r>
        <w:rPr>
          <w:rFonts w:ascii="Times New Roman" w:hAnsi="Times New Roman" w:eastAsia="宋体" w:cs="Times New Roman"/>
          <w:b w:val="0"/>
          <w:color w:val="000000"/>
          <w:sz w:val="24"/>
          <w:vertAlign w:val="superscript"/>
        </w:rPr>
        <w:t>[20,21]</w:t>
      </w:r>
      <w:r>
        <w:rPr>
          <w:rFonts w:ascii="宋体" w:hAnsi="宋体" w:eastAsia="宋体" w:cs="Times New Roman"/>
          <w:b w:val="0"/>
          <w:color w:val="000000"/>
          <w:sz w:val="24"/>
        </w:rPr>
        <w:t>；综合城市水循环综述讨论了跨子系统模型的连接方式与适用边界</w:t>
      </w:r>
      <w:r>
        <w:rPr>
          <w:rFonts w:ascii="Times New Roman" w:hAnsi="Times New Roman" w:eastAsia="宋体" w:cs="Times New Roman"/>
          <w:b w:val="0"/>
          <w:color w:val="000000"/>
          <w:sz w:val="24"/>
          <w:vertAlign w:val="superscript"/>
        </w:rPr>
        <w:t>[22,23]</w:t>
      </w:r>
      <w:r>
        <w:rPr>
          <w:rFonts w:ascii="Times New Roman" w:hAnsi="Times New Roman" w:eastAsia="宋体" w:cs="Times New Roman"/>
          <w:b w:val="0"/>
          <w:color w:val="000000"/>
          <w:sz w:val="24"/>
        </w:rPr>
        <w:t>；WSIMOD以节点和弧线连接水量与污染物通量，强调可组合建模和守恒检查</w:t>
      </w:r>
      <w:r>
        <w:rPr>
          <w:rFonts w:ascii="Times New Roman" w:hAnsi="Times New Roman" w:eastAsia="宋体" w:cs="Times New Roman"/>
          <w:b w:val="0"/>
          <w:color w:val="000000"/>
          <w:sz w:val="24"/>
          <w:vertAlign w:val="superscript"/>
        </w:rPr>
        <w:t>[24]</w:t>
      </w:r>
      <w:r>
        <w:rPr>
          <w:rFonts w:ascii="宋体" w:hAnsi="宋体" w:eastAsia="宋体" w:cs="Times New Roman"/>
          <w:b w:val="0"/>
          <w:color w:val="000000"/>
          <w:sz w:val="24"/>
        </w:rPr>
        <w:t>。相关系统动力学、混合系统建模和强化学习研究也尝试将动态反馈与水资源管理决策连接</w:t>
      </w:r>
      <w:r>
        <w:rPr>
          <w:rFonts w:ascii="Times New Roman" w:hAnsi="Times New Roman" w:eastAsia="宋体" w:cs="Times New Roman"/>
          <w:b w:val="0"/>
          <w:color w:val="000000"/>
          <w:sz w:val="24"/>
          <w:vertAlign w:val="superscript"/>
        </w:rPr>
        <w:t>[25,26]</w:t>
      </w:r>
      <w:r>
        <w:rPr>
          <w:rFonts w:ascii="Times New Roman" w:hAnsi="Times New Roman" w:eastAsia="宋体" w:cs="Times New Roman"/>
          <w:b w:val="0"/>
          <w:color w:val="000000"/>
          <w:sz w:val="24"/>
        </w:rPr>
        <w:t>。这些成果为AI节点接入城市水循环提供了工具基础，本课题进一步关注该节点的连续负荷、气候敏感性及峰值服务约束。</w:t>
      </w:r>
    </w:p>
    <w:p w14:paraId="5CE4319C">
      <w:pPr>
        <w:spacing w:line="360" w:lineRule="auto" w:before="0" w:after="0"/>
        <w:ind w:firstLine="420"/>
      </w:pPr>
      <w:r>
        <w:rPr>
          <w:rFonts w:ascii="Times New Roman" w:hAnsi="Times New Roman" w:eastAsia="宋体" w:cs="Times New Roman"/>
          <w:b w:val="0"/>
          <w:color w:val="000000"/>
          <w:sz w:val="24"/>
        </w:rPr>
        <w:t>城市代谢研究的另一个不足是，部分研究以年度物质流清单为主，对峰值压力和设施瓶颈的刻画仍不充分。对于AI来说，年度总量可能掩盖极端高温周的冷却补水、短时接入能力和污水处理超负荷。因此，本研究将日尺度作为主时间步，并以极端周小时序列检验时间聚合是否改变承载判断。城市需水建模文献对时间尺度、需求驱动和预测口径的梳理，为设置传统用户基线提供了依据</w:t>
      </w:r>
      <w:r>
        <w:rPr>
          <w:rFonts w:ascii="Times New Roman" w:hAnsi="Times New Roman" w:eastAsia="宋体" w:cs="Times New Roman"/>
          <w:b w:val="0"/>
          <w:color w:val="000000"/>
          <w:sz w:val="24"/>
          <w:vertAlign w:val="superscript"/>
        </w:rPr>
        <w:t>[27]</w:t>
      </w:r>
      <w:r>
        <w:rPr>
          <w:rFonts w:ascii="宋体" w:hAnsi="宋体" w:eastAsia="宋体" w:cs="Times New Roman"/>
          <w:b w:val="0"/>
          <w:color w:val="000000"/>
          <w:sz w:val="24"/>
        </w:rPr>
        <w:t>。</w:t>
      </w:r>
    </w:p>
    <w:p w14:paraId="31CD2C75">
      <w:pPr>
        <w:pStyle w:val="18"/>
        <w:pageBreakBefore w:val="0"/>
      </w:pPr>
      <w:r>
        <w:rPr>
          <w:rFonts w:ascii="Times New Roman" w:hAnsi="Times New Roman" w:eastAsia="宋体"/>
          <w:sz w:val="24"/>
        </w:rPr>
        <w:t>2.1.2 城市水，能，碳关系</w:t>
      </w:r>
    </w:p>
    <w:p w14:paraId="7F077B82">
      <w:pPr>
        <w:spacing w:line="360" w:lineRule="auto" w:before="0" w:after="0"/>
        <w:ind w:firstLine="420"/>
      </w:pPr>
      <w:r>
        <w:rPr>
          <w:rFonts w:ascii="Times New Roman" w:hAnsi="Times New Roman" w:eastAsia="宋体"/>
          <w:sz w:val="24"/>
        </w:rPr>
        <w:t>城市水系统中的取水、加压、给水处理、污水处理、深度再生和输配均伴随能源消耗。城市水，能联系综述与系统框架将这些环节纳入过程核算[28,29]；水，能，温室气体关系研究和能耗强度比较强调边界及指标口径的一致性[30,31]。水源选择的能源和大气排放效应说明，降低某一环节用水并不必然降低系统总环境负荷[32]。</w:t>
      </w:r>
    </w:p>
    <w:p w14:paraId="3F25A12F">
      <w:pPr>
        <w:spacing w:line="360" w:lineRule="auto" w:before="0" w:after="0"/>
        <w:ind w:firstLine="420"/>
      </w:pPr>
      <w:r>
        <w:rPr>
          <w:rFonts w:ascii="宋体" w:hAnsi="宋体" w:eastAsia="宋体" w:cs="Times New Roman"/>
          <w:b w:val="0"/>
          <w:color w:val="000000"/>
          <w:sz w:val="24"/>
        </w:rPr>
        <w:t>这些研究对本课题的启示是：再生水处理深度与输送距离需要和淡水替代量共同评价；城市本地物理水流与异地电力水足迹应分别呈现。面向数据中心冷却的生命周期评价同样强调技术选择需在完整环境边界下比较</w:t>
      </w:r>
      <w:r>
        <w:rPr>
          <w:rFonts w:ascii="Times New Roman" w:hAnsi="Times New Roman" w:eastAsia="宋体" w:cs="Times New Roman"/>
          <w:b w:val="0"/>
          <w:color w:val="000000"/>
          <w:sz w:val="24"/>
          <w:vertAlign w:val="superscript"/>
        </w:rPr>
        <w:t>[33]</w:t>
      </w:r>
      <w:r>
        <w:rPr>
          <w:rFonts w:ascii="宋体" w:hAnsi="宋体" w:eastAsia="宋体" w:cs="Times New Roman"/>
          <w:b w:val="0"/>
          <w:color w:val="000000"/>
          <w:sz w:val="24"/>
        </w:rPr>
        <w:t>。</w:t>
      </w:r>
    </w:p>
    <w:p w14:paraId="28ACECCD">
      <w:pPr>
        <w:pStyle w:val="18"/>
        <w:pageBreakBefore w:val="0"/>
      </w:pPr>
      <w:r>
        <w:rPr>
          <w:rFonts w:ascii="Times New Roman" w:hAnsi="Times New Roman" w:eastAsia="黑体" w:cs="Times New Roman"/>
          <w:b/>
          <w:color w:val="000000"/>
          <w:sz w:val="24"/>
        </w:rPr>
        <w:t>2.1.3 AI与数据中心资源环境足迹</w:t>
      </w:r>
    </w:p>
    <w:p w14:paraId="58184674">
      <w:pPr>
        <w:spacing w:line="360" w:lineRule="auto" w:before="0" w:after="0"/>
        <w:ind w:firstLine="420"/>
      </w:pPr>
      <w:r>
        <w:rPr>
          <w:rFonts w:ascii="Times New Roman" w:hAnsi="Times New Roman" w:eastAsia="宋体" w:cs="Times New Roman"/>
          <w:b w:val="0"/>
          <w:color w:val="000000"/>
          <w:sz w:val="24"/>
        </w:rPr>
        <w:t>AI环境研究由训练阶段的能源与政策讨论</w:t>
      </w:r>
      <w:r>
        <w:rPr>
          <w:rFonts w:ascii="Times New Roman" w:hAnsi="Times New Roman" w:eastAsia="宋体" w:cs="Times New Roman"/>
          <w:b w:val="0"/>
          <w:color w:val="000000"/>
          <w:sz w:val="24"/>
          <w:vertAlign w:val="superscript"/>
        </w:rPr>
        <w:t>[34]</w:t>
      </w:r>
      <w:r>
        <w:rPr>
          <w:rFonts w:ascii="Times New Roman" w:hAnsi="Times New Roman" w:eastAsia="宋体" w:cs="Times New Roman"/>
          <w:b w:val="0"/>
          <w:color w:val="000000"/>
          <w:sz w:val="24"/>
        </w:rPr>
        <w:t>，发展到能耗与碳足迹的系统报告、计算碳足迹工具及Green AI理念</w:t>
      </w:r>
      <w:r>
        <w:rPr>
          <w:rFonts w:ascii="Times New Roman" w:hAnsi="Times New Roman" w:eastAsia="宋体" w:cs="Times New Roman"/>
          <w:b w:val="0"/>
          <w:color w:val="000000"/>
          <w:sz w:val="24"/>
          <w:vertAlign w:val="superscript"/>
        </w:rPr>
        <w:t>[35-37]</w:t>
      </w:r>
      <w:r>
        <w:rPr>
          <w:rFonts w:ascii="Times New Roman" w:hAnsi="Times New Roman" w:eastAsia="宋体" w:cs="Times New Roman"/>
          <w:b w:val="0"/>
          <w:color w:val="000000"/>
          <w:sz w:val="24"/>
        </w:rPr>
        <w:t>。关于训练碳足迹演变、BLOOM模型核算和部署阶段能耗的研究进一步区分训练与推理的负荷特征</w:t>
      </w:r>
      <w:r>
        <w:rPr>
          <w:rFonts w:ascii="Times New Roman" w:hAnsi="Times New Roman" w:eastAsia="宋体" w:cs="Times New Roman"/>
          <w:b w:val="0"/>
          <w:color w:val="000000"/>
          <w:sz w:val="24"/>
          <w:vertAlign w:val="superscript"/>
        </w:rPr>
        <w:t>[38-40]</w:t>
      </w:r>
      <w:r>
        <w:rPr>
          <w:rFonts w:ascii="Times New Roman" w:hAnsi="Times New Roman" w:eastAsia="宋体" w:cs="Times New Roman"/>
          <w:b w:val="0"/>
          <w:color w:val="000000"/>
          <w:sz w:val="24"/>
        </w:rPr>
        <w:t>；生成式AI电子废物研究则将视角延伸至硬件退役</w:t>
      </w:r>
      <w:r>
        <w:rPr>
          <w:rFonts w:ascii="Times New Roman" w:hAnsi="Times New Roman" w:eastAsia="宋体" w:cs="Times New Roman"/>
          <w:b w:val="0"/>
          <w:color w:val="000000"/>
          <w:sz w:val="24"/>
          <w:vertAlign w:val="superscript"/>
        </w:rPr>
        <w:t>[41]</w:t>
      </w:r>
      <w:r>
        <w:rPr>
          <w:rFonts w:ascii="宋体" w:hAnsi="宋体" w:eastAsia="宋体" w:cs="Times New Roman"/>
          <w:b w:val="0"/>
          <w:color w:val="000000"/>
          <w:sz w:val="24"/>
        </w:rPr>
        <w:t>。</w:t>
      </w:r>
    </w:p>
    <w:p w14:paraId="504B5840">
      <w:pPr>
        <w:spacing w:line="360" w:lineRule="auto" w:before="0" w:after="0"/>
        <w:ind w:firstLine="420"/>
      </w:pPr>
      <w:r>
        <w:rPr>
          <w:rFonts w:ascii="Times New Roman" w:hAnsi="Times New Roman" w:eastAsia="宋体" w:cs="Times New Roman"/>
          <w:b w:val="0"/>
          <w:color w:val="000000"/>
          <w:sz w:val="24"/>
        </w:rPr>
        <w:t>Mytton和工作负荷水耗综述揭示了数据中心水使用的边界及其决定因素</w:t>
      </w:r>
      <w:r>
        <w:rPr>
          <w:rFonts w:ascii="Times New Roman" w:hAnsi="Times New Roman" w:eastAsia="宋体" w:cs="Times New Roman"/>
          <w:b w:val="0"/>
          <w:color w:val="000000"/>
          <w:sz w:val="24"/>
          <w:vertAlign w:val="superscript"/>
        </w:rPr>
        <w:t>[7,8]</w:t>
      </w:r>
      <w:r>
        <w:rPr>
          <w:rFonts w:ascii="Times New Roman" w:hAnsi="Times New Roman" w:eastAsia="宋体" w:cs="Times New Roman"/>
          <w:b w:val="0"/>
          <w:color w:val="000000"/>
          <w:sz w:val="24"/>
        </w:rPr>
        <w:t>；AI服务器情景分析、模型水足迹研究及不确定性预测表明，负荷、冷却、气候与电力结构需要联合考虑</w:t>
      </w:r>
      <w:r>
        <w:rPr>
          <w:rFonts w:ascii="Times New Roman" w:hAnsi="Times New Roman" w:eastAsia="宋体" w:cs="Times New Roman"/>
          <w:b w:val="0"/>
          <w:color w:val="000000"/>
          <w:sz w:val="24"/>
          <w:vertAlign w:val="superscript"/>
        </w:rPr>
        <w:t>[9,42,43]</w:t>
      </w:r>
      <w:r>
        <w:rPr>
          <w:rFonts w:ascii="宋体" w:hAnsi="宋体" w:eastAsia="宋体" w:cs="Times New Roman"/>
          <w:b w:val="0"/>
          <w:color w:val="000000"/>
          <w:sz w:val="24"/>
        </w:rPr>
        <w:t>。现有成果多以设施或区域足迹为终点，本研究拟继续追踪补水来源、排污去向、再生水竞争与城市设施余量。</w:t>
      </w:r>
    </w:p>
    <w:p w14:paraId="7C2AC68A">
      <w:pPr>
        <w:spacing w:line="360" w:lineRule="auto" w:before="0" w:after="0"/>
        <w:ind w:firstLine="420"/>
      </w:pPr>
      <w:r>
        <w:rPr>
          <w:rFonts w:ascii="Times New Roman" w:hAnsi="Times New Roman" w:eastAsia="宋体"/>
          <w:sz w:val="24"/>
        </w:rPr>
        <w:t>近期预印本已讨论数据中心对公共供水容量的压力，以及AI用水与供水条件之间的反馈[44,45]。数据中心，污水厂协同研究则分析数，水共生的环境潜力[46]。这些进展将问题推进到城市接口，也使水量、水质、时间尺度与约束迁移的统一分析成为值得进一步研究的方向。</w:t>
      </w:r>
    </w:p>
    <w:p w14:paraId="4E28DE6E">
      <w:pPr>
        <w:pStyle w:val="18"/>
        <w:pageBreakBefore w:val="0"/>
      </w:pPr>
      <w:r>
        <w:rPr>
          <w:rFonts w:ascii="Times New Roman" w:hAnsi="Times New Roman" w:eastAsia="黑体" w:cs="Times New Roman"/>
          <w:b/>
          <w:color w:val="000000"/>
          <w:sz w:val="24"/>
        </w:rPr>
        <w:t>2.1.4 冷却与再生水工程</w:t>
      </w:r>
    </w:p>
    <w:p w14:paraId="2A312FA4">
      <w:pPr>
        <w:spacing w:line="360" w:lineRule="auto" w:before="0" w:after="0"/>
        <w:ind w:firstLine="420"/>
      </w:pPr>
      <w:r>
        <w:rPr>
          <w:rFonts w:ascii="宋体" w:hAnsi="宋体" w:eastAsia="宋体" w:cs="Times New Roman"/>
          <w:b w:val="0"/>
          <w:color w:val="000000"/>
          <w:sz w:val="24"/>
        </w:rPr>
        <w:t>数据中心冷却综述分别讨论热排散、余热回收和自然冷却条件</w:t>
      </w:r>
      <w:r>
        <w:rPr>
          <w:rFonts w:ascii="Times New Roman" w:hAnsi="Times New Roman" w:eastAsia="宋体" w:cs="Times New Roman"/>
          <w:b w:val="0"/>
          <w:color w:val="000000"/>
          <w:sz w:val="24"/>
          <w:vertAlign w:val="superscript"/>
        </w:rPr>
        <w:t>[47-49]</w:t>
      </w:r>
      <w:r>
        <w:rPr>
          <w:rFonts w:ascii="宋体" w:hAnsi="宋体" w:eastAsia="宋体" w:cs="Times New Roman"/>
          <w:b w:val="0"/>
          <w:color w:val="000000"/>
          <w:sz w:val="24"/>
        </w:rPr>
        <w:t>，相变冷却与综合技术综述进一步梳理设备架构和适用工况</w:t>
      </w:r>
      <w:r>
        <w:rPr>
          <w:rFonts w:ascii="Times New Roman" w:hAnsi="Times New Roman" w:eastAsia="宋体" w:cs="Times New Roman"/>
          <w:b w:val="0"/>
          <w:color w:val="000000"/>
          <w:sz w:val="24"/>
          <w:vertAlign w:val="superscript"/>
        </w:rPr>
        <w:t>[50,51]</w:t>
      </w:r>
      <w:r>
        <w:rPr>
          <w:rFonts w:ascii="宋体" w:hAnsi="宋体" w:eastAsia="宋体" w:cs="Times New Roman"/>
          <w:b w:val="0"/>
          <w:color w:val="000000"/>
          <w:sz w:val="24"/>
        </w:rPr>
        <w:t>，液冷研究指出其系统集成方面的挑战</w:t>
      </w:r>
      <w:r>
        <w:rPr>
          <w:rFonts w:ascii="Times New Roman" w:hAnsi="Times New Roman" w:eastAsia="宋体" w:cs="Times New Roman"/>
          <w:b w:val="0"/>
          <w:color w:val="000000"/>
          <w:sz w:val="24"/>
          <w:vertAlign w:val="superscript"/>
        </w:rPr>
        <w:t>[52]</w:t>
      </w:r>
      <w:r>
        <w:rPr>
          <w:rFonts w:ascii="Times New Roman" w:hAnsi="Times New Roman" w:eastAsia="宋体" w:cs="Times New Roman"/>
          <w:b w:val="0"/>
          <w:color w:val="000000"/>
          <w:sz w:val="24"/>
        </w:rPr>
        <w:t>。本研究区分服务器侧热捕集与设施侧末端排热：空气、direct-to-chip和浸没式液冷描述前者，干式、湿式与干湿混合描述后者。现场耗水由两层架构及运行条件共同决定。</w:t>
      </w:r>
    </w:p>
    <w:p w14:paraId="156D1049">
      <w:pPr>
        <w:spacing w:line="360" w:lineRule="auto" w:before="0" w:after="0"/>
        <w:ind w:firstLine="420"/>
      </w:pPr>
      <w:r>
        <w:rPr>
          <w:rFonts w:ascii="Times New Roman" w:hAnsi="Times New Roman" w:eastAsia="宋体"/>
          <w:sz w:val="24"/>
        </w:rPr>
        <w:t>再生水用于循环冷却时，腐蚀控制[53,54]、结垢抑制[55]和生物生长控制[56]影响可采用的浓缩倍数及运行条件，反渗透深度处理研究为水质改善提供了工程参照[57]。这些工程关系将用于建立水质，排污，补水接口，并分析污水源量、既有用户和再生水输配能力对实际供给的共同约束。</w:t>
      </w:r>
    </w:p>
    <w:p w14:paraId="16A2980F">
      <w:pPr>
        <w:pStyle w:val="18"/>
        <w:pageBreakBefore w:val="0"/>
      </w:pPr>
      <w:r>
        <w:rPr>
          <w:rFonts w:ascii="Times New Roman" w:hAnsi="Times New Roman" w:eastAsia="黑体" w:cs="Times New Roman"/>
          <w:b/>
          <w:color w:val="000000"/>
          <w:sz w:val="24"/>
        </w:rPr>
        <w:t>2.1.5 可靠性与不确定性决策方法</w:t>
      </w:r>
    </w:p>
    <w:p w14:paraId="2D0A84C4">
      <w:pPr>
        <w:spacing w:line="360" w:lineRule="auto" w:before="0" w:after="0"/>
        <w:ind w:firstLine="420"/>
      </w:pPr>
      <w:r>
        <w:rPr>
          <w:rFonts w:ascii="Times New Roman" w:hAnsi="Times New Roman" w:eastAsia="宋体"/>
          <w:sz w:val="24"/>
        </w:rPr>
        <w:t>可靠性，恢复性，脆弱性框架将水系统绩效分为服务满足频率、恢复速度和失效后果[58]。面向干旱与气候不确定性的稳健供水优化和政策评估，强调在多个未来条件下比较方案表现[59,60]；动态适应路径方法通过状态变化安排决策时序[61,62]，并已应用于综合城市污水系统规划[63]。这些研究为结果的情景解释提供参照。NSGA-II是多目标方案比较的代表方法[64]，本论文将核心实验放在容量边界和瓶颈机制，后续决策扩展可在此基础上展开。</w:t>
      </w:r>
    </w:p>
    <w:p w14:paraId="1B245A3B">
      <w:pPr>
        <w:pStyle w:val="17"/>
        <w:pageBreakBefore w:val="0"/>
      </w:pPr>
      <w:r>
        <w:rPr>
          <w:rFonts w:ascii="Times New Roman" w:hAnsi="Times New Roman" w:eastAsia="黑体" w:cs="Times New Roman"/>
          <w:b/>
          <w:color w:val="000000"/>
          <w:sz w:val="28"/>
        </w:rPr>
        <w:t>2.2 国内研究现状</w:t>
      </w:r>
    </w:p>
    <w:p w14:paraId="3C45FD8D">
      <w:pPr>
        <w:spacing w:line="360" w:lineRule="auto" w:before="0" w:after="0"/>
        <w:ind w:firstLine="420"/>
      </w:pPr>
      <w:r>
        <w:rPr>
          <w:rFonts w:ascii="宋体" w:hAnsi="宋体" w:eastAsia="宋体" w:cs="Times New Roman"/>
          <w:b w:val="0"/>
          <w:color w:val="000000"/>
          <w:sz w:val="24"/>
        </w:rPr>
        <w:t>国内水资源承载力研究从概念和方法辨析出发</w:t>
      </w:r>
      <w:r>
        <w:rPr>
          <w:rFonts w:ascii="Times New Roman" w:hAnsi="Times New Roman" w:eastAsia="宋体" w:cs="Times New Roman"/>
          <w:b w:val="0"/>
          <w:color w:val="000000"/>
          <w:sz w:val="24"/>
          <w:vertAlign w:val="superscript"/>
        </w:rPr>
        <w:t>[65]</w:t>
      </w:r>
      <w:r>
        <w:rPr>
          <w:rFonts w:ascii="宋体" w:hAnsi="宋体" w:eastAsia="宋体" w:cs="Times New Roman"/>
          <w:b w:val="0"/>
          <w:color w:val="000000"/>
          <w:sz w:val="24"/>
        </w:rPr>
        <w:t>，发展出设计承载容量、系统动力学模拟与综合评价等路线</w:t>
      </w:r>
      <w:r>
        <w:rPr>
          <w:rFonts w:ascii="Times New Roman" w:hAnsi="Times New Roman" w:eastAsia="宋体" w:cs="Times New Roman"/>
          <w:b w:val="0"/>
          <w:color w:val="000000"/>
          <w:sz w:val="24"/>
          <w:vertAlign w:val="superscript"/>
        </w:rPr>
        <w:t>[66]</w:t>
      </w:r>
      <w:r>
        <w:rPr>
          <w:rFonts w:ascii="宋体" w:hAnsi="宋体" w:eastAsia="宋体" w:cs="Times New Roman"/>
          <w:b w:val="0"/>
          <w:color w:val="000000"/>
          <w:sz w:val="24"/>
        </w:rPr>
        <w:t>。义乌和榆林案例以动态模型分析资源供需和城市发展</w:t>
      </w:r>
      <w:r>
        <w:rPr>
          <w:rFonts w:ascii="Times New Roman" w:hAnsi="Times New Roman" w:eastAsia="宋体" w:cs="Times New Roman"/>
          <w:b w:val="0"/>
          <w:color w:val="000000"/>
          <w:sz w:val="24"/>
          <w:vertAlign w:val="superscript"/>
        </w:rPr>
        <w:t>[67,68]</w:t>
      </w:r>
      <w:r>
        <w:rPr>
          <w:rFonts w:ascii="宋体" w:hAnsi="宋体" w:eastAsia="宋体" w:cs="Times New Roman"/>
          <w:b w:val="0"/>
          <w:color w:val="000000"/>
          <w:sz w:val="24"/>
        </w:rPr>
        <w:t>，长春、广州研究将动态模拟与综合评价结合</w:t>
      </w:r>
      <w:r>
        <w:rPr>
          <w:rFonts w:ascii="Times New Roman" w:hAnsi="Times New Roman" w:eastAsia="宋体" w:cs="Times New Roman"/>
          <w:b w:val="0"/>
          <w:color w:val="000000"/>
          <w:sz w:val="24"/>
          <w:vertAlign w:val="superscript"/>
        </w:rPr>
        <w:t>[69,70]</w:t>
      </w:r>
      <w:r>
        <w:rPr>
          <w:rFonts w:ascii="宋体" w:hAnsi="宋体" w:eastAsia="宋体" w:cs="Times New Roman"/>
          <w:b w:val="0"/>
          <w:color w:val="000000"/>
          <w:sz w:val="24"/>
        </w:rPr>
        <w:t>。水环境承载力分区和承载上限检验进一步把污染负荷、区域差异与边界问题纳入分析</w:t>
      </w:r>
      <w:r>
        <w:rPr>
          <w:rFonts w:ascii="Times New Roman" w:hAnsi="Times New Roman" w:eastAsia="宋体" w:cs="Times New Roman"/>
          <w:b w:val="0"/>
          <w:color w:val="000000"/>
          <w:sz w:val="24"/>
          <w:vertAlign w:val="superscript"/>
        </w:rPr>
        <w:t>[71,72]</w:t>
      </w:r>
      <w:r>
        <w:rPr>
          <w:rFonts w:ascii="Times New Roman" w:hAnsi="Times New Roman" w:eastAsia="宋体" w:cs="Times New Roman"/>
          <w:b w:val="0"/>
          <w:color w:val="000000"/>
          <w:sz w:val="24"/>
        </w:rPr>
        <w:t>。这些研究提供了状态变量与情景设计经验，本课题将承载对象具体化为AI IT容量，并连接设施余量与时变服务约束。</w:t>
      </w:r>
    </w:p>
    <w:p w14:paraId="5B49BE0E">
      <w:pPr>
        <w:spacing w:line="360" w:lineRule="auto" w:before="0" w:after="0"/>
        <w:ind w:firstLine="420"/>
      </w:pPr>
      <w:r>
        <w:rPr>
          <w:rFonts w:ascii="Times New Roman" w:hAnsi="Times New Roman" w:eastAsia="宋体"/>
          <w:sz w:val="24"/>
        </w:rPr>
        <w:t>国内相关城市水代谢研究利用生态网络分析联合描述物理水和虚拟水代谢过程[73]，城市代谢视角的水，能综述梳理了资源流之间的耦合[74]。面向未来城市缺水的全球研究提示城市间资源禀赋和需求增长的差异[75]；再生水与污水系统适应路径研究关注不确定未来下的设施决策[76]。本课题将在这些基础上，以深度案例和外部城市锚点比较AI负荷引起的结构响应，而不以城市排名替代机制分析。</w:t>
      </w:r>
    </w:p>
    <w:p w14:paraId="2024C0AD">
      <w:pPr>
        <w:spacing w:line="360" w:lineRule="auto" w:before="0" w:after="0"/>
        <w:ind w:firstLine="420"/>
      </w:pPr>
      <w:r>
        <w:rPr>
          <w:rFonts w:ascii="宋体" w:hAnsi="宋体" w:eastAsia="宋体" w:cs="Times New Roman"/>
          <w:b w:val="0"/>
          <w:color w:val="000000"/>
          <w:sz w:val="24"/>
        </w:rPr>
        <w:t>针对中国数据中心的设施级研究已经开展能源驱动水足迹与水资源稀缺性分析</w:t>
      </w:r>
      <w:r>
        <w:rPr>
          <w:rFonts w:ascii="Times New Roman" w:hAnsi="Times New Roman" w:eastAsia="宋体" w:cs="Times New Roman"/>
          <w:b w:val="0"/>
          <w:color w:val="000000"/>
          <w:sz w:val="24"/>
          <w:vertAlign w:val="superscript"/>
        </w:rPr>
        <w:t>[10]</w:t>
      </w:r>
      <w:r>
        <w:rPr>
          <w:rFonts w:ascii="宋体" w:hAnsi="宋体" w:eastAsia="宋体" w:cs="Times New Roman"/>
          <w:b w:val="0"/>
          <w:color w:val="000000"/>
          <w:sz w:val="24"/>
        </w:rPr>
        <w:t>；绿色低碳发展政策提出资源效率和布局要求</w:t>
      </w:r>
      <w:r>
        <w:rPr>
          <w:rFonts w:ascii="Times New Roman" w:hAnsi="Times New Roman" w:eastAsia="宋体" w:cs="Times New Roman"/>
          <w:b w:val="0"/>
          <w:color w:val="000000"/>
          <w:sz w:val="24"/>
          <w:vertAlign w:val="superscript"/>
        </w:rPr>
        <w:t>[1]</w:t>
      </w:r>
      <w:r>
        <w:rPr>
          <w:rFonts w:ascii="宋体" w:hAnsi="宋体" w:eastAsia="宋体" w:cs="Times New Roman"/>
          <w:b w:val="0"/>
          <w:color w:val="000000"/>
          <w:sz w:val="24"/>
        </w:rPr>
        <w:t>，水资源使用效率标准提供数据中心评价口径</w:t>
      </w:r>
      <w:r>
        <w:rPr>
          <w:rFonts w:ascii="Times New Roman" w:hAnsi="Times New Roman" w:eastAsia="宋体" w:cs="Times New Roman"/>
          <w:b w:val="0"/>
          <w:color w:val="000000"/>
          <w:sz w:val="24"/>
          <w:vertAlign w:val="superscript"/>
        </w:rPr>
        <w:t>[77]</w:t>
      </w:r>
      <w:r>
        <w:rPr>
          <w:rFonts w:ascii="宋体" w:hAnsi="宋体" w:eastAsia="宋体" w:cs="Times New Roman"/>
          <w:b w:val="0"/>
          <w:color w:val="000000"/>
          <w:sz w:val="24"/>
        </w:rPr>
        <w:t>。供排水设计标准则为设施能力、服务条件和工程参数提供参照</w:t>
      </w:r>
      <w:r>
        <w:rPr>
          <w:rFonts w:ascii="Times New Roman" w:hAnsi="Times New Roman" w:eastAsia="宋体" w:cs="Times New Roman"/>
          <w:b w:val="0"/>
          <w:color w:val="000000"/>
          <w:sz w:val="24"/>
          <w:vertAlign w:val="superscript"/>
        </w:rPr>
        <w:t>[78,79]</w:t>
      </w:r>
      <w:r>
        <w:rPr>
          <w:rFonts w:ascii="Times New Roman" w:hAnsi="Times New Roman" w:eastAsia="宋体" w:cs="Times New Roman"/>
          <w:b w:val="0"/>
          <w:color w:val="000000"/>
          <w:sz w:val="24"/>
        </w:rPr>
        <w:t>。现有研究与标准分别覆盖设施效率和水务工程，本研究拟建立二者之间的过程接口，使AI规模、冷却技术与城市服务能力能够在同一边界下分析。</w:t>
      </w:r>
    </w:p>
    <w:p>
      <w:pPr>
        <w:spacing w:line="360" w:lineRule="auto" w:before="0" w:after="0"/>
        <w:ind w:firstLine="420"/>
      </w:pPr>
      <w:r>
        <w:rPr>
          <w:rFonts w:ascii="Times New Roman" w:hAnsi="Times New Roman"/>
          <w:sz w:val="24"/>
        </w:rPr>
        <w:t>本文关注的缺口可以转化为三个可检验命题。其一，当AI负荷占城市基准供水或关键设施剩余能力达到某一相对区间时，路径比例和淡水依赖率是否发生超出线性放大的持续变化；其二，在年总量相同的情形下，负荷时序、湿球温度和传统需求峰值是否造成显著的CAWCC提前；其三，再生水供给、给水扩容或冷却替换是否会使主导约束发生可识别的迁移。每个命题都由输入、过程指标和边界输出构成完整证据链。</w:t>
      </w:r>
    </w:p>
    <w:p>
      <w:pPr>
        <w:pStyle w:val="18"/>
      </w:pPr>
      <w:r>
        <w:rPr>
          <w:rFonts w:ascii="Times New Roman" w:hAnsi="Times New Roman"/>
          <w:sz w:val="24"/>
        </w:rPr>
        <w:t>2.3.3 可检验的科学缺口</w:t>
      </w:r>
    </w:p>
    <w:p>
      <w:pPr>
        <w:spacing w:line="360" w:lineRule="auto" w:before="0" w:after="0"/>
        <w:ind w:firstLine="420"/>
      </w:pPr>
      <w:r>
        <w:rPr>
          <w:rFonts w:ascii="Times New Roman" w:hAnsi="Times New Roman"/>
          <w:sz w:val="24"/>
        </w:rPr>
        <w:t>本研究把“AI IT容量”定义为外生规模变量，把水源、给水、污水、再生水、储存、输配和服务优先级定义为参数化系统状态，把冷却架构和气候条件定义为过程参数，把CAWCC及其主导瓶颈定义为系统输出。这样，研究不需要把某一座城市的全部复杂性都复制进模型，而是可以在可解释的参数域内连续改变一个因素、保持其他因素不变，识别结构重构和瓶颈迁移的必要条件。</w:t>
      </w:r>
    </w:p>
    <w:p>
      <w:pPr>
        <w:pStyle w:val="18"/>
      </w:pPr>
      <w:r>
        <w:rPr>
          <w:rFonts w:ascii="Times New Roman" w:hAnsi="Times New Roman"/>
          <w:sz w:val="24"/>
        </w:rPr>
        <w:t>2.3.2 本研究的切入点</w:t>
      </w:r>
    </w:p>
    <w:p>
      <w:pPr>
        <w:spacing w:line="360" w:lineRule="auto" w:before="0" w:after="0"/>
        <w:ind w:firstLine="420"/>
      </w:pPr>
      <w:r>
        <w:rPr>
          <w:rFonts w:ascii="Times New Roman" w:hAnsi="Times New Roman"/>
          <w:sz w:val="24"/>
        </w:rPr>
        <w:t>从研究对象看，数据中心研究擅长描述IT负荷、PUE、冷却和设施水耗，城市水系统研究擅长描述供水、用水、污水、再生水和环境排放，水资源承载力研究擅长把资源状态与发展规模联系起来。三类研究形成了互补基础，但尚未形成一个能够用同一组状态变量和守恒关系进行连续实验的共同接口。现有设施模型通常把水源质量和城市管网能力外置为给定条件，城市水模型则通常把高密度计算负荷简化为一般工业用户，承载力模型又较少刻画小时级连续负荷和冷却技术的热—水转换。</w:t>
      </w:r>
    </w:p>
    <w:p>
      <w:pPr>
        <w:pStyle w:val="18"/>
      </w:pPr>
      <w:r>
        <w:rPr>
          <w:rFonts w:ascii="Times New Roman" w:hAnsi="Times New Roman"/>
          <w:sz w:val="24"/>
        </w:rPr>
        <w:t>2.3.1 现有研究的互补性与断裂</w:t>
      </w:r>
    </w:p>
    <w:p w14:paraId="39638A3E">
      <w:pPr>
        <w:pStyle w:val="17"/>
        <w:pageBreakBefore w:val="0"/>
      </w:pPr>
      <w:r>
        <w:rPr>
          <w:rFonts w:ascii="Times New Roman" w:hAnsi="Times New Roman" w:eastAsia="黑体" w:cs="Times New Roman"/>
          <w:b/>
          <w:color w:val="000000"/>
          <w:sz w:val="28"/>
        </w:rPr>
        <w:t>2.3 国内外文献综述简析</w:t>
      </w:r>
    </w:p>
    <w:p w14:paraId="75892E0C">
      <w:pPr>
        <w:spacing w:line="360" w:lineRule="auto" w:before="0" w:after="0"/>
        <w:ind w:firstLine="420"/>
      </w:pPr>
      <w:r>
        <w:rPr>
          <w:rFonts w:ascii="Times New Roman" w:hAnsi="Times New Roman"/>
          <w:sz w:val="24"/>
        </w:rPr>
        <w:t>现有研究留下的主要问题是：本课题的空白不是“缺少一种算法”，而是现有知识链条尚未闭合。设施足迹研究能够把计算量转换为水耗，城市水系统研究能够描述供水，污水，再生水循环，但两者之间缺少一个以AI IT容量为驱动、以城市人工水系统为边界、能够在日尺度上验证的过程接口。现有研究也缺少对“相同年度水量为何产生不同系统压力”的时间尺度解释，以及对水源、给水、污水和再生水瓶颈转换的机制识别。</w:t>
      </w:r>
    </w:p>
    <w:p w14:paraId="2CF41326">
      <w:pPr>
        <w:spacing w:line="360" w:lineRule="auto" w:before="0" w:after="0"/>
        <w:ind w:firstLine="420"/>
      </w:pPr>
      <w:r>
        <w:rPr>
          <w:rFonts w:ascii="宋体" w:hAnsi="宋体" w:eastAsia="宋体"/>
          <w:sz w:val="24"/>
        </w:rPr>
        <w:t>本研究据此凝练三条科学矛盾：第一，设施补水的规模增长与城市水流结构变化并非同一件事；第二，相同年用水量可能对应不同的峰值压力和服务可靠性；第三，增加再生水或扩充设施改变的不是单纯容量大小，也会改变决定容量的主导环节。三条矛盾分别对应“发生了什么，为什么边界不同，边界由什么控制”的递进认识。</w:t>
      </w:r>
    </w:p>
    <w:p w14:paraId="6A13A867">
      <w:pPr>
        <w:spacing w:line="360" w:lineRule="auto" w:before="0" w:after="0"/>
        <w:ind w:firstLine="420"/>
      </w:pPr>
      <w:r>
        <w:rPr>
          <w:rFonts w:ascii="Times New Roman" w:hAnsi="Times New Roman" w:eastAsia="宋体"/>
          <w:sz w:val="24"/>
        </w:rPr>
        <w:t>为使“代谢结构重构”具有可检验含义，本文把AI边际响应分为三个层次：第一层是规模响应，即各水流路径比例近似稳定、总量随容量同步变化；第二层是结构响应，即水源结构、Withdrawal，Consumption，Return Flow比例或污水，再生水内部循环发生持续偏移；第三层是约束状态转换，即主导约束从水源转向给水、从给水转向污水/再生水或从水量转向水质。只有同时观察到结构指标的系统性变化并排除单一容量截断造成的机械折点，才将结果解释为结构重构。</w:t>
      </w:r>
    </w:p>
    <w:p w14:paraId="2F1F47E6">
      <w:pPr>
        <w:spacing w:line="360" w:lineRule="auto" w:before="0" w:after="0"/>
        <w:ind w:firstLine="420"/>
      </w:pPr>
      <w:r>
        <w:rPr>
          <w:rFonts w:ascii="Times New Roman" w:hAnsi="Times New Roman" w:eastAsia="宋体" w:cs="Times New Roman"/>
          <w:b w:val="0"/>
          <w:color w:val="000000"/>
          <w:sz w:val="24"/>
        </w:rPr>
        <w:t>从证据结构看，设施研究的优势是冷却和负荷关系较清晰，城市综合模型的优势是供排水路径与内部循环完整，承载力研究的优势是将资源状态与发展规模连接。研究切入点是把三类知识组织为可检验的因果链：首先以守恒关系确认AI新增用水如何分配为消耗和回流；其次在保持年总量可比的条件下改变负荷时序和气候响应；最后通过逐项解除约束观察边界与瓶颈变化。由此，模型承担统一实验平台的作用，论文的核心产出是结构重构发生的条件、时间尺度差异的控制因素，以及设施干预收益转折的机制解释。</w:t>
      </w:r>
    </w:p>
    <w:p>
      <w:pPr>
        <w:pStyle w:val="17"/>
      </w:pPr>
      <w:r>
        <w:rPr>
          <w:rFonts w:ascii="Times New Roman" w:hAnsi="Times New Roman"/>
        </w:rPr>
        <w:t>3.21 输出指标与统计分析</w:t>
      </w:r>
    </w:p>
    <w:p>
      <w:pPr>
        <w:spacing w:line="360" w:lineRule="auto"/>
        <w:ind w:firstLine="420"/>
      </w:pPr>
      <w:r>
        <w:rPr>
          <w:rFonts w:ascii="Times New Roman" w:hAnsi="Times New Roman"/>
        </w:rPr>
        <w:t>输出指标分为规模指标、结构指标、承载指标和证据指标。规模指标包括总取水、耗水、回用量、排水量和处理量；结构指标包括水源份额、淡水依赖率、再生水份额、内部循环率、回流率和单位AI容量水耗；承载指标包括CAWCC、剩余裕度、首次失效容量、失效持续时长、恢复时间和边界提前量；证据指标包括敏感性指数、重复抽样置信区间、结构稳健性比例和外部资料方向一致率。对非单调结果报告完整可行域，不用单一均值掩盖峰值失效和多约束竞争。</w:t>
      </w:r>
    </w:p>
    <w:p>
      <w:pPr>
        <w:pStyle w:val="17"/>
      </w:pPr>
      <w:r>
        <w:rPr>
          <w:rFonts w:ascii="Times New Roman" w:hAnsi="Times New Roman"/>
        </w:rPr>
        <w:t>3.20 实验矩阵与对照设计</w:t>
      </w:r>
    </w:p>
    <w:p>
      <w:pPr>
        <w:spacing w:line="360" w:lineRule="auto"/>
        <w:ind w:firstLine="420"/>
      </w:pPr>
      <w:r>
        <w:rPr>
          <w:rFonts w:ascii="Times New Roman" w:hAnsi="Times New Roman"/>
        </w:rPr>
        <w:t>研究采用逐项控制变量的实验矩阵。基准实验固定系统状态、气候状态、服务优先级和技术架构，仅提高AI IT容量，获得容量—压力响应曲线；时间尺度实验保持年总水量和年总负荷相近，仅改变负荷峰值、持续时间、湿球温度和需求峰值的重合关系，识别年均边界与峰值边界的差异；结构对照实验分别替换空气冷却、直接液冷、浸没式液冷以及干式、湿式和混合式末端排热方式，区分技术效率变化和城市供水约束变化。每项实验设置至少一个普通工业用户对照，以判断AI负荷的特异性。</w:t>
      </w:r>
    </w:p>
    <w:p w14:paraId="2E8E3F48">
      <w:pPr>
        <w:pStyle w:val="16"/>
        <w:pageBreakBefore/>
      </w:pPr>
      <w:r>
        <w:rPr>
          <w:rFonts w:ascii="Times New Roman" w:hAnsi="Times New Roman" w:eastAsia="黑体" w:cs="Times New Roman"/>
          <w:b/>
          <w:color w:val="000000"/>
          <w:sz w:val="30"/>
        </w:rPr>
        <w:t>3 主要内容及方案</w:t>
      </w:r>
    </w:p>
    <w:p w14:paraId="4ADB3769">
      <w:pPr>
        <w:pStyle w:val="17"/>
        <w:pageBreakBefore w:val="0"/>
      </w:pPr>
      <w:r>
        <w:rPr>
          <w:rFonts w:ascii="Times New Roman" w:hAnsi="Times New Roman" w:eastAsia="黑体" w:cs="Times New Roman"/>
          <w:b/>
          <w:color w:val="000000"/>
          <w:sz w:val="28"/>
        </w:rPr>
        <w:t>3.1 科学问题与研究假设</w:t>
      </w:r>
    </w:p>
    <w:p w14:paraId="247C0A66">
      <w:pPr>
        <w:spacing w:line="360" w:lineRule="auto" w:before="0" w:after="0"/>
        <w:ind w:firstLine="420"/>
      </w:pPr>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21A3E997">
      <w:pPr>
        <w:spacing w:line="360" w:lineRule="auto" w:before="0" w:after="0"/>
        <w:ind w:firstLine="420"/>
      </w:pPr>
      <w:r>
        <w:rPr>
          <w:rFonts w:ascii="Times New Roman" w:hAnsi="Times New Roman" w:eastAsia="宋体"/>
          <w:sz w:val="24"/>
        </w:rPr>
        <w:t>科学问题一（代谢响应）：AI算力基础设施通过怎样的取水，消耗，回流，再生利用链条影响城市人工水系统？当AI规模接近城市关键设施的剩余容量时，系统响应何时由水量增加转变为水源结构、循环路径和设施负荷的重构？</w:t>
      </w:r>
    </w:p>
    <w:p w14:paraId="5C92722E">
      <w:pPr>
        <w:spacing w:line="360" w:lineRule="auto" w:before="0" w:after="0"/>
        <w:ind w:firstLine="420"/>
      </w:pPr>
      <w:r>
        <w:rPr>
          <w:rFonts w:ascii="Times New Roman" w:hAnsi="Times New Roman" w:eastAsia="宋体" w:cs="Times New Roman"/>
          <w:b w:val="0"/>
          <w:color w:val="000000"/>
          <w:sz w:val="24"/>
        </w:rPr>
        <w:t>科学问题二（时间尺度边界）：AI负荷的连续性、冷却对高温的敏感性以及与传统城市需水峰值的耦合，如何造成年均、日尺度和极端小时尺度承载边界的差异？年均评价在何种城市状态下会高估可承载AI规模？</w:t>
      </w:r>
    </w:p>
    <w:p w14:paraId="72BBA176">
      <w:pPr>
        <w:spacing w:line="360" w:lineRule="auto" w:before="0" w:after="0"/>
        <w:ind w:firstLine="420"/>
      </w:pPr>
      <w:r>
        <w:rPr>
          <w:rFonts w:ascii="Times New Roman" w:hAnsi="Times New Roman" w:eastAsia="宋体" w:cs="Times New Roman"/>
          <w:b w:val="0"/>
          <w:color w:val="000000"/>
          <w:sz w:val="24"/>
        </w:rPr>
        <w:t>科学问题三（瓶颈转换）：随着AI容量、城市基础设施裕度和再生水配置变化，水源、给水、污水、再生水、局部接入和水质约束如何成为主导或共同主导瓶颈？不同干预措施的有效区间和边际收益转折由什么决定？</w:t>
      </w:r>
    </w:p>
    <w:p w14:paraId="46AA2331">
      <w:pPr>
        <w:spacing w:line="360" w:lineRule="auto" w:before="0" w:after="0"/>
        <w:ind w:firstLine="420"/>
      </w:pPr>
      <w:r>
        <w:rPr>
          <w:rFonts w:ascii="Times New Roman" w:hAnsi="Times New Roman" w:eastAsia="宋体"/>
          <w:sz w:val="24"/>
        </w:rPr>
        <w:t>H1（代谢结构假设）：低AI负荷主要产生规模效应；当AI负荷接近关键设施剩余容量或改变水源配置时，淡水依赖、消耗，回流比例和再生水路径出现非线性结构变化。</w:t>
      </w:r>
    </w:p>
    <w:p w14:paraId="16B4A0CA">
      <w:pPr>
        <w:spacing w:line="360" w:lineRule="auto" w:before="0" w:after="0"/>
        <w:ind w:firstLine="420"/>
      </w:pPr>
      <w:r>
        <w:rPr>
          <w:rFonts w:ascii="Times New Roman" w:hAnsi="Times New Roman" w:eastAsia="宋体" w:cs="Times New Roman"/>
          <w:b w:val="0"/>
          <w:color w:val="000000"/>
          <w:sz w:val="24"/>
        </w:rPr>
        <w:t>H2（时间尺度假设）：AI连续负荷与高温冷却需求具有同步增强特征，年均容量边界通常高于日尺度边界，极端周小时边界进一步受峰值重合、湿球温度和干旱水源折减控制。</w:t>
      </w:r>
    </w:p>
    <w:p w14:paraId="7C333FA2">
      <w:pPr>
        <w:spacing w:line="360" w:lineRule="auto" w:before="0" w:after="0"/>
        <w:ind w:firstLine="420"/>
      </w:pPr>
      <w:r>
        <w:rPr>
          <w:rFonts w:ascii="Times New Roman" w:hAnsi="Times New Roman" w:eastAsia="宋体" w:cs="Times New Roman"/>
          <w:b w:val="0"/>
          <w:color w:val="000000"/>
          <w:sz w:val="24"/>
        </w:rPr>
        <w:t>H3（瓶颈迁移假设）：AI扩张和干预措施改变的不仅是边界位置，也改变边界由谁决定；再生水扩容在源量、水质、处理、输配或既有用户竞争约束下存在边际收益转折。</w:t>
      </w:r>
    </w:p>
    <w:p w14:paraId="1CF0CDB6">
      <w:pPr>
        <w:pStyle w:val="17"/>
        <w:pageBreakBefore w:val="0"/>
      </w:pPr>
      <w:r>
        <w:rPr>
          <w:rFonts w:ascii="Times New Roman" w:hAnsi="Times New Roman" w:eastAsia="黑体" w:cs="Times New Roman"/>
          <w:b/>
          <w:color w:val="000000"/>
          <w:sz w:val="28"/>
        </w:rPr>
        <w:t>3.2 研究内容与总体框架</w:t>
      </w:r>
    </w:p>
    <w:p w14:paraId="5BE5642A">
      <w:pPr>
        <w:spacing w:line="360" w:lineRule="auto" w:before="0" w:after="0"/>
        <w:ind w:firstLine="420"/>
      </w:pPr>
      <w:r>
        <w:rPr>
          <w:rFonts w:ascii="宋体" w:hAnsi="宋体" w:eastAsia="宋体"/>
          <w:sz w:val="24"/>
        </w:rPr>
        <w:t>四项研究内容并非四个并列的工程模块：第一项模型建立是统一实验平台，后三项分别承担现象识别、边界解释和干预分析，论文的科学贡献集中在代谢响应、时间尺度边界与瓶颈转换三类认识。</w:t>
      </w:r>
    </w:p>
    <w:p w14:paraId="0712E00A">
      <w:pPr>
        <w:spacing w:before="120" w:after="120" w:line="360" w:lineRule="auto"/>
        <w:ind w:firstLine="420"/>
      </w:pPr>
      <w:r>
        <w:rPr>
          <w:rFonts w:ascii="Times New Roman" w:hAnsi="Times New Roman" w:eastAsia="宋体" w:cs="Times New Roman"/>
          <w:b w:val="0"/>
          <w:color w:val="000000"/>
          <w:sz w:val="24"/>
        </w:rPr>
        <w:t>表3-1 研究内容、核心任务与预期产出</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67" w:type="dxa"/>
          </w:tcPr>
          <w:p w14:paraId="28EA782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研究内容</w:t>
            </w:r>
          </w:p>
        </w:tc>
        <w:tc>
          <w:tcPr>
            <w:tcW w:w="2267" w:type="dxa"/>
          </w:tcPr>
          <w:p w14:paraId="46D3E4E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核心任务</w:t>
            </w:r>
          </w:p>
        </w:tc>
        <w:tc>
          <w:tcPr>
            <w:tcW w:w="2267" w:type="dxa"/>
          </w:tcPr>
          <w:p w14:paraId="55C24A5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拟回答的问题</w:t>
            </w:r>
          </w:p>
        </w:tc>
        <w:tc>
          <w:tcPr>
            <w:tcW w:w="2270" w:type="dxa"/>
          </w:tcPr>
          <w:p w14:paraId="04952F5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2191D8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一、耦合模型</w:t>
            </w:r>
          </w:p>
        </w:tc>
        <w:tc>
          <w:tcPr>
            <w:tcW w:w="2267" w:type="dxa"/>
          </w:tcPr>
          <w:p w14:paraId="6CC6CE7C">
            <w:pPr>
              <w:keepNext w:val="0"/>
              <w:spacing w:before="40" w:after="40" w:line="276" w:lineRule="auto"/>
              <w:ind w:left="0" w:right="0" w:firstLine="0"/>
              <w:jc w:val="left"/>
              <w:rPr>
                <w:rFonts w:ascii="Times New Roman" w:hAnsi="Times New Roman" w:eastAsia="宋体"/>
              </w:rPr>
            </w:pPr>
            <w:r>
              <w:rPr>
                <w:rFonts w:ascii="宋体" w:hAnsi="宋体" w:eastAsia="宋体"/>
                <w:sz w:val="21"/>
              </w:rPr>
              <w:t>建立AI节点、城市水循环、水量水质守恒和参数证据库</w:t>
            </w:r>
          </w:p>
        </w:tc>
        <w:tc>
          <w:tcPr>
            <w:tcW w:w="2267" w:type="dxa"/>
          </w:tcPr>
          <w:p w14:paraId="7373FFE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AI如何进入城市水流网络</w:t>
            </w:r>
          </w:p>
        </w:tc>
        <w:tc>
          <w:tcPr>
            <w:tcW w:w="2270" w:type="dxa"/>
          </w:tcPr>
          <w:p w14:paraId="471264C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可验证AI-UWM模型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89DC4B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二、代谢响应</w:t>
            </w:r>
          </w:p>
        </w:tc>
        <w:tc>
          <w:tcPr>
            <w:tcW w:w="2267" w:type="dxa"/>
          </w:tcPr>
          <w:p w14:paraId="3030DEF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容量梯度、冷却/水源对照、AI与普通工业对照</w:t>
            </w:r>
          </w:p>
        </w:tc>
        <w:tc>
          <w:tcPr>
            <w:tcW w:w="2267" w:type="dxa"/>
          </w:tcPr>
          <w:p w14:paraId="2253B6B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何时由规模效应转为结构重构</w:t>
            </w:r>
          </w:p>
        </w:tc>
        <w:tc>
          <w:tcPr>
            <w:tcW w:w="2270" w:type="dxa"/>
          </w:tcPr>
          <w:p w14:paraId="434A3EB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327858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三、承载边界</w:t>
            </w:r>
          </w:p>
        </w:tc>
        <w:tc>
          <w:tcPr>
            <w:tcW w:w="2267" w:type="dxa"/>
          </w:tcPr>
          <w:p w14:paraId="465881E0">
            <w:pPr>
              <w:keepNext w:val="0"/>
              <w:spacing w:before="40" w:after="40" w:line="276" w:lineRule="auto"/>
              <w:ind w:left="0" w:right="0" w:firstLine="0"/>
              <w:jc w:val="left"/>
              <w:rPr>
                <w:rFonts w:ascii="Times New Roman" w:hAnsi="Times New Roman" w:eastAsia="宋体"/>
              </w:rPr>
            </w:pPr>
            <w:r>
              <w:rPr>
                <w:rFonts w:ascii="宋体" w:hAnsi="宋体" w:eastAsia="宋体"/>
                <w:sz w:val="21"/>
              </w:rPr>
              <w:t>年均，日，小时、复合气候、CAWCC求解</w:t>
            </w:r>
          </w:p>
        </w:tc>
        <w:tc>
          <w:tcPr>
            <w:tcW w:w="2267" w:type="dxa"/>
          </w:tcPr>
          <w:p w14:paraId="4EC1BE6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平均与峰值边界为何不同</w:t>
            </w:r>
          </w:p>
        </w:tc>
        <w:tc>
          <w:tcPr>
            <w:tcW w:w="2270" w:type="dxa"/>
          </w:tcPr>
          <w:p w14:paraId="02621CA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0FD7D79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四、瓶颈与干预</w:t>
            </w:r>
          </w:p>
        </w:tc>
        <w:tc>
          <w:tcPr>
            <w:tcW w:w="2267" w:type="dxa"/>
          </w:tcPr>
          <w:p w14:paraId="6AA3F71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约束转换、再生水边际收益、负担转移</w:t>
            </w:r>
          </w:p>
        </w:tc>
        <w:tc>
          <w:tcPr>
            <w:tcW w:w="2267" w:type="dxa"/>
          </w:tcPr>
          <w:p w14:paraId="26E4A26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什么措施在什么条件下有效</w:t>
            </w:r>
          </w:p>
        </w:tc>
        <w:tc>
          <w:tcPr>
            <w:tcW w:w="2270" w:type="dxa"/>
          </w:tcPr>
          <w:p w14:paraId="380A044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瓶颈图谱和规划建议</w:t>
            </w:r>
          </w:p>
        </w:tc>
      </w:tr>
    </w:tbl>
    <w:p w14:paraId="2C7C8C6C">
      <w:pPr>
        <w:spacing w:line="360" w:lineRule="auto" w:before="0" w:after="0"/>
        <w:ind w:firstLine="420"/>
      </w:pPr>
      <w:r>
        <w:rPr>
          <w:rFonts w:ascii="Times New Roman" w:hAnsi="Times New Roman" w:eastAsia="宋体"/>
          <w:sz w:val="24"/>
        </w:rPr>
        <w:t>研究一：AI，城市水系统耦合机制。明确AI设施在城市水网络中的节点位置、边界和水量水质路径，建立最小闭环并完成验证。该研究解决“AI负荷如何转化为Withdrawal、Consumption和Return Flow”的基础问题，为后续所有边界分析提供统一分母和守恒基础。</w:t>
      </w:r>
    </w:p>
    <w:p w14:paraId="26340C21">
      <w:pPr>
        <w:spacing w:line="360" w:lineRule="auto" w:before="0" w:after="0"/>
        <w:ind w:firstLine="420"/>
      </w:pPr>
      <w:r>
        <w:rPr>
          <w:rFonts w:ascii="Times New Roman" w:hAnsi="Times New Roman" w:eastAsia="宋体" w:cs="Times New Roman"/>
          <w:b w:val="0"/>
          <w:color w:val="000000"/>
          <w:sz w:val="24"/>
        </w:rPr>
        <w:t>研究二：AI扩张下城市水代谢响应。沿AI容量梯度改变负荷率、冷却架构和水源配置，比较AI情景与Baseline，并设置等效普通工业冷却对照。研究重点由平均耗水系数转向识别在何种AI容量比、设施裕度和水源组合下，淡水依赖、内部循环和设施负荷出现结构性转折。</w:t>
      </w:r>
    </w:p>
    <w:p w14:paraId="7033930A">
      <w:pPr>
        <w:spacing w:line="360" w:lineRule="auto" w:before="0" w:after="0"/>
        <w:ind w:firstLine="420"/>
      </w:pPr>
      <w:r>
        <w:rPr>
          <w:rFonts w:ascii="Times New Roman" w:hAnsi="Times New Roman" w:eastAsia="宋体" w:cs="Times New Roman"/>
          <w:b w:val="0"/>
          <w:color w:val="000000"/>
          <w:sz w:val="24"/>
        </w:rPr>
        <w:t>研究三：时间尺度依赖的CAWCC。对同一城市状态分别计算年均、日尺度和极端周小时边界，逐步加入高温、干旱和传统需求峰值。通过峰值重合指数、湿球温度、水源折减和设施剩余裕度解释边界提前，回答年均评价何时系统性高估AI承载能力。</w:t>
      </w:r>
    </w:p>
    <w:p w14:paraId="23B23711">
      <w:pPr>
        <w:spacing w:line="360" w:lineRule="auto" w:before="0" w:after="0"/>
        <w:ind w:firstLine="420"/>
      </w:pPr>
      <w:r>
        <w:rPr>
          <w:rFonts w:ascii="Times New Roman" w:hAnsi="Times New Roman" w:eastAsia="宋体"/>
          <w:sz w:val="24"/>
        </w:rPr>
        <w:t>研究四：瓶颈转换与干预边界。对水源、给水、污水、再生水、接入和水质约束分别记录首次达到失效条件的AI容量，绘制城市状态，技术，瓶颈转换图。进一步增加再生水处理/输配、给水和污水能力，比较单位干预带来的CAWCC提升，识别源量受限、质量受限、处理受限、输配受限和竞争受限的边际转折。</w:t>
      </w:r>
    </w:p>
    <w:p w14:paraId="40D93AA6">
      <w:pPr>
        <w:pStyle w:val="17"/>
        <w:pageBreakBefore w:val="0"/>
      </w:pPr>
      <w:r>
        <w:rPr>
          <w:rFonts w:ascii="Times New Roman" w:hAnsi="Times New Roman" w:eastAsia="黑体" w:cs="Times New Roman"/>
          <w:b/>
          <w:color w:val="000000"/>
          <w:sz w:val="28"/>
        </w:rPr>
        <w:t>3.3 总体技术路线</w:t>
      </w:r>
    </w:p>
    <w:p w14:paraId="59994E59">
      <w:pPr>
        <w:spacing w:line="360" w:lineRule="auto" w:before="0" w:after="0"/>
        <w:ind w:firstLine="420"/>
      </w:pPr>
      <w:r>
        <w:rPr>
          <w:rFonts w:ascii="Times New Roman" w:hAnsi="Times New Roman"/>
          <w:sz w:val="24"/>
        </w:rPr>
        <w:t>总体技术路线：证据审计→AI—城市水系统水量/水质闭合→连续参数空间采样→典型参数组合实验→CAWCC与瓶颈图谱→结构化干预和稳健性分析。</w:t>
      </w:r>
    </w:p>
    <w:p w14:paraId="5AC701E9">
      <w:pPr>
        <w:spacing w:line="360" w:lineRule="auto" w:before="0" w:after="0"/>
        <w:ind w:firstLine="420"/>
      </w:pPr>
      <w:r>
        <w:rPr>
          <w:rFonts w:ascii="Times New Roman" w:hAnsi="Times New Roman" w:eastAsia="宋体"/>
          <w:sz w:val="24"/>
        </w:rPr>
        <w:t>模型采用“过程层，城市系统层，边界分析层”三层结构。过程层描述AI服务器负载、能耗、热排散、冷却补水、蒸发、漂水、排污和厂内回用；城市系统层连接外部水源、给水处理、配水、传统用户、污水处理、再生水处理、储存和最终排放；边界分析层在给定城市状态和情景下扫描AI容量，计算代谢指标、服务可靠性、CAWCC和主导瓶颈。三层之间通过水量、水质和时间序列接口连接，所有内部回用不重复计入外部输入。</w:t>
      </w:r>
    </w:p>
    <w:p w14:paraId="21C6A845">
      <w:pPr>
        <w:pStyle w:val="17"/>
        <w:pageBreakBefore w:val="0"/>
      </w:pPr>
      <w:r>
        <w:rPr>
          <w:rFonts w:ascii="Times New Roman" w:hAnsi="Times New Roman" w:eastAsia="黑体" w:cs="Times New Roman"/>
          <w:b/>
          <w:color w:val="000000"/>
          <w:sz w:val="28"/>
        </w:rPr>
        <w:t>3.4 城市水系统边界与守恒关系</w:t>
      </w:r>
    </w:p>
    <w:p w14:paraId="0C71D5C1">
      <w:pPr>
        <w:spacing w:line="360" w:lineRule="auto" w:before="0" w:after="0"/>
        <w:ind w:firstLine="420"/>
      </w:pPr>
      <w:r>
        <w:rPr>
          <w:rFonts w:ascii="Times New Roman" w:hAnsi="Times New Roman" w:eastAsia="宋体" w:cs="Times New Roman"/>
          <w:b w:val="0"/>
          <w:color w:val="000000"/>
          <w:sz w:val="24"/>
        </w:rPr>
        <w:t>设第t日进入城市人工水系统的外部水量为I_t，最终排向环境的水量为E_t，不可恢复消耗为C_t，显式储量变化为ΔS_t，则顶层守恒关系为I_t=E_t+C_t+ΔS_t。原水经给水处理和配水后进入传统用户与AI节点；用户用水按照消耗和回流分解，AI排污按照厂内回用、处理损失、污水回流和外排分流。给水、污水和再生水各自设置处理能力、输配能力、储量和既有需求，漏损、溢流和未满足需求进入独立账户。</w:t>
      </w:r>
    </w:p>
    <w:p w14:paraId="236B1900">
      <w:pPr>
        <w:pStyle w:val="17"/>
        <w:pageBreakBefore w:val="0"/>
      </w:pPr>
      <w:r>
        <w:rPr>
          <w:rFonts w:ascii="Times New Roman" w:hAnsi="Times New Roman" w:eastAsia="黑体" w:cs="Times New Roman"/>
          <w:b/>
          <w:color w:val="000000"/>
          <w:sz w:val="28"/>
        </w:rPr>
        <w:t>3.5 AI设施过程模型</w:t>
      </w:r>
    </w:p>
    <w:p w14:paraId="0B355A8A">
      <w:pPr>
        <w:spacing w:line="360" w:lineRule="auto" w:before="0" w:after="0"/>
        <w:ind w:firstLine="420"/>
      </w:pPr>
      <w:r>
        <w:rPr>
          <w:rFonts w:ascii="Times New Roman" w:hAnsi="Times New Roman" w:eastAsia="宋体" w:cs="Times New Roman"/>
          <w:b w:val="0"/>
          <w:color w:val="000000"/>
          <w:sz w:val="24"/>
        </w:rPr>
        <w:t>AI IT容量是主要规模变量。实际IT负荷由容量和负载率共同决定，设施总能耗由IT能耗与PUE关系得到，纳入边界的电能大部分转化为需要排散的热量。服务器侧热捕集采用空气、direct-to-chip液冷和浸没式液冷等架构分类；设施侧末端排热采用干式、湿式和混合方式分类。湿侧热负荷通过显热与潜热分解得到蒸发量，循环水根据浓缩倍数和水质约束计算排污量，补水量由蒸发、漂水和排污共同决定。</w:t>
      </w:r>
    </w:p>
    <w:p w14:paraId="7B4D0A68">
      <w:pPr>
        <w:spacing w:line="360" w:lineRule="auto" w:before="0" w:after="0"/>
        <w:ind w:firstLine="420"/>
      </w:pPr>
      <w:r>
        <w:rPr>
          <w:rFonts w:ascii="Times New Roman" w:hAnsi="Times New Roman" w:eastAsia="宋体" w:cs="Times New Roman"/>
          <w:b w:val="0"/>
          <w:color w:val="000000"/>
          <w:sz w:val="24"/>
        </w:rPr>
        <w:t>冷却排污并不自动等于城市污水回流。模型首先判断厂内回收比例和处理损失，再将剩余部分连接到城市污水系统；若排污水的TDS、温度或药剂负荷超过污水厂或再生水进水要求，则增加独立水质约束。这样可以区分可回用排污、处理损失和城市污水回流，并分析水量充足而水质不适用时再生水系统的约束。</w:t>
      </w:r>
    </w:p>
    <w:p w14:paraId="4B0C4CA1">
      <w:pPr>
        <w:pStyle w:val="17"/>
        <w:pageBreakBefore w:val="0"/>
      </w:pPr>
      <w:r>
        <w:rPr>
          <w:rFonts w:ascii="Times New Roman" w:hAnsi="Times New Roman" w:eastAsia="黑体" w:cs="Times New Roman"/>
          <w:b/>
          <w:color w:val="000000"/>
          <w:sz w:val="28"/>
        </w:rPr>
        <w:t>3.6 水源、再生水与分配机制</w:t>
      </w:r>
    </w:p>
    <w:p w14:paraId="4AEB99BC">
      <w:pPr>
        <w:spacing w:line="360" w:lineRule="auto" w:before="0" w:after="0"/>
        <w:ind w:firstLine="420"/>
      </w:pPr>
      <w:r>
        <w:rPr>
          <w:rFonts w:ascii="Times New Roman" w:hAnsi="Times New Roman" w:eastAsia="宋体" w:cs="Times New Roman"/>
          <w:b w:val="0"/>
          <w:color w:val="000000"/>
          <w:sz w:val="24"/>
        </w:rPr>
        <w:t>AI目标再生水份额只是配置意图，实际可供量受污水源量、深度处理能力、再生水储量、输配能力和既有用户需求共同决定。满足居民基本服务和关键公共服务后，剩余可供水量按情景规则分配给其他用户与AI。模型分别记录目标再生水份额、实际再生水供应、淡水补足量和未满足需求，防止用“目标比例”替代真实供水。</w:t>
      </w:r>
    </w:p>
    <w:p w14:paraId="25621CDE">
      <w:pPr>
        <w:spacing w:line="360" w:lineRule="auto" w:before="0" w:after="0"/>
        <w:ind w:firstLine="420"/>
      </w:pPr>
      <w:r>
        <w:rPr>
          <w:rFonts w:ascii="宋体" w:hAnsi="宋体" w:eastAsia="宋体" w:cs="Times New Roman"/>
          <w:b w:val="0"/>
          <w:color w:val="000000"/>
          <w:sz w:val="24"/>
        </w:rPr>
        <w:t>给水处理、排水服务和接入能力的参数将结合当地设施资料，并参照供排水设计标准明确工程口径</w:t>
      </w:r>
      <w:r>
        <w:rPr>
          <w:rFonts w:ascii="Times New Roman" w:hAnsi="Times New Roman" w:eastAsia="宋体" w:cs="Times New Roman"/>
          <w:b w:val="0"/>
          <w:color w:val="000000"/>
          <w:sz w:val="24"/>
          <w:vertAlign w:val="superscript"/>
        </w:rPr>
        <w:t>[78,79]</w:t>
      </w:r>
      <w:r>
        <w:rPr>
          <w:rFonts w:ascii="Times New Roman" w:hAnsi="Times New Roman" w:eastAsia="宋体" w:cs="Times New Roman"/>
          <w:b w:val="0"/>
          <w:color w:val="000000"/>
          <w:sz w:val="24"/>
        </w:rPr>
        <w:t>；数据中心WUE按照水资源使用效率标准统一统计边界</w:t>
      </w:r>
      <w:r>
        <w:rPr>
          <w:rFonts w:ascii="Times New Roman" w:hAnsi="Times New Roman" w:eastAsia="宋体" w:cs="Times New Roman"/>
          <w:b w:val="0"/>
          <w:color w:val="000000"/>
          <w:sz w:val="24"/>
          <w:vertAlign w:val="superscript"/>
        </w:rPr>
        <w:t>[77]</w:t>
      </w:r>
      <w:r>
        <w:rPr>
          <w:rFonts w:ascii="宋体" w:hAnsi="宋体" w:eastAsia="宋体" w:cs="Times New Roman"/>
          <w:b w:val="0"/>
          <w:color w:val="000000"/>
          <w:sz w:val="24"/>
        </w:rPr>
        <w:t>。</w:t>
      </w:r>
    </w:p>
    <w:p w14:paraId="02B5BD9F">
      <w:pPr>
        <w:pStyle w:val="17"/>
        <w:pageBreakBefore w:val="0"/>
      </w:pPr>
      <w:r>
        <w:rPr>
          <w:rFonts w:ascii="Times New Roman" w:hAnsi="Times New Roman" w:eastAsia="黑体" w:cs="Times New Roman"/>
          <w:b/>
          <w:color w:val="000000"/>
          <w:sz w:val="28"/>
        </w:rPr>
        <w:t>3.7 代谢指标与对照设计</w:t>
      </w:r>
    </w:p>
    <w:p w14:paraId="060F00DD">
      <w:pPr>
        <w:spacing w:line="360" w:lineRule="auto" w:before="0" w:after="0"/>
        <w:ind w:firstLine="420"/>
      </w:pPr>
      <w:r>
        <w:rPr>
          <w:rFonts w:ascii="Times New Roman" w:hAnsi="Times New Roman" w:eastAsia="宋体" w:cs="Times New Roman"/>
          <w:b w:val="0"/>
          <w:color w:val="000000"/>
          <w:sz w:val="24"/>
        </w:rPr>
        <w:t>研究同时报告绝对量和归一化量。绝对量包括AI边际取水、消耗、回流、污水负荷和再生水供给；归一化指标包括AI取水/城市基准供水、AI峰值需求/接入能力、淡水依赖率、内部循环率、消耗率和回流率。对互斥且共同分母的路径计算结构距离，用于区分整体规模放大和水流结构重构。设置等年用水量、等峰值热负荷和等接入能力的普通工业冷却节点对照，仅改变负荷连续性、峰值时序和气候响应，据此区分一般高密度工业效应与AI负荷的特异性贡献。</w:t>
      </w:r>
    </w:p>
    <w:p w14:paraId="6274CC47">
      <w:pPr>
        <w:pStyle w:val="17"/>
        <w:pageBreakBefore w:val="0"/>
      </w:pPr>
      <w:r>
        <w:rPr>
          <w:rFonts w:ascii="Times New Roman" w:hAnsi="Times New Roman" w:eastAsia="黑体" w:cs="Times New Roman"/>
          <w:b/>
          <w:color w:val="000000"/>
          <w:sz w:val="28"/>
        </w:rPr>
        <w:t>3.8 条件化承载边界求解</w:t>
      </w:r>
    </w:p>
    <w:p w14:paraId="5B229D3F">
      <w:pPr>
        <w:spacing w:line="360" w:lineRule="auto" w:before="0" w:after="0"/>
        <w:ind w:firstLine="420"/>
      </w:pPr>
      <w:r>
        <w:rPr>
          <w:rFonts w:ascii="Times New Roman" w:hAnsi="Times New Roman" w:eastAsia="宋体" w:cs="Times New Roman"/>
          <w:b w:val="0"/>
          <w:color w:val="000000"/>
          <w:sz w:val="24"/>
        </w:rPr>
        <w:t>CAWCC定义为给定条件下满足全部核心约束的最大AI IT容量。约束集合包括外部水源压力、给水处理和局部接入、污水潜在负荷和溢流、再生水服务、水质可接纳能力、峰值服务能力以及居民基本服务。求解先进行容量网格扫描，检查可行域是否单调；单调时在边界附近细化，非单调时报告全部可行区间、首次失效容量和最终失效容量。边界结果同时列出城市状态、技术架构、水源政策、气候情景、服务优先级和风险容忍条件。</w:t>
      </w:r>
    </w:p>
    <w:p w14:paraId="1C8A141D">
      <w:pPr>
        <w:pStyle w:val="17"/>
        <w:pageBreakBefore w:val="0"/>
      </w:pPr>
      <w:r>
        <w:rPr>
          <w:rFonts w:ascii="Times New Roman" w:hAnsi="Times New Roman" w:eastAsia="黑体" w:cs="Times New Roman"/>
          <w:b/>
          <w:color w:val="000000"/>
          <w:sz w:val="28"/>
        </w:rPr>
        <w:t>3.9 时间尺度、可靠性与复合压力</w:t>
      </w:r>
    </w:p>
    <w:p w14:paraId="6881E35B">
      <w:pPr>
        <w:spacing w:line="360" w:lineRule="auto" w:before="0" w:after="0"/>
        <w:ind w:firstLine="420"/>
      </w:pPr>
      <w:r>
        <w:rPr>
          <w:rFonts w:ascii="Times New Roman" w:hAnsi="Times New Roman" w:eastAsia="宋体" w:cs="Times New Roman"/>
          <w:b w:val="0"/>
          <w:color w:val="000000"/>
          <w:sz w:val="24"/>
        </w:rPr>
        <w:t>研究将结合CMIP6试验框架和IPCC物理科学评估选择气候情景</w:t>
      </w:r>
      <w:r>
        <w:rPr>
          <w:rFonts w:ascii="Times New Roman" w:hAnsi="Times New Roman" w:eastAsia="宋体" w:cs="Times New Roman"/>
          <w:b w:val="0"/>
          <w:color w:val="000000"/>
          <w:sz w:val="24"/>
          <w:vertAlign w:val="superscript"/>
        </w:rPr>
        <w:t>[80,81]</w:t>
      </w:r>
      <w:r>
        <w:rPr>
          <w:rFonts w:ascii="宋体" w:hAnsi="宋体" w:eastAsia="宋体" w:cs="Times New Roman"/>
          <w:b w:val="0"/>
          <w:color w:val="000000"/>
          <w:sz w:val="24"/>
        </w:rPr>
        <w:t>，依据复合事件研究保留高温、干旱与需求峰值的依赖关系</w:t>
      </w:r>
      <w:r>
        <w:rPr>
          <w:rFonts w:ascii="Times New Roman" w:hAnsi="Times New Roman" w:eastAsia="宋体" w:cs="Times New Roman"/>
          <w:b w:val="0"/>
          <w:color w:val="000000"/>
          <w:sz w:val="24"/>
          <w:vertAlign w:val="superscript"/>
        </w:rPr>
        <w:t>[82]</w:t>
      </w:r>
      <w:r>
        <w:rPr>
          <w:rFonts w:ascii="宋体" w:hAnsi="宋体" w:eastAsia="宋体" w:cs="Times New Roman"/>
          <w:b w:val="0"/>
          <w:color w:val="000000"/>
          <w:sz w:val="24"/>
        </w:rPr>
        <w:t>。年均分析用于获得长期规模关系，日尺度分析用于识别季节和需求峰值，小时校核用于检验极端周内的短时失稳。高温、干旱和传统需求峰值分别构造单因素与组合压力，保留它们的时间相关结构，形成与单因素压力可比较的组合情景。可靠性以基本服务满足的时间比例表示，恢复性关注失效后的恢复速度，脆弱性以缺水量和持续时间刻画。年均边界与峰值边界之差用于量化时间聚合造成的边界提前。</w:t>
      </w:r>
    </w:p>
    <w:p w14:paraId="7723C84D">
      <w:pPr>
        <w:pStyle w:val="17"/>
        <w:pageBreakBefore w:val="0"/>
      </w:pPr>
      <w:r>
        <w:rPr>
          <w:rFonts w:ascii="Times New Roman" w:hAnsi="Times New Roman" w:eastAsia="黑体" w:cs="Times New Roman"/>
          <w:b/>
          <w:color w:val="000000"/>
          <w:sz w:val="28"/>
        </w:rPr>
        <w:t>3.10 不确定性与敏感性分析</w:t>
      </w:r>
    </w:p>
    <w:p w14:paraId="71A19BC2">
      <w:pPr>
        <w:spacing w:line="360" w:lineRule="auto" w:before="0" w:after="0"/>
        <w:ind w:firstLine="420"/>
      </w:pPr>
      <w:r>
        <w:rPr>
          <w:rFonts w:ascii="Times New Roman" w:hAnsi="Times New Roman" w:eastAsia="宋体" w:cs="Times New Roman"/>
          <w:b w:val="0"/>
          <w:color w:val="000000"/>
          <w:sz w:val="24"/>
        </w:rPr>
        <w:t>不确定性分析将回答重要参数、相关结构及情景稳定性三个问题。负载率、PUE、CoC、污水回流率、再生水回收率和水质阈值采用条件或联合分布传播；AI增长、气候路径、政策和扩容时点采用情景集合。先以Morris及改进筛选设计识别重要变量</w:t>
      </w:r>
      <w:r>
        <w:rPr>
          <w:rFonts w:ascii="Times New Roman" w:hAnsi="Times New Roman" w:eastAsia="宋体" w:cs="Times New Roman"/>
          <w:b w:val="0"/>
          <w:color w:val="000000"/>
          <w:sz w:val="24"/>
          <w:vertAlign w:val="superscript"/>
        </w:rPr>
        <w:t>[83,84]</w:t>
      </w:r>
      <w:r>
        <w:rPr>
          <w:rFonts w:ascii="Times New Roman" w:hAnsi="Times New Roman" w:eastAsia="宋体" w:cs="Times New Roman"/>
          <w:b w:val="0"/>
          <w:color w:val="000000"/>
          <w:sz w:val="24"/>
        </w:rPr>
        <w:t>，再对近似独立输入实施Sobol方差分解</w:t>
      </w:r>
      <w:r>
        <w:rPr>
          <w:rFonts w:ascii="Times New Roman" w:hAnsi="Times New Roman" w:eastAsia="宋体" w:cs="Times New Roman"/>
          <w:b w:val="0"/>
          <w:color w:val="000000"/>
          <w:sz w:val="24"/>
          <w:vertAlign w:val="superscript"/>
        </w:rPr>
        <w:t>[85,86]</w:t>
      </w:r>
      <w:r>
        <w:rPr>
          <w:rFonts w:ascii="宋体" w:hAnsi="宋体" w:eastAsia="宋体" w:cs="Times New Roman"/>
          <w:b w:val="0"/>
          <w:color w:val="000000"/>
          <w:sz w:val="24"/>
        </w:rPr>
        <w:t>，并依据全局敏感性分析的适用条件解释结果</w:t>
      </w:r>
      <w:r>
        <w:rPr>
          <w:rFonts w:ascii="Times New Roman" w:hAnsi="Times New Roman" w:eastAsia="宋体" w:cs="Times New Roman"/>
          <w:b w:val="0"/>
          <w:color w:val="000000"/>
          <w:sz w:val="24"/>
          <w:vertAlign w:val="superscript"/>
        </w:rPr>
        <w:t>[87]</w:t>
      </w:r>
      <w:r>
        <w:rPr>
          <w:rFonts w:ascii="Times New Roman" w:hAnsi="Times New Roman" w:eastAsia="宋体" w:cs="Times New Roman"/>
          <w:b w:val="0"/>
          <w:color w:val="000000"/>
          <w:sz w:val="24"/>
        </w:rPr>
        <w:t>；对具有统计相关性的输入采用Shapley effects进行归因</w:t>
      </w:r>
      <w:r>
        <w:rPr>
          <w:rFonts w:ascii="Times New Roman" w:hAnsi="Times New Roman" w:eastAsia="宋体" w:cs="Times New Roman"/>
          <w:b w:val="0"/>
          <w:color w:val="000000"/>
          <w:sz w:val="24"/>
          <w:vertAlign w:val="superscript"/>
        </w:rPr>
        <w:t>[88]</w:t>
      </w:r>
      <w:r>
        <w:rPr>
          <w:rFonts w:ascii="宋体" w:hAnsi="宋体" w:eastAsia="宋体" w:cs="Times New Roman"/>
          <w:b w:val="0"/>
          <w:color w:val="000000"/>
          <w:sz w:val="24"/>
        </w:rPr>
        <w:t>。</w:t>
      </w:r>
    </w:p>
    <w:p w14:paraId="69A6066A">
      <w:pPr>
        <w:pStyle w:val="17"/>
        <w:pageBreakBefore w:val="0"/>
      </w:pPr>
      <w:r>
        <w:rPr>
          <w:rFonts w:ascii="Times New Roman" w:hAnsi="Times New Roman" w:eastAsia="黑体" w:cs="Times New Roman"/>
          <w:b/>
          <w:color w:val="000000"/>
          <w:sz w:val="28"/>
        </w:rPr>
        <w:t>3.11 数据方案与案例策略</w:t>
      </w:r>
    </w:p>
    <w:p w14:paraId="7C273DCE">
      <w:pPr>
        <w:spacing w:before="120" w:after="120" w:line="360" w:lineRule="auto"/>
        <w:ind w:firstLine="420"/>
      </w:pPr>
      <w:r>
        <w:rPr>
          <w:rFonts w:ascii="Times New Roman" w:hAnsi="Times New Roman" w:eastAsia="宋体" w:cs="Times New Roman"/>
          <w:b w:val="0"/>
          <w:color w:val="000000"/>
          <w:sz w:val="24"/>
        </w:rPr>
        <w:t>表3-2 分层数据方案与证据用途</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55EA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236C469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数据层级</w:t>
            </w:r>
          </w:p>
        </w:tc>
        <w:tc>
          <w:tcPr>
            <w:tcW w:w="2267" w:type="dxa"/>
          </w:tcPr>
          <w:p w14:paraId="1E5EE687">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数据内容</w:t>
            </w:r>
          </w:p>
        </w:tc>
        <w:tc>
          <w:tcPr>
            <w:tcW w:w="2267" w:type="dxa"/>
          </w:tcPr>
          <w:p w14:paraId="5D8EE97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获取与使用方式</w:t>
            </w:r>
          </w:p>
        </w:tc>
        <w:tc>
          <w:tcPr>
            <w:tcW w:w="2270" w:type="dxa"/>
          </w:tcPr>
          <w:p w14:paraId="5BE705B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对结论的作用</w:t>
            </w:r>
          </w:p>
        </w:tc>
      </w:tr>
      <w:tr w14:paraId="08AC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pPr>
              <w:spacing w:line="276" w:lineRule="auto"/>
            </w:pPr>
            <w:r>
              <w:rPr>
                <w:rFonts w:ascii="宋体" w:hAnsi="宋体" w:eastAsia="宋体"/>
                <w:sz w:val="21"/>
              </w:rPr>
              <w:t>参数化系统输入</w:t>
            </w:r>
          </w:p>
        </w:tc>
        <w:tc>
          <w:tcPr>
            <w:tcW w:w="2267" w:type="dxa"/>
          </w:tcPr>
          <w:p w14:paraId="6DAC62C6">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连续日尺度供水、污水、再生水、气象及设施能力</w:t>
            </w:r>
          </w:p>
        </w:tc>
        <w:tc>
          <w:tcPr>
            <w:tcW w:w="2267" w:type="dxa"/>
          </w:tcPr>
          <w:p>
            <w:pPr>
              <w:spacing w:line="276" w:lineRule="auto"/>
            </w:pPr>
            <w:r>
              <w:rPr>
                <w:rFonts w:ascii="宋体" w:hAnsi="宋体" w:eastAsia="宋体"/>
                <w:sz w:val="21"/>
              </w:rPr>
              <w:t>公开统计、年报、公开统计、标准和工程文献；用于构造参数域和情景剖面</w:t>
            </w:r>
          </w:p>
        </w:tc>
        <w:tc>
          <w:tcPr>
            <w:tcW w:w="2270" w:type="dxa"/>
          </w:tcPr>
          <w:p w14:paraId="0091C42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约束真实城市响应与峰值边界</w:t>
            </w:r>
          </w:p>
        </w:tc>
      </w:tr>
      <w:tr w14:paraId="682E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pPr>
              <w:spacing w:line="276" w:lineRule="auto"/>
            </w:pPr>
            <w:r>
              <w:rPr>
                <w:rFonts w:ascii="宋体" w:hAnsi="宋体" w:eastAsia="宋体"/>
                <w:sz w:val="21"/>
              </w:rPr>
              <w:t>参数范围校核</w:t>
            </w:r>
          </w:p>
        </w:tc>
        <w:tc>
          <w:tcPr>
            <w:tcW w:w="2267" w:type="dxa"/>
          </w:tcPr>
          <w:p w14:paraId="77456FA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水资源禀赋、热环境、供排水能力、再生水利用和典型运行指标</w:t>
            </w:r>
          </w:p>
        </w:tc>
        <w:tc>
          <w:tcPr>
            <w:tcW w:w="2267" w:type="dxa"/>
          </w:tcPr>
          <w:p>
            <w:pPr>
              <w:spacing w:line="276" w:lineRule="auto"/>
            </w:pPr>
            <w:r>
              <w:rPr>
                <w:rFonts w:ascii="宋体" w:hAnsi="宋体" w:eastAsia="宋体"/>
                <w:sz w:val="21"/>
              </w:rPr>
              <w:t>公开资料和可比统计；用于检验参数范围与机制方向</w:t>
            </w:r>
          </w:p>
        </w:tc>
        <w:tc>
          <w:tcPr>
            <w:tcW w:w="2270" w:type="dxa"/>
          </w:tcPr>
          <w:p w14:paraId="176C408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检验参数范围、方向和瓶颈类型</w:t>
            </w:r>
          </w:p>
        </w:tc>
      </w:tr>
      <w:tr w14:paraId="45CC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E34D3C0">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工程与文献</w:t>
            </w:r>
          </w:p>
        </w:tc>
        <w:tc>
          <w:tcPr>
            <w:tcW w:w="2267" w:type="dxa"/>
          </w:tcPr>
          <w:p w14:paraId="23F154C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冷却架构、PUE、CoC、蒸发排污、水质和处理能耗</w:t>
            </w:r>
          </w:p>
        </w:tc>
        <w:tc>
          <w:tcPr>
            <w:tcW w:w="2267" w:type="dxa"/>
          </w:tcPr>
          <w:p w14:paraId="05CFC25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标准、工程文献、公开Benchmark</w:t>
            </w:r>
          </w:p>
        </w:tc>
        <w:tc>
          <w:tcPr>
            <w:tcW w:w="2270" w:type="dxa"/>
          </w:tcPr>
          <w:p w14:paraId="7188E11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形成条件分布和结构对照</w:t>
            </w:r>
          </w:p>
        </w:tc>
      </w:tr>
      <w:tr w14:paraId="5F9C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73A863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敏感数据</w:t>
            </w:r>
          </w:p>
        </w:tc>
        <w:tc>
          <w:tcPr>
            <w:tcW w:w="2267" w:type="dxa"/>
          </w:tcPr>
          <w:p w14:paraId="7FB0C33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企业逐小时负载、用水、水质和局部接入</w:t>
            </w:r>
          </w:p>
        </w:tc>
        <w:tc>
          <w:tcPr>
            <w:tcW w:w="2267" w:type="dxa"/>
          </w:tcPr>
          <w:p w14:paraId="5155EB7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若可获得则用于校核；否则使用区间与替代剖面</w:t>
            </w:r>
          </w:p>
        </w:tc>
        <w:tc>
          <w:tcPr>
            <w:tcW w:w="2270" w:type="dxa"/>
          </w:tcPr>
          <w:p w14:paraId="4183AF9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不作为模型成立的单一前提</w:t>
            </w:r>
          </w:p>
        </w:tc>
      </w:tr>
    </w:tbl>
    <w:p w14:paraId="2321CBE0">
      <w:pPr>
        <w:pStyle w:val="17"/>
        <w:pageBreakBefore w:val="0"/>
      </w:pPr>
      <w:r>
        <w:rPr>
          <w:rFonts w:ascii="Times New Roman" w:hAnsi="Times New Roman" w:eastAsia="黑体" w:cs="Times New Roman"/>
          <w:b/>
          <w:color w:val="000000"/>
          <w:sz w:val="28"/>
        </w:rPr>
        <w:t>3.12 模型验证与证据等级</w:t>
      </w:r>
    </w:p>
    <w:p w14:paraId="48E05256">
      <w:pPr>
        <w:spacing w:line="360" w:lineRule="auto" w:before="0" w:after="0"/>
        <w:ind w:firstLine="420"/>
      </w:pPr>
      <w:r>
        <w:rPr>
          <w:rFonts w:ascii="宋体" w:hAnsi="宋体" w:eastAsia="宋体"/>
          <w:sz w:val="24"/>
        </w:rPr>
        <w:t>模型验证包括五个层次：守恒关系与代码测试、工程过程基准对比、极限行为检验、参数合理性审计，以及在不同冷却方程、结构关系和约束优先级下的结构稳健性分析。研究不把特定真实城市的时间序列拟合或企业逐小时数据作为模型成立的前提；若获得公开城市连续资料，则仅用于参数域校核和方向性外部锚定。</w:t>
      </w:r>
    </w:p>
    <w:p w14:paraId="6C7654AB">
      <w:pPr>
        <w:spacing w:line="360" w:lineRule="auto" w:before="0" w:after="0"/>
        <w:ind w:firstLine="420"/>
      </w:pPr>
      <w:r>
        <w:rPr>
          <w:rFonts w:ascii="宋体" w:hAnsi="宋体" w:eastAsia="宋体"/>
          <w:sz w:val="24"/>
        </w:rPr>
        <w:t>年均、日尺度和极端周剖面由文献、工程基准和气候统计特征约束生成，用于系统压力实验；结论限定在给定参数域、技术架构、气候情景和服务优先级内，并通过替代压力剖面和结构规则检验方向稳健性。</w:t>
      </w:r>
    </w:p>
    <w:p>
      <w:pPr>
        <w:spacing w:line="360" w:lineRule="auto" w:before="0" w:after="0"/>
        <w:ind w:firstLine="420"/>
      </w:pPr>
      <w:r>
        <w:rPr>
          <w:rFonts w:ascii="Times New Roman" w:hAnsi="Times New Roman"/>
          <w:sz w:val="24"/>
        </w:rPr>
        <w:t>对每一个约束记录剩余裕度、首次达到阈值的容量、持续失效时长和恢复条件。若增加某项设施能力后原约束得到缓解但另一约束迅速接近阈值，则识别为瓶颈迁移，而不是简单地报告容量增加。干预实验包括水源扩充、给水处理扩充、污水处理扩充、再生水深度处理、再生水输配、储存、冷却技术替换和负荷时序平滑。以单位干预带来的CAWCC提升和峰值压力下降衡量边际收益，并报告干预可能造成的能耗、成本或水质管理代价。</w:t>
      </w:r>
    </w:p>
    <w:p>
      <w:pPr>
        <w:pStyle w:val="17"/>
      </w:pPr>
      <w:r>
        <w:rPr>
          <w:rFonts w:ascii="Times New Roman" w:hAnsi="Times New Roman"/>
          <w:sz w:val="24"/>
        </w:rPr>
        <w:t>3.16 瓶颈识别与干预分析</w:t>
      </w:r>
    </w:p>
    <w:p>
      <w:pPr>
        <w:spacing w:line="360" w:lineRule="auto" w:before="0" w:after="0"/>
        <w:ind w:firstLine="420"/>
      </w:pPr>
      <w:r>
        <w:rPr>
          <w:rFonts w:ascii="宋体" w:hAnsi="宋体" w:eastAsia="宋体"/>
          <w:sz w:val="24"/>
        </w:rPr>
        <w:t>典型情景包括水资源充足但设施余量不足、淡水受限但再生水充足、再生水源量充足但水质受限、污水处理能力不足、给水和局部接入能力不足、高温与干旱复合压力以及居民服务优先级提高等。每类情景均记录参数范围、约束状态和代表性指标，不以单一基准情景替代整个参数域。对于证据不足的参数，采用区间和条件分布，并在结果中报告敏感性排序，避免把假设值包装成实测事实。</w:t>
      </w:r>
    </w:p>
    <w:p>
      <w:pPr>
        <w:pStyle w:val="17"/>
      </w:pPr>
      <w:r>
        <w:rPr>
          <w:rFonts w:ascii="Times New Roman" w:hAnsi="Times New Roman"/>
          <w:sz w:val="24"/>
        </w:rPr>
        <w:t>3.15 典型情景与参数域</w:t>
      </w:r>
    </w:p>
    <w:p>
      <w:pPr>
        <w:spacing w:line="360" w:lineRule="auto" w:before="0" w:after="0"/>
        <w:ind w:firstLine="420"/>
      </w:pPr>
      <w:r>
        <w:rPr>
          <w:rFonts w:ascii="宋体" w:hAnsi="宋体" w:eastAsia="宋体"/>
          <w:sz w:val="24"/>
        </w:rPr>
        <w:t>参数化系统并不等于任意组合参数。研究首先设置硬约束：水源可供量、处理能力、储量和输配能力均为非负，实际再生水供应不超过污水源量、深度处理、储存和输配能力的共同上限，居民基本服务优先于可调度用户，厂内回用不重复计量。其次设置相关结构：高温与冷却需水、干旱与水源折减、负荷率与电耗、浓缩倍数与排污量之间保持工程上合理的方向关系。最后采用分层抽样或空间填充设计生成参数组合，避免由独立随机抽样产生难以解释的“非物理城市”。</w:t>
      </w:r>
    </w:p>
    <w:p>
      <w:pPr>
        <w:pStyle w:val="17"/>
      </w:pPr>
      <w:r>
        <w:rPr>
          <w:rFonts w:ascii="Times New Roman" w:hAnsi="Times New Roman"/>
          <w:sz w:val="24"/>
        </w:rPr>
        <w:t>3.14 参数化输入与非物理组合控制</w:t>
      </w:r>
    </w:p>
    <w:p w14:paraId="0E6BF485">
      <w:pPr>
        <w:pStyle w:val="17"/>
        <w:pageBreakBefore w:val="0"/>
      </w:pPr>
      <w:r>
        <w:rPr>
          <w:rFonts w:ascii="Times New Roman" w:hAnsi="Times New Roman" w:eastAsia="黑体" w:cs="Times New Roman"/>
          <w:b/>
          <w:color w:val="000000"/>
          <w:sz w:val="28"/>
        </w:rPr>
        <w:t>3.13 研究任务安排与优先级</w:t>
      </w:r>
    </w:p>
    <w:p w14:paraId="0BE58A48">
      <w:pPr>
        <w:spacing w:line="360" w:lineRule="auto" w:before="0" w:after="0"/>
        <w:ind w:firstLine="420"/>
      </w:pPr>
      <w:r>
        <w:rPr>
          <w:rFonts w:ascii="Times New Roman" w:hAnsi="Times New Roman"/>
          <w:sz w:val="24"/>
        </w:rPr>
        <w:t>硕士论文以四项任务形成闭合主线。第一优先级是AI-UWM物理闭合、代谢响应、时间尺度CAWCC和瓶颈转换；第二优先级是再生水边际收益与参数不确定性；在前两级形成稳定结果后，再拓展完整水质过程、水—能—碳比较和跨城市泛化。模型建立是统一实验平台，后三项任务分别承担现象识别、边界解释和干预分析，保证每一阶段均能形成独立的科学结果。</w:t>
      </w:r>
    </w:p>
    <w:p w14:paraId="0AFA45D0">
      <w:pPr>
        <w:spacing w:line="360" w:lineRule="auto" w:before="0" w:after="0"/>
        <w:ind w:firstLine="420"/>
      </w:pPr>
      <w:r>
        <w:rPr>
          <w:rFonts w:ascii="Times New Roman" w:hAnsi="Times New Roman"/>
          <w:sz w:val="24"/>
        </w:rPr>
        <w:t>研究以AI-UWM物理闭合、代谢响应、时间尺度承载边界与瓶颈迁移为核心任务。水—能—碳和成本比较作为参数化系统模拟的扩展分析，在核心模型稳定后开展，不改变论文关于三类科学问题的主线。</w:t>
      </w:r>
    </w:p>
    <w:p>
      <w:pPr>
        <w:pStyle w:val="17"/>
      </w:pPr>
      <w:r>
        <w:rPr>
          <w:rFonts w:ascii="Times New Roman" w:hAnsi="Times New Roman"/>
          <w:sz w:val="24"/>
        </w:rPr>
        <w:t>4.5 学术学位适配与研究贡献</w:t>
      </w:r>
    </w:p>
    <w:p>
      <w:pPr>
        <w:spacing w:line="360" w:lineRule="auto" w:before="0" w:after="0"/>
        <w:ind w:firstLine="420"/>
      </w:pPr>
      <w:r>
        <w:rPr>
          <w:rFonts w:ascii="Times New Roman" w:hAnsi="Times New Roman"/>
          <w:sz w:val="24"/>
        </w:rPr>
        <w:t>本研究以科学问题、可检验假设和机制解释为主线，符合学术学位对独立开展学术研究的要求。模型并非最终目的，而是统一实验平台；论文贡献集中在AI负荷如何改变人工水系统结构、为何产生时间尺度依赖承载边界以及瓶颈如何迁移三个认识层面。与此同时，CAWCC响应面、参数域和干预边界为算力布局和水务规划提供工程解释，使理论贡献与实践价值保持同一逻辑链。</w:t>
      </w:r>
    </w:p>
    <w:p>
      <w:pPr>
        <w:pStyle w:val="17"/>
      </w:pPr>
      <w:r>
        <w:rPr>
          <w:rFonts w:ascii="Times New Roman" w:hAnsi="Times New Roman"/>
          <w:sz w:val="24"/>
        </w:rPr>
        <w:t>4.4 成果评价指标</w:t>
      </w:r>
    </w:p>
    <w:p>
      <w:pPr>
        <w:spacing w:line="360" w:lineRule="auto" w:before="0" w:after="0"/>
        <w:ind w:firstLine="420"/>
      </w:pPr>
      <w:r>
        <w:rPr>
          <w:rFonts w:ascii="Times New Roman" w:hAnsi="Times New Roman"/>
          <w:sz w:val="24"/>
        </w:rPr>
        <w:t>模型成果以可重复运行和可审计为基本要求：完成水量、水质、储量和内部回用的守恒测试，形成参数证据表、情景配置文件和版本化运行脚本；科学成果至少形成三类可量化输出，即代谢结构重构阈值、年均与峰值CAWCC的边界提前量、以及水源—给水—污水—再生水—水质约束的瓶颈转换条件；应用成果形成不同系统状态下的响应面、适用参数域和干预边界。结论必须在替代参数、替代压力剖面和至少一种结构规则改变后保持方向一致，才作为主要结论。</w:t>
      </w:r>
    </w:p>
    <w:p>
      <w:pPr>
        <w:pStyle w:val="17"/>
      </w:pPr>
      <w:r>
        <w:rPr>
          <w:rFonts w:ascii="Times New Roman" w:hAnsi="Times New Roman"/>
        </w:rPr>
        <w:t>4.6 主要结论的形成规则</w:t>
      </w:r>
    </w:p>
    <w:p>
      <w:pPr>
        <w:spacing w:line="360" w:lineRule="auto"/>
        <w:ind w:firstLine="420"/>
      </w:pPr>
      <w:r>
        <w:rPr>
          <w:rFonts w:ascii="宋体" w:hAnsi="宋体" w:eastAsia="宋体"/>
        </w:rPr>
        <w:t>论文只把经过三道筛选的结果列为主要结论。第一道筛选要求模型通过守恒、边界和过程基准测试；第二道筛选要求结果在重复抽样和至少两种压力剖面下方向一致；第三道筛选要求机制解释能够对应一个可识别的结构指标或约束状态转换。未通过筛选的结果作为敏感性发现或待验证假设单独报告。这样既保留模型探索能力，也避免把特定参数组合的现象夸大为一般规律。</w:t>
      </w:r>
    </w:p>
    <w:p w14:paraId="452A3B36">
      <w:pPr>
        <w:pStyle w:val="16"/>
        <w:pageBreakBefore/>
      </w:pPr>
      <w:r>
        <w:rPr>
          <w:rFonts w:ascii="Times New Roman" w:hAnsi="Times New Roman" w:eastAsia="黑体" w:cs="Times New Roman"/>
          <w:b/>
          <w:color w:val="000000"/>
          <w:sz w:val="30"/>
        </w:rPr>
        <w:t>4 预期达到的目标</w:t>
      </w:r>
    </w:p>
    <w:p w14:paraId="6966E2E1">
      <w:pPr>
        <w:pStyle w:val="17"/>
        <w:pageBreakBefore w:val="0"/>
      </w:pPr>
      <w:r>
        <w:rPr>
          <w:rFonts w:ascii="Times New Roman" w:hAnsi="Times New Roman" w:eastAsia="黑体" w:cs="Times New Roman"/>
          <w:b/>
          <w:color w:val="000000"/>
          <w:sz w:val="28"/>
        </w:rPr>
        <w:t>4.1 预期科学认识</w:t>
      </w:r>
    </w:p>
    <w:p w14:paraId="45EFBD85">
      <w:pPr>
        <w:spacing w:line="360" w:lineRule="auto" w:before="0" w:after="0"/>
        <w:ind w:firstLine="420"/>
      </w:pPr>
      <w:r>
        <w:rPr>
          <w:rFonts w:ascii="Times New Roman" w:hAnsi="Times New Roman" w:eastAsia="宋体" w:cs="Times New Roman"/>
          <w:b w:val="0"/>
          <w:color w:val="000000"/>
          <w:sz w:val="24"/>
        </w:rPr>
        <w:t>明确AI负荷相对于城市基准水流达到何种相对规模后，系统响应由总量增加转为代谢结构重构。</w:t>
      </w:r>
    </w:p>
    <w:p w14:paraId="45A58175">
      <w:pPr>
        <w:spacing w:line="360" w:lineRule="auto" w:before="0" w:after="0"/>
        <w:ind w:firstLine="420"/>
      </w:pPr>
      <w:r>
        <w:rPr>
          <w:rFonts w:ascii="宋体" w:hAnsi="宋体" w:eastAsia="宋体" w:cs="Times New Roman"/>
          <w:b w:val="0"/>
          <w:color w:val="000000"/>
          <w:sz w:val="24"/>
        </w:rPr>
        <w:t>识别年均、日尺度和极端时段容量边界差异的控制因素，说明峰值重合和设施裕度在不同城市中的作用。</w:t>
      </w:r>
    </w:p>
    <w:p w14:paraId="685A141D">
      <w:pPr>
        <w:spacing w:line="360" w:lineRule="auto" w:before="0" w:after="0"/>
        <w:ind w:firstLine="420"/>
      </w:pPr>
      <w:r>
        <w:rPr>
          <w:rFonts w:ascii="宋体" w:hAnsi="宋体" w:eastAsia="宋体"/>
          <w:sz w:val="24"/>
        </w:rPr>
        <w:t>建立水源，给水，污水，再生水，接入约束的瓶颈转换条件，区分稳健主导区与竞争约束区。</w:t>
      </w:r>
    </w:p>
    <w:p w14:paraId="4B672CCD">
      <w:pPr>
        <w:spacing w:line="360" w:lineRule="auto" w:before="0" w:after="0"/>
        <w:ind w:firstLine="420"/>
      </w:pPr>
      <w:r>
        <w:rPr>
          <w:rFonts w:ascii="宋体" w:hAnsi="宋体" w:eastAsia="宋体" w:cs="Times New Roman"/>
          <w:b w:val="0"/>
          <w:color w:val="000000"/>
          <w:sz w:val="24"/>
        </w:rPr>
        <w:t>解释再生水扩容何时有效、何时受源量或水质等条件限制，并识别节水措施可能造成的能耗、碳排放或成本转移。</w:t>
      </w:r>
    </w:p>
    <w:p w14:paraId="6458820D">
      <w:pPr>
        <w:pStyle w:val="17"/>
        <w:pageBreakBefore w:val="0"/>
      </w:pPr>
      <w:r>
        <w:rPr>
          <w:rFonts w:ascii="Times New Roman" w:hAnsi="Times New Roman" w:eastAsia="黑体" w:cs="Times New Roman"/>
          <w:b/>
          <w:color w:val="000000"/>
          <w:sz w:val="28"/>
        </w:rPr>
        <w:t>4.2 预期创新</w:t>
      </w:r>
    </w:p>
    <w:p w14:paraId="0E1830DD">
      <w:pPr>
        <w:spacing w:line="360" w:lineRule="auto" w:before="0" w:after="0"/>
        <w:ind w:firstLine="420"/>
      </w:pPr>
      <w:r>
        <w:rPr>
          <w:rFonts w:ascii="Times New Roman" w:hAnsi="Times New Roman" w:eastAsia="宋体"/>
          <w:sz w:val="24"/>
        </w:rPr>
        <w:t>创新一（研究尺度）：把AI算力中心从设施水足迹研究中的“黑箱”转化为城市人工水系统中的可计算节点，建立从IT容量到给水，污水，再生水的水量水质闭合。</w:t>
      </w:r>
    </w:p>
    <w:p w14:paraId="7A224235">
      <w:pPr>
        <w:spacing w:line="360" w:lineRule="auto" w:before="0" w:after="0"/>
        <w:ind w:firstLine="420"/>
      </w:pPr>
      <w:r>
        <w:rPr>
          <w:rFonts w:ascii="Times New Roman" w:hAnsi="Times New Roman" w:eastAsia="宋体"/>
          <w:sz w:val="24"/>
        </w:rPr>
        <w:t>创新二（科学机制）：提出并检验“连续AI负荷，气候敏感冷却，城市峰值需求”共同形成时间尺度依赖承载边界的机制，解释相同年用水量为何产生不同峰值风险。</w:t>
      </w:r>
    </w:p>
    <w:p w14:paraId="1902F7F3">
      <w:pPr>
        <w:spacing w:line="360" w:lineRule="auto" w:before="0" w:after="0"/>
        <w:ind w:firstLine="420"/>
      </w:pPr>
      <w:r>
        <w:rPr>
          <w:rFonts w:ascii="Times New Roman" w:hAnsi="Times New Roman" w:eastAsia="宋体" w:cs="Times New Roman"/>
          <w:b w:val="0"/>
          <w:color w:val="000000"/>
          <w:sz w:val="24"/>
        </w:rPr>
        <w:t>创新三（承载理论）：将AI承载容量定义为由水源、设施、峰值、接入和水质共同决定的条件化可行边界，揭示AI扩张和干预过程中主导瓶颈迁移及再生水边际收益转折。</w:t>
      </w:r>
    </w:p>
    <w:p w14:paraId="3979AD1A">
      <w:pPr>
        <w:pStyle w:val="17"/>
        <w:pageBreakBefore w:val="0"/>
      </w:pPr>
      <w:r>
        <w:rPr>
          <w:rFonts w:ascii="Times New Roman" w:hAnsi="Times New Roman" w:eastAsia="黑体" w:cs="Times New Roman"/>
          <w:b/>
          <w:color w:val="000000"/>
          <w:sz w:val="28"/>
        </w:rPr>
        <w:t>4.3 预期成果</w:t>
      </w:r>
    </w:p>
    <w:p w14:paraId="715FDCEE">
      <w:pPr>
        <w:spacing w:line="360" w:lineRule="auto" w:before="0" w:after="0"/>
        <w:ind w:firstLine="420"/>
      </w:pPr>
      <w:r>
        <w:rPr>
          <w:rFonts w:ascii="Times New Roman" w:hAnsi="Times New Roman" w:eastAsia="宋体" w:cs="Times New Roman"/>
          <w:b w:val="0"/>
          <w:color w:val="000000"/>
          <w:sz w:val="24"/>
        </w:rPr>
        <w:t>形成经过代码验证、过程Benchmark、独立时间验证和外部锚定的AI-UWM模型及版本化代码。</w:t>
      </w:r>
    </w:p>
    <w:p w14:paraId="6C4C6006">
      <w:pPr>
        <w:spacing w:line="360" w:lineRule="auto" w:before="0" w:after="0"/>
        <w:ind w:firstLine="420"/>
      </w:pPr>
      <w:r>
        <w:rPr>
          <w:rFonts w:ascii="Times New Roman" w:hAnsi="Times New Roman" w:eastAsia="宋体"/>
          <w:sz w:val="24"/>
        </w:rPr>
        <w:t>形成AI容量，代谢结构，分系统峰值压力响应面和适用参数域。</w:t>
      </w:r>
    </w:p>
    <w:p w14:paraId="22500872">
      <w:pPr>
        <w:spacing w:line="360" w:lineRule="auto" w:before="0" w:after="0"/>
        <w:ind w:firstLine="420"/>
      </w:pPr>
      <w:r>
        <w:rPr>
          <w:rFonts w:ascii="Times New Roman" w:hAnsi="Times New Roman" w:eastAsia="宋体" w:cs="Times New Roman"/>
          <w:b w:val="0"/>
          <w:color w:val="000000"/>
          <w:sz w:val="24"/>
        </w:rPr>
        <w:t>形成工程安全与风险条件下的CAWCC边界、边界提前量和瓶颈转换图谱。</w:t>
      </w:r>
    </w:p>
    <w:p w14:paraId="7D55109D">
      <w:pPr>
        <w:spacing w:line="360" w:lineRule="auto" w:before="0" w:after="0"/>
        <w:ind w:firstLine="420"/>
      </w:pPr>
      <w:r>
        <w:rPr>
          <w:rFonts w:ascii="宋体" w:hAnsi="宋体" w:eastAsia="宋体" w:cs="Times New Roman"/>
          <w:b w:val="0"/>
          <w:color w:val="000000"/>
          <w:sz w:val="24"/>
        </w:rPr>
        <w:t>发表围绕模型、时间尺度边界和瓶颈/干预机制的系列论文，提交数据字典、参数证据表和可重复运行脚本。</w:t>
      </w:r>
    </w:p>
    <w:p w14:paraId="5C893B0C">
      <w:pPr>
        <w:pStyle w:val="16"/>
        <w:pageBreakBefore w:val="0"/>
      </w:pPr>
      <w:r>
        <w:rPr>
          <w:rFonts w:ascii="Times New Roman" w:hAnsi="Times New Roman" w:eastAsia="黑体" w:cs="Times New Roman"/>
          <w:b/>
          <w:color w:val="000000"/>
          <w:sz w:val="30"/>
        </w:rPr>
        <w:t>5 已完成的学术研究工作</w:t>
      </w:r>
    </w:p>
    <w:p w14:paraId="43D9611B">
      <w:pPr>
        <w:spacing w:line="360" w:lineRule="auto" w:before="0" w:after="0"/>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经能够按节点记录外部输入、内部回用、最终排放和储量变化；下一步是在这一可运行骨架上接入AI冷却节点，从而把研究重点放在AI节点引入后的科学响应。</w:t>
      </w:r>
    </w:p>
    <w:p w14:paraId="5BB2288C">
      <w:pPr>
        <w:spacing w:line="360" w:lineRule="auto" w:before="0" w:after="0"/>
        <w:ind w:firstLine="420"/>
      </w:pPr>
      <w:r>
        <w:rPr>
          <w:rFonts w:ascii="宋体" w:hAnsi="宋体" w:eastAsia="宋体"/>
          <w:sz w:val="24"/>
        </w:rPr>
        <w:t>现有研究积累形成三项可直接用于论文工作的基础：一是已将城市水系统表示为节点，路径网络，并区分外部输入、内部回用和最终排放；二是已把服务器侧热捕集与设施侧末端热排散分开，能够在同一框架中比较空气、液冷、干式和湿式方案；三是已建立参数证据分级表，分别记录公开统计、工程文献、企业披露和情景假设，为后续校准和敏感性分析提供可追溯入口。</w:t>
      </w:r>
    </w:p>
    <w:p>
      <w:pPr>
        <w:pStyle w:val="17"/>
      </w:pPr>
      <w:r>
        <w:rPr>
          <w:rFonts w:ascii="Times New Roman" w:hAnsi="Times New Roman"/>
        </w:rPr>
        <w:t>6.1 阶段任务与交付物</w:t>
      </w:r>
    </w:p>
    <w:p>
      <w:pPr>
        <w:spacing w:line="360" w:lineRule="auto"/>
        <w:ind w:firstLine="420"/>
      </w:pPr>
      <w:r>
        <w:rPr>
          <w:rFonts w:ascii="Times New Roman" w:hAnsi="Times New Roman"/>
        </w:rPr>
        <w:t>第一阶段完成文献证据矩阵、参数字典、状态变量定义和最小水量闭合模型，交付可运行的基准配置和单元测试；第二阶段完成冷却—水过程闭合、年均与日尺度实验、普通工业对照以及参数域扫描，交付CAWCC和代谢指标；第三阶段完成极端周实验、瓶颈迁移和再生水干预分析，交付边界提前量、转换图谱和稳健性报告；第四阶段完成水质扩展、论文图表、版本归档和开题后阶段检查。每一阶段均保留可独立成章的中间结果，若扩展模块延迟，不影响核心论文主线。</w:t>
      </w:r>
    </w:p>
    <w:p w14:paraId="0B1A426C">
      <w:pPr>
        <w:pStyle w:val="16"/>
        <w:pageBreakBefore w:val="0"/>
      </w:pPr>
      <w:r>
        <w:rPr>
          <w:rFonts w:ascii="Times New Roman" w:hAnsi="Times New Roman" w:eastAsia="黑体" w:cs="Times New Roman"/>
          <w:b/>
          <w:color w:val="000000"/>
          <w:sz w:val="30"/>
        </w:rPr>
        <w:t>6 进度安排</w:t>
      </w:r>
    </w:p>
    <w:p w14:paraId="607ECEE0">
      <w:pPr>
        <w:spacing w:before="120" w:after="120" w:line="360" w:lineRule="auto"/>
        <w:ind w:firstLine="420"/>
      </w:pPr>
      <w:r>
        <w:rPr>
          <w:rFonts w:ascii="Times New Roman" w:hAnsi="Times New Roman" w:eastAsia="宋体" w:cs="Times New Roman"/>
          <w:b w:val="0"/>
          <w:color w:val="000000"/>
          <w:sz w:val="24"/>
        </w:rPr>
        <w:t>表6-1 研究阶段、主要工作与阶段产出</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429665F4">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阶段</w:t>
            </w:r>
          </w:p>
        </w:tc>
        <w:tc>
          <w:tcPr>
            <w:tcW w:w="2267" w:type="dxa"/>
          </w:tcPr>
          <w:p w14:paraId="4999D5B0">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时间</w:t>
            </w:r>
          </w:p>
        </w:tc>
        <w:tc>
          <w:tcPr>
            <w:tcW w:w="2267" w:type="dxa"/>
          </w:tcPr>
          <w:p w14:paraId="14D57C16">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主要工作</w:t>
            </w:r>
          </w:p>
        </w:tc>
        <w:tc>
          <w:tcPr>
            <w:tcW w:w="2270" w:type="dxa"/>
          </w:tcPr>
          <w:p w14:paraId="28CFA97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F17E3E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第一阶段</w:t>
            </w:r>
          </w:p>
        </w:tc>
        <w:tc>
          <w:tcPr>
            <w:tcW w:w="2267" w:type="dxa"/>
          </w:tcPr>
          <w:p w14:paraId="761470BB">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2026.09，2027.06</w:t>
            </w:r>
          </w:p>
        </w:tc>
        <w:tc>
          <w:tcPr>
            <w:tcW w:w="2267" w:type="dxa"/>
          </w:tcPr>
          <w:p w14:paraId="0347188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数据审计、案例筛选、文献综述、最小闭环、单元测试</w:t>
            </w:r>
          </w:p>
        </w:tc>
        <w:tc>
          <w:tcPr>
            <w:tcW w:w="2270" w:type="dxa"/>
          </w:tcPr>
          <w:p w14:paraId="53F4D34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6BEDA3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第二阶段</w:t>
            </w:r>
          </w:p>
        </w:tc>
        <w:tc>
          <w:tcPr>
            <w:tcW w:w="2267" w:type="dxa"/>
          </w:tcPr>
          <w:p w14:paraId="0290DC2B">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2027.07，2028.03</w:t>
            </w:r>
          </w:p>
        </w:tc>
        <w:tc>
          <w:tcPr>
            <w:tcW w:w="2267" w:type="dxa"/>
          </w:tcPr>
          <w:p>
            <w:pPr>
              <w:spacing w:line="276" w:lineRule="auto"/>
            </w:pPr>
            <w:r>
              <w:rPr>
                <w:rFonts w:ascii="宋体" w:hAnsi="宋体" w:eastAsia="宋体"/>
                <w:sz w:val="21"/>
              </w:rPr>
              <w:t>参数化系统输入校准、时间留出验证、参数范围校核和对照实验</w:t>
            </w:r>
          </w:p>
        </w:tc>
        <w:tc>
          <w:tcPr>
            <w:tcW w:w="2270" w:type="dxa"/>
          </w:tcPr>
          <w:p w14:paraId="3B59D12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3F023CD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第三阶段</w:t>
            </w:r>
          </w:p>
        </w:tc>
        <w:tc>
          <w:tcPr>
            <w:tcW w:w="2267" w:type="dxa"/>
          </w:tcPr>
          <w:p w14:paraId="3E6EA77E">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2028.04，2028.12</w:t>
            </w:r>
          </w:p>
        </w:tc>
        <w:tc>
          <w:tcPr>
            <w:tcW w:w="2267" w:type="dxa"/>
          </w:tcPr>
          <w:p w14:paraId="2CE8E214">
            <w:pPr>
              <w:keepNext w:val="0"/>
              <w:spacing w:before="40" w:after="40" w:line="276" w:lineRule="auto"/>
              <w:ind w:left="0" w:right="0" w:firstLine="0"/>
              <w:jc w:val="left"/>
              <w:rPr>
                <w:rFonts w:ascii="Times New Roman" w:hAnsi="Times New Roman" w:eastAsia="宋体"/>
              </w:rPr>
            </w:pPr>
            <w:r>
              <w:rPr>
                <w:rFonts w:ascii="宋体" w:hAnsi="宋体" w:eastAsia="宋体"/>
                <w:sz w:val="21"/>
              </w:rPr>
              <w:t>年均，日，小时比较、高温干旱复合压力、CAWCC</w:t>
            </w:r>
          </w:p>
        </w:tc>
        <w:tc>
          <w:tcPr>
            <w:tcW w:w="2270" w:type="dxa"/>
          </w:tcPr>
          <w:p w14:paraId="7A1112E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1B628C6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第四阶段</w:t>
            </w:r>
          </w:p>
        </w:tc>
        <w:tc>
          <w:tcPr>
            <w:tcW w:w="2267" w:type="dxa"/>
          </w:tcPr>
          <w:p w14:paraId="42066DAE">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2029.01，2029.09</w:t>
            </w:r>
          </w:p>
        </w:tc>
        <w:tc>
          <w:tcPr>
            <w:tcW w:w="2267" w:type="dxa"/>
          </w:tcPr>
          <w:p w14:paraId="7FD01A7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不确定性、瓶颈转换、再生水和设施干预</w:t>
            </w:r>
          </w:p>
        </w:tc>
        <w:tc>
          <w:tcPr>
            <w:tcW w:w="2270" w:type="dxa"/>
          </w:tcPr>
          <w:p w14:paraId="7DD53A5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225BB28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第五阶段</w:t>
            </w:r>
          </w:p>
        </w:tc>
        <w:tc>
          <w:tcPr>
            <w:tcW w:w="2267" w:type="dxa"/>
          </w:tcPr>
          <w:p w14:paraId="58F5542F">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2029.10，2030.06</w:t>
            </w:r>
          </w:p>
        </w:tc>
        <w:tc>
          <w:tcPr>
            <w:tcW w:w="2267" w:type="dxa"/>
          </w:tcPr>
          <w:p w14:paraId="23C6EEF4">
            <w:pPr>
              <w:keepNext w:val="0"/>
              <w:spacing w:before="40" w:after="40" w:line="276" w:lineRule="auto"/>
              <w:ind w:left="0" w:right="0" w:firstLine="0"/>
              <w:jc w:val="left"/>
              <w:rPr>
                <w:rFonts w:ascii="Times New Roman" w:hAnsi="Times New Roman" w:eastAsia="宋体"/>
              </w:rPr>
            </w:pPr>
            <w:r>
              <w:rPr>
                <w:rFonts w:ascii="宋体" w:hAnsi="宋体" w:eastAsia="宋体"/>
                <w:sz w:val="21"/>
              </w:rPr>
              <w:t>固定容量水，能，碳比较、论文整合、预答辩与送审</w:t>
            </w:r>
          </w:p>
        </w:tc>
        <w:tc>
          <w:tcPr>
            <w:tcW w:w="2270" w:type="dxa"/>
          </w:tcPr>
          <w:p w14:paraId="1E03C4FA">
            <w:pPr>
              <w:keepNext w:val="0"/>
              <w:spacing w:before="40" w:after="40" w:line="276" w:lineRule="auto"/>
              <w:ind w:left="0" w:right="0" w:firstLine="0"/>
              <w:jc w:val="left"/>
              <w:rPr>
                <w:rFonts w:ascii="Times New Roman" w:hAnsi="Times New Roman" w:eastAsia="宋体"/>
              </w:rPr>
            </w:pPr>
            <w:r>
              <w:rPr>
                <w:rFonts w:hint="eastAsia" w:cs="Times New Roman" w:ascii="宋体" w:hAnsi="宋体" w:eastAsia="宋体"/>
                <w:b w:val="0"/>
                <w:color w:val="000000"/>
                <w:sz w:val="21"/>
                <w:lang w:eastAsia="zh-CN"/>
              </w:rPr>
              <w:t>硕士</w:t>
            </w:r>
            <w:r>
              <w:rPr>
                <w:rFonts w:ascii="宋体" w:hAnsi="宋体" w:eastAsia="宋体" w:cs="Times New Roman"/>
                <w:b w:val="0"/>
                <w:color w:val="000000"/>
                <w:sz w:val="21"/>
              </w:rPr>
              <w:t>论文、代码和数据治理文档</w:t>
            </w:r>
          </w:p>
        </w:tc>
      </w:tr>
    </w:tbl>
    <w:p>
      <w:pPr>
        <w:pStyle w:val="17"/>
      </w:pPr>
      <w:r>
        <w:rPr>
          <w:rFonts w:ascii="Times New Roman" w:hAnsi="Times New Roman"/>
        </w:rPr>
        <w:t>7.1 数据、软件与计算条件</w:t>
      </w:r>
    </w:p>
    <w:p>
      <w:pPr>
        <w:spacing w:line="360" w:lineRule="auto"/>
        <w:ind w:firstLine="420"/>
      </w:pPr>
      <w:r>
        <w:rPr>
          <w:rFonts w:ascii="Times New Roman" w:hAnsi="Times New Roman"/>
        </w:rPr>
        <w:t>研究所需数据主要由公开统计年鉴、国家和行业标准、工程文献、公开气候序列以及可获得的城市水务资料组成。模型采用Python或同类科学计算环境实现，使用版本控制记录配置文件、随机种子、运行日志和输出图表；参数扫描采用可并行的批处理方式，结果保存为结构化表格和可追溯图形。计算条件以普通工作站即可完成基准实验，极端情景和不确定性采样再根据样本量启用并行计算。</w:t>
      </w:r>
    </w:p>
    <w:p w14:paraId="3F5C3547">
      <w:pPr>
        <w:pStyle w:val="16"/>
        <w:pageBreakBefore w:val="0"/>
      </w:pPr>
      <w:r>
        <w:rPr>
          <w:rFonts w:ascii="Times New Roman" w:hAnsi="Times New Roman" w:eastAsia="黑体" w:cs="Times New Roman"/>
          <w:b/>
          <w:color w:val="000000"/>
          <w:sz w:val="30"/>
        </w:rPr>
        <w:t>7 为完成课题所需的条件</w:t>
      </w:r>
    </w:p>
    <w:p w14:paraId="1C3F9983">
      <w:pPr>
        <w:pStyle w:val="17"/>
        <w:pageBreakBefore w:val="0"/>
      </w:pPr>
      <w:r>
        <w:rPr>
          <w:rFonts w:ascii="Times New Roman" w:hAnsi="Times New Roman" w:eastAsia="黑体" w:cs="Times New Roman"/>
          <w:b/>
          <w:color w:val="000000"/>
          <w:sz w:val="28"/>
        </w:rPr>
        <w:t>7.1 理论、数据与计算条件</w:t>
      </w:r>
    </w:p>
    <w:p w14:paraId="57D6C175">
      <w:pPr>
        <w:spacing w:line="360" w:lineRule="auto" w:before="0" w:after="0"/>
        <w:ind w:firstLine="420"/>
      </w:pPr>
      <w:r>
        <w:rPr>
          <w:rFonts w:ascii="宋体" w:hAnsi="宋体" w:eastAsia="宋体" w:cs="Times New Roman"/>
          <w:b w:val="0"/>
          <w:color w:val="000000"/>
          <w:sz w:val="24"/>
        </w:rPr>
        <w:t>理论可行性：城市代谢、综合水系统、数据中心冷却和可靠性评价已有成熟理论接口，本研究的增量在于耦合和机制解释。</w:t>
      </w:r>
    </w:p>
    <w:p w14:paraId="7B04E49A">
      <w:pPr>
        <w:spacing w:line="360" w:lineRule="auto" w:before="0" w:after="0"/>
        <w:ind w:firstLine="420"/>
      </w:pPr>
      <w:r>
        <w:rPr>
          <w:rFonts w:ascii="Times New Roman" w:hAnsi="Times New Roman" w:eastAsia="宋体" w:cs="Times New Roman"/>
          <w:b w:val="0"/>
          <w:color w:val="000000"/>
          <w:sz w:val="24"/>
        </w:rPr>
        <w:t>数据可行性：核心城市水务和气象数据可由公开统计与管理资料支撑；商业敏感数据采取工程Benchmark、区间参数和条件剖面替代。</w:t>
      </w:r>
    </w:p>
    <w:p w14:paraId="01F32231">
      <w:pPr>
        <w:spacing w:line="360" w:lineRule="auto" w:before="0" w:after="0"/>
        <w:ind w:firstLine="420"/>
      </w:pPr>
      <w:r>
        <w:rPr>
          <w:rFonts w:ascii="宋体" w:hAnsi="宋体" w:eastAsia="宋体" w:cs="Times New Roman"/>
          <w:b w:val="0"/>
          <w:color w:val="000000"/>
          <w:sz w:val="24"/>
        </w:rPr>
        <w:t>计算可行性：模型按模块开发，优先在边界附近计算；高维敏感性分析只对证据充分的变量实施。</w:t>
      </w:r>
    </w:p>
    <w:p w14:paraId="4CB28AC8">
      <w:pPr>
        <w:spacing w:line="360" w:lineRule="auto" w:before="0" w:after="0"/>
        <w:ind w:firstLine="420"/>
      </w:pPr>
      <w:r>
        <w:rPr>
          <w:rFonts w:ascii="宋体" w:hAnsi="宋体" w:eastAsia="宋体"/>
          <w:sz w:val="24"/>
        </w:rPr>
        <w:t>论文可行性：模型建立、代谢响应、承载边界、瓶颈与干预四部分具有相对独立的研究问题，可形成连续论文产出。</w:t>
      </w:r>
    </w:p>
    <w:p w14:paraId="7348F27D">
      <w:pPr>
        <w:spacing w:line="360" w:lineRule="auto" w:before="0" w:after="0"/>
        <w:ind w:firstLine="420"/>
      </w:pPr>
      <w:r>
        <w:rPr>
          <w:rFonts w:ascii="宋体" w:hAnsi="宋体" w:eastAsia="宋体"/>
          <w:sz w:val="24"/>
        </w:rPr>
        <w:t>模型实施重点包括证据更新、典型参数组合生成、压力剖面构造、重复采样、版本化复现和结果审计。</w:t>
      </w:r>
    </w:p>
    <w:p w14:paraId="0A8D2CAA">
      <w:pPr>
        <w:pStyle w:val="17"/>
        <w:pageBreakBefore w:val="0"/>
      </w:pPr>
      <w:r>
        <w:rPr>
          <w:rFonts w:ascii="Times New Roman" w:hAnsi="Times New Roman" w:eastAsia="黑体" w:cs="Times New Roman"/>
          <w:b/>
          <w:color w:val="000000"/>
          <w:sz w:val="28"/>
        </w:rPr>
        <w:t>7.2 研究组织与成果管理</w:t>
      </w:r>
    </w:p>
    <w:p w14:paraId="5CD7E6B5">
      <w:pPr>
        <w:spacing w:line="360" w:lineRule="auto" w:before="0" w:after="0"/>
        <w:ind w:firstLine="420"/>
      </w:pPr>
      <w:r>
        <w:rPr>
          <w:rFonts w:ascii="宋体" w:hAnsi="宋体" w:eastAsia="宋体" w:cs="Times New Roman"/>
          <w:b w:val="0"/>
          <w:color w:val="000000"/>
          <w:sz w:val="24"/>
        </w:rPr>
        <w:t>研究将按模型、验证、机制实验和论文四类工作包安排阶段检查。参数证据更新、关键守恒测试和数据质量核查先于机制实验；每阶段以可重复运行的模型版本、结果图表和研究记录衔接下一阶段。</w:t>
      </w:r>
    </w:p>
    <w:p>
      <w:pPr>
        <w:pStyle w:val="17"/>
      </w:pPr>
      <w:r>
        <w:rPr>
          <w:rFonts w:ascii="Times New Roman" w:hAnsi="Times New Roman"/>
        </w:rPr>
        <w:t>8.9 研究质量保证</w:t>
      </w:r>
    </w:p>
    <w:p>
      <w:pPr>
        <w:spacing w:line="360" w:lineRule="auto"/>
        <w:ind w:firstLine="420"/>
      </w:pPr>
      <w:r>
        <w:rPr>
          <w:rFonts w:ascii="宋体" w:hAnsi="宋体" w:eastAsia="宋体"/>
        </w:rPr>
        <w:t>质量保证贯穿模型、数据和写作三个层面。模型层面实行单元测试、守恒测试、回归测试和版本标签；数据层面实行来源登记、单位统一、异常值说明和参数证据等级；写作层面实行研究问题—假设—方法—结果—限制逐项对应，表格和图件均标注输入条件与适用范围。每次修改后重新运行最小基准案例和一个极端案例，确保新增功能没有破坏既有结论。</w:t>
      </w:r>
    </w:p>
    <w:p w14:paraId="701EA649">
      <w:pPr>
        <w:pStyle w:val="16"/>
        <w:pageBreakBefore w:val="0"/>
      </w:pPr>
      <w:r>
        <w:rPr>
          <w:rFonts w:ascii="Times New Roman" w:hAnsi="Times New Roman" w:eastAsia="黑体" w:cs="Times New Roman"/>
          <w:b/>
          <w:color w:val="000000"/>
          <w:sz w:val="30"/>
        </w:rPr>
        <w:t>8 研究过程中可能遇到的问题及解决措施</w:t>
      </w:r>
    </w:p>
    <w:p w14:paraId="42EC31FE">
      <w:pPr>
        <w:spacing w:before="120" w:after="120" w:line="360" w:lineRule="auto"/>
        <w:ind w:firstLine="420"/>
      </w:pPr>
      <w:r>
        <w:rPr>
          <w:rFonts w:ascii="Times New Roman" w:hAnsi="Times New Roman" w:eastAsia="宋体" w:cs="Times New Roman"/>
          <w:b w:val="0"/>
          <w:color w:val="000000"/>
          <w:sz w:val="24"/>
        </w:rPr>
        <w:t>表8-1 关键难点、研究影响与解决路径</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Pr>
          <w:p w14:paraId="54BCDDE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难点</w:t>
            </w:r>
          </w:p>
        </w:tc>
        <w:tc>
          <w:tcPr>
            <w:tcW w:w="3023" w:type="dxa"/>
          </w:tcPr>
          <w:p w14:paraId="20AD0984">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可能后果</w:t>
            </w:r>
          </w:p>
        </w:tc>
        <w:tc>
          <w:tcPr>
            <w:tcW w:w="3025" w:type="dxa"/>
          </w:tcPr>
          <w:p w14:paraId="0E75BAA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5B633C57">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AI运行数据不足</w:t>
            </w:r>
          </w:p>
        </w:tc>
        <w:tc>
          <w:tcPr>
            <w:tcW w:w="3023" w:type="dxa"/>
          </w:tcPr>
          <w:p w14:paraId="31ED21B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难以校准逐小时负荷和水耗</w:t>
            </w:r>
          </w:p>
        </w:tc>
        <w:tc>
          <w:tcPr>
            <w:tcW w:w="3025" w:type="dxa"/>
          </w:tcPr>
          <w:p w14:paraId="1E76CBE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采用公开工程参数、文献Benchmark和保留日总量的条件剖面；把不可辨识性单独报告</w:t>
            </w:r>
          </w:p>
        </w:tc>
      </w:tr>
      <w:tr w14:paraId="7585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7ADA1EB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水量与水质耦合复杂</w:t>
            </w:r>
          </w:p>
        </w:tc>
        <w:tc>
          <w:tcPr>
            <w:tcW w:w="3023" w:type="dxa"/>
          </w:tcPr>
          <w:p w14:paraId="6C297CE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水量余量掩盖水质失效</w:t>
            </w:r>
          </w:p>
        </w:tc>
        <w:tc>
          <w:tcPr>
            <w:tcW w:w="3025" w:type="dxa"/>
          </w:tcPr>
          <w:p w14:paraId="1608776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追踪TDS、温度和药剂负荷，设置水质独立约束</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372D5FD7">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反馈导致可行域非单调</w:t>
            </w:r>
          </w:p>
        </w:tc>
        <w:tc>
          <w:tcPr>
            <w:tcW w:w="3023" w:type="dxa"/>
          </w:tcPr>
          <w:p w14:paraId="244B3DF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只报告最大值会掩盖中间失效</w:t>
            </w:r>
          </w:p>
        </w:tc>
        <w:tc>
          <w:tcPr>
            <w:tcW w:w="3025" w:type="dxa"/>
          </w:tcPr>
          <w:p w14:paraId="11567EA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495F9B2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城市间可比性不足</w:t>
            </w:r>
          </w:p>
        </w:tc>
        <w:tc>
          <w:tcPr>
            <w:tcW w:w="3023" w:type="dxa"/>
          </w:tcPr>
          <w:p w14:paraId="7718DA5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跨城市结论被过度外推</w:t>
            </w:r>
          </w:p>
        </w:tc>
        <w:tc>
          <w:tcPr>
            <w:tcW w:w="3025" w:type="dxa"/>
          </w:tcPr>
          <w:p>
            <w:pPr>
              <w:spacing w:line="276" w:lineRule="auto"/>
            </w:pPr>
            <w:r>
              <w:rPr>
                <w:rFonts w:ascii="宋体" w:hAnsi="宋体" w:eastAsia="宋体"/>
                <w:sz w:val="21"/>
              </w:rPr>
              <w:t>使用无量纲裕度和适用参数域，参数范围校核只承担方向核验</w:t>
            </w:r>
          </w:p>
        </w:tc>
      </w:tr>
    </w:tbl>
    <w:p w14:paraId="4ED0A000">
      <w:pPr>
        <w:spacing w:line="360" w:lineRule="auto" w:before="0" w:after="0"/>
        <w:ind w:firstLine="420"/>
      </w:pPr>
      <w:r>
        <w:rPr>
          <w:rFonts w:ascii="Times New Roman" w:hAnsi="Times New Roman" w:eastAsia="宋体" w:cs="Times New Roman"/>
          <w:b w:val="0"/>
          <w:color w:val="000000"/>
          <w:sz w:val="24"/>
        </w:rPr>
        <w:t>研究结论将分为条件规律与跨城市机制方向两类：前者对应具体城市状态、技术架构和气候情景，后者要求在外部锚点和结构对照中保持方向一致。参数以证据等级和区间表达，城市本地物理水流与异地电力水足迹分账户呈现，AI节点与等年用水量普通工业节点并列比较。规划建议以容量区间、适用域和主导瓶颈呈现，用于支持方案比较和前期论证。</w:t>
      </w:r>
    </w:p>
    <w:p>
      <w:pPr>
        <w:spacing w:line="360" w:lineRule="auto" w:before="0" w:after="0"/>
        <w:ind w:firstLine="420"/>
      </w:pPr>
      <w:r>
        <w:rPr>
          <w:rFonts w:ascii="宋体" w:hAnsi="宋体" w:eastAsia="宋体"/>
          <w:sz w:val="24"/>
        </w:rPr>
        <w:t>对核心结论开展三类稳定性检验：改变参数分布和相关结构，改变高温—干旱—需求峰值的时间排列，替换冷却方程和约束优先级。若结论方向在多数扰动下保持一致，则进入主要结论；若只在狭窄参数区间成立，则以适用域和边界条件表述。通过这种判据区分科学机制和特定设定下的偶然结果。</w:t>
      </w:r>
    </w:p>
    <w:p>
      <w:pPr>
        <w:pStyle w:val="17"/>
      </w:pPr>
      <w:r>
        <w:rPr>
          <w:rFonts w:ascii="Times New Roman" w:hAnsi="Times New Roman"/>
          <w:sz w:val="24"/>
        </w:rPr>
        <w:t>8.3 结果稳定性判据</w:t>
      </w:r>
    </w:p>
    <w:p>
      <w:pPr>
        <w:spacing w:line="360" w:lineRule="auto" w:before="0" w:after="0"/>
        <w:ind w:firstLine="420"/>
      </w:pPr>
      <w:r>
        <w:rPr>
          <w:rFonts w:ascii="宋体" w:hAnsi="宋体" w:eastAsia="宋体"/>
          <w:sz w:val="24"/>
        </w:rPr>
        <w:t>参数来自标准、工程文献、公开统计和情景设定，证据强度不同。研究为每个参数记录来源、年份、适用工况、上下界和是否参与主要结论；结果分别标记为工程基准支持、参数域条件规律或机制方向性结论。跨状态比较采用无量纲裕度和结构指标，不把抽象系统结果直接等同于任一真实城市容量。</w:t>
      </w:r>
    </w:p>
    <w:p>
      <w:pPr>
        <w:pStyle w:val="17"/>
      </w:pPr>
      <w:r>
        <w:rPr>
          <w:rFonts w:ascii="Times New Roman" w:hAnsi="Times New Roman"/>
          <w:sz w:val="24"/>
        </w:rPr>
        <w:t>8.2 证据等级与外推</w:t>
      </w:r>
    </w:p>
    <w:p>
      <w:pPr>
        <w:spacing w:line="360" w:lineRule="auto" w:before="0" w:after="0"/>
        <w:ind w:firstLine="420"/>
      </w:pPr>
      <w:r>
        <w:rPr>
          <w:rFonts w:ascii="Times New Roman" w:hAnsi="Times New Roman"/>
          <w:sz w:val="24"/>
        </w:rPr>
        <w:t>系统模拟容易在水量、水质、水—能—碳、成本和跨城市比较之间不断扩张。研究采用“核心闭合—边界实验—扩展分析”的顺序，只有在水量闭合、时间尺度边界和瓶颈转换得到稳定结果后，才加入完整水质和综合环境评价。任何扩展模块都必须明确新增输入、输出和验证方式，不能改变核心CAWCC的定义。</w:t>
      </w:r>
    </w:p>
    <w:p>
      <w:pPr>
        <w:pStyle w:val="17"/>
      </w:pPr>
      <w:r>
        <w:rPr>
          <w:rFonts w:ascii="Times New Roman" w:hAnsi="Times New Roman"/>
          <w:sz w:val="24"/>
        </w:rPr>
        <w:t>8.1 研究边界变化</w:t>
      </w:r>
    </w:p>
    <w:p w14:paraId="0BE3BC36">
      <w:pPr>
        <w:pStyle w:val="16"/>
        <w:pageBreakBefore/>
      </w:pPr>
      <w:r>
        <w:rPr>
          <w:rFonts w:ascii="Times New Roman" w:hAnsi="Times New Roman" w:eastAsia="黑体" w:cs="Times New Roman"/>
          <w:b/>
          <w:color w:val="000000"/>
          <w:sz w:val="30"/>
        </w:rPr>
        <w:t>9 参考文献</w:t>
      </w:r>
    </w:p>
    <w:sectPr>
      <w:headerReference r:id="rId7" w:type="default"/>
      <w:footerReference r:id="rId8" w:type="default"/>
      <w:pgSz w:w="11909" w:h="16834"/>
      <w:pgMar w:top="1417" w:right="1417" w:bottom="1247" w:left="1417" w:header="850" w:footer="850" w:gutter="0"/>
      <w:pgNumType w:start="1"/>
      <w:cols w:space="425" w:num="1"/>
      <w:docGrid w:type="lines" w:linePitch="312" w:charSpace="0"/>
    </w:sectPr>
    <w:p w14:paraId="2DA2B94E">
      <w:pPr>
        <w:spacing w:line="240" w:lineRule="auto" w:before="0" w:after="0"/>
        <w:ind w:left="420" w:hanging="420"/>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spacing w:line="240" w:lineRule="auto" w:before="0" w:after="0"/>
        <w:ind w:left="420" w:hanging="420"/>
      </w:pPr>
      <w:r>
        <w:rPr>
          <w:rFonts w:ascii="Times New Roman" w:hAnsi="Times New Roman" w:eastAsia="宋体" w:cs="Times New Roman"/>
          <w:b w:val="0"/>
          <w:color w:val="000000"/>
          <w:sz w:val="24"/>
        </w:rPr>
        <w:t>[2] International Energy Agency. Key Questions on Energy and AI[R]. Paris: IEA, 2026.</w:t>
      </w:r>
    </w:p>
    <w:p w14:paraId="079E8635">
      <w:pPr>
        <w:spacing w:line="240" w:lineRule="auto" w:before="0" w:after="0"/>
        <w:ind w:left="420" w:hanging="420"/>
      </w:pPr>
      <w:r>
        <w:rPr>
          <w:rFonts w:ascii="Times New Roman" w:hAnsi="Times New Roman" w:eastAsia="宋体" w:cs="Times New Roman"/>
          <w:b w:val="0"/>
          <w:color w:val="000000"/>
          <w:sz w:val="24"/>
        </w:rPr>
        <w:t>[3] International Energy Agency. Energy and AI[R]. Paris: IEA, 2025.</w:t>
      </w:r>
    </w:p>
    <w:p w14:paraId="331827A7">
      <w:pPr>
        <w:spacing w:line="240" w:lineRule="auto" w:before="0" w:after="0"/>
        <w:ind w:left="420" w:hanging="420"/>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spacing w:line="240" w:lineRule="auto" w:before="0" w:after="0"/>
        <w:ind w:left="420" w:hanging="420"/>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spacing w:line="240" w:lineRule="auto" w:before="0" w:after="0"/>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line="240" w:lineRule="auto" w:before="0" w:after="0"/>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line="240" w:lineRule="auto" w:before="0" w:after="0"/>
        <w:ind w:left="420" w:hanging="420"/>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spacing w:line="240" w:lineRule="auto" w:before="0" w:after="0"/>
        <w:ind w:left="420" w:hanging="420"/>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spacing w:line="240" w:lineRule="auto" w:before="0" w:after="0"/>
        <w:ind w:left="420" w:hanging="420"/>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spacing w:line="240" w:lineRule="auto" w:before="0" w:after="0"/>
        <w:ind w:left="420" w:hanging="420"/>
      </w:pPr>
      <w:r>
        <w:rPr>
          <w:rFonts w:ascii="Times New Roman" w:hAnsi="Times New Roman" w:eastAsia="宋体" w:cs="Times New Roman"/>
          <w:b w:val="0"/>
          <w:color w:val="000000"/>
          <w:sz w:val="24"/>
        </w:rPr>
        <w:t>[11] 北京市水务局. 北京市水资源公报（2024年度）[R]. 2025. https://swj.beijing.gov.cn/zwgk/szygb/</w:t>
      </w:r>
    </w:p>
    <w:p w14:paraId="1F92EC81">
      <w:pPr>
        <w:spacing w:line="240" w:lineRule="auto" w:before="0" w:after="0"/>
        <w:ind w:left="420" w:hanging="420"/>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spacing w:line="240" w:lineRule="auto" w:before="0" w:after="0"/>
        <w:ind w:left="420" w:hanging="420"/>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spacing w:line="240" w:lineRule="auto" w:before="0" w:after="0"/>
        <w:ind w:left="420" w:hanging="420"/>
      </w:pPr>
      <w:r>
        <w:rPr>
          <w:rFonts w:ascii="Times New Roman" w:hAnsi="Times New Roman" w:eastAsia="宋体" w:cs="Times New Roman"/>
          <w:b w:val="0"/>
          <w:color w:val="000000"/>
          <w:sz w:val="24"/>
        </w:rPr>
        <w:t>[14] 贵州省水利厅. 2024年贵州省水资源公报[R]. 2026. https://gzswj.guizhou.gov.cn/swyw/szy/</w:t>
      </w:r>
    </w:p>
    <w:p w14:paraId="4D0D1697">
      <w:pPr>
        <w:spacing w:line="240" w:lineRule="auto" w:before="0" w:after="0"/>
        <w:ind w:left="420" w:hanging="420"/>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spacing w:line="240" w:lineRule="auto" w:before="0" w:after="0"/>
        <w:ind w:left="420" w:hanging="420"/>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spacing w:line="240" w:lineRule="auto" w:before="0" w:after="0"/>
        <w:ind w:left="420" w:hanging="420"/>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spacing w:line="240" w:lineRule="auto" w:before="0" w:after="0"/>
        <w:ind w:left="420" w:hanging="420"/>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spacing w:line="240" w:lineRule="auto" w:before="0" w:after="0"/>
        <w:ind w:left="420" w:hanging="420"/>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spacing w:line="240" w:lineRule="auto" w:before="0" w:after="0"/>
        <w:ind w:left="420" w:hanging="420"/>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spacing w:line="240" w:lineRule="auto" w:before="0" w:after="0"/>
        <w:ind w:left="420" w:hanging="420"/>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spacing w:line="240" w:lineRule="auto" w:before="0" w:after="0"/>
        <w:ind w:left="420" w:hanging="420"/>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spacing w:line="240" w:lineRule="auto" w:before="0" w:after="0"/>
        <w:ind w:left="420" w:hanging="420"/>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spacing w:line="240" w:lineRule="auto" w:before="0" w:after="0"/>
        <w:ind w:left="420" w:hanging="420"/>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spacing w:line="240" w:lineRule="auto" w:before="0" w:after="0"/>
        <w:ind w:left="420" w:hanging="420"/>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spacing w:line="240" w:lineRule="auto" w:before="0" w:after="0"/>
        <w:ind w:left="420" w:hanging="420"/>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spacing w:line="240" w:lineRule="auto" w:before="0" w:after="0"/>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line="240" w:lineRule="auto" w:before="0" w:after="0"/>
        <w:ind w:left="420" w:hanging="420"/>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spacing w:line="240" w:lineRule="auto" w:before="0" w:after="0"/>
        <w:ind w:left="420" w:hanging="420"/>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spacing w:line="240" w:lineRule="auto" w:before="0" w:after="0"/>
        <w:ind w:left="420" w:hanging="420"/>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spacing w:line="240" w:lineRule="auto" w:before="0" w:after="0"/>
        <w:ind w:left="420" w:hanging="420"/>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spacing w:line="240" w:lineRule="auto" w:before="0" w:after="0"/>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line="240" w:lineRule="auto" w:before="0" w:after="0"/>
        <w:ind w:left="420" w:hanging="420"/>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spacing w:line="240" w:lineRule="auto" w:before="0" w:after="0"/>
        <w:ind w:left="420" w:hanging="420"/>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spacing w:line="240" w:lineRule="auto" w:before="0" w:after="0"/>
        <w:ind w:left="420" w:hanging="420"/>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spacing w:line="240" w:lineRule="auto" w:before="0" w:after="0"/>
        <w:ind w:left="420" w:hanging="420"/>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spacing w:line="240" w:lineRule="auto" w:before="0" w:after="0"/>
        <w:ind w:left="420" w:hanging="420"/>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spacing w:line="240" w:lineRule="auto" w:before="0" w:after="0"/>
        <w:ind w:left="420" w:hanging="420"/>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spacing w:line="240" w:lineRule="auto" w:before="0" w:after="0"/>
        <w:ind w:left="420" w:hanging="420"/>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spacing w:line="240" w:lineRule="auto" w:before="0" w:after="0"/>
        <w:ind w:left="420" w:hanging="420"/>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spacing w:line="240" w:lineRule="auto" w:before="0" w:after="0"/>
        <w:ind w:left="420" w:hanging="420"/>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spacing w:line="240" w:lineRule="auto" w:before="0" w:after="0"/>
        <w:ind w:left="420" w:hanging="420"/>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spacing w:line="240" w:lineRule="auto" w:before="0" w:after="0"/>
        <w:ind w:left="420" w:hanging="420"/>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spacing w:line="240" w:lineRule="auto" w:before="0" w:after="0"/>
        <w:ind w:left="420" w:hanging="420"/>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spacing w:line="240" w:lineRule="auto" w:before="0" w:after="0"/>
        <w:ind w:left="420" w:hanging="420"/>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spacing w:line="240" w:lineRule="auto" w:before="0" w:after="0"/>
        <w:ind w:left="420" w:hanging="420"/>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spacing w:line="240" w:lineRule="auto" w:before="0" w:after="0"/>
        <w:ind w:left="420" w:hanging="420"/>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spacing w:line="240" w:lineRule="auto" w:before="0" w:after="0"/>
        <w:ind w:left="420" w:hanging="420"/>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spacing w:line="240" w:lineRule="auto" w:before="0" w:after="0"/>
        <w:ind w:left="420" w:hanging="420"/>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spacing w:line="240" w:lineRule="auto" w:before="0" w:after="0"/>
        <w:ind w:left="420" w:hanging="420"/>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spacing w:line="240" w:lineRule="auto" w:before="0" w:after="0"/>
        <w:ind w:left="420" w:hanging="420"/>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spacing w:line="240" w:lineRule="auto" w:before="0" w:after="0"/>
        <w:ind w:left="420" w:hanging="420"/>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04DB69E6">
      <w:pPr>
        <w:spacing w:line="240" w:lineRule="auto" w:before="0" w:after="0"/>
        <w:ind w:left="420" w:hanging="420"/>
      </w:pPr>
      <w:r>
        <w:rPr>
          <w:rFonts w:ascii="Times New Roman" w:hAnsi="Times New Roman" w:eastAsia="宋体" w:cs="Times New Roman"/>
          <w:b w:val="0"/>
          <w:color w:val="000000"/>
          <w:sz w:val="24"/>
        </w:rPr>
        <w:t>[53] Hsieh M K, Li H, Chien S H, Monnell J D, Chowdhury I, Dzombak D A, Vidic R D. Corrosion control when using secondary treated municipal wastewater as alternative makeup water for cooling tower systems[J]. Water Environment Research, 2010, 82(12): 2346-2356. DOI: 10.2175/106143010X12681059117094.</w:t>
      </w:r>
    </w:p>
    <w:p w14:paraId="16342FC5">
      <w:pPr>
        <w:spacing w:line="240" w:lineRule="auto" w:before="0" w:after="0"/>
        <w:ind w:left="420" w:hanging="420"/>
      </w:pPr>
      <w:r>
        <w:rPr>
          <w:rFonts w:ascii="Times New Roman" w:hAnsi="Times New Roman" w:eastAsia="宋体" w:cs="Times New Roman"/>
          <w:b w:val="0"/>
          <w:color w:val="000000"/>
          <w:sz w:val="24"/>
        </w:rPr>
        <w:t>[54] Choudhury M R, Hsieh M K, Vidic R D, Dzombak D A. Corrosion management in power plant cooling systems using tertiary-treated municipal wastewater as makeup water[J]. Corrosion Science, 2012, 61: 231-241. DOI: 10.1016/j.corsci.2012.04.042.</w:t>
      </w:r>
    </w:p>
    <w:p w14:paraId="6EE46C6D">
      <w:pPr>
        <w:spacing w:line="240" w:lineRule="auto" w:before="0" w:after="0"/>
        <w:ind w:left="420" w:hanging="420"/>
      </w:pPr>
      <w:r>
        <w:rPr>
          <w:rFonts w:ascii="Times New Roman" w:hAnsi="Times New Roman" w:eastAsia="宋体" w:cs="Times New Roman"/>
          <w:b w:val="0"/>
          <w:color w:val="000000"/>
          <w:sz w:val="24"/>
        </w:rPr>
        <w:t>[55] Liu W, Chien S H, Dzombak D A, Vidic R D. Mineral scaling mitigation in cooling systems using tertiary-treated municipal wastewater[J]. Water Research, 2012, 46(14): 4488-4498. DOI: 10.1016/j.watres.2012.05.041.</w:t>
      </w:r>
    </w:p>
    <w:p w14:paraId="24635C4C">
      <w:pPr>
        <w:spacing w:line="240" w:lineRule="auto" w:before="0" w:after="0"/>
        <w:ind w:left="420" w:hanging="420"/>
      </w:pPr>
      <w:r>
        <w:rPr>
          <w:rFonts w:ascii="Times New Roman" w:hAnsi="Times New Roman" w:eastAsia="宋体" w:cs="Times New Roman"/>
          <w:b w:val="0"/>
          <w:color w:val="000000"/>
          <w:sz w:val="24"/>
        </w:rPr>
        <w:t>[56] Chien S H, Chowdhury I, Hsieh M K, Li H, Dzombak D A, Vidic R D. Control of biological growth in recirculating cooling systems using treated secondary effluent as makeup water with monochloramine[J]. Water Research, 2012, 46(19): 6508-6518. DOI: 10.1016/j.watres.2012.09.027.</w:t>
      </w:r>
    </w:p>
    <w:p w14:paraId="1719EDE2">
      <w:pPr>
        <w:spacing w:line="240" w:lineRule="auto" w:before="0" w:after="0"/>
        <w:ind w:left="420" w:hanging="420"/>
      </w:pPr>
      <w:r>
        <w:rPr>
          <w:rFonts w:ascii="Times New Roman" w:hAnsi="Times New Roman" w:eastAsia="宋体" w:cs="Times New Roman"/>
          <w:b w:val="0"/>
          <w:color w:val="000000"/>
          <w:sz w:val="24"/>
        </w:rPr>
        <w:t>[57] Kornboonraksa T. Using tertiary-treated municipal wastewater as makeup water by reverse osmosis membrane[J]. Desalination and Water Treatment, 2016, 57(16): 7422-7431. DOI: 10.1080/19443994.2015.1024937.</w:t>
      </w:r>
    </w:p>
    <w:p w14:paraId="407BA92F">
      <w:pPr>
        <w:spacing w:line="240" w:lineRule="auto" w:before="0" w:after="0"/>
        <w:ind w:left="420" w:hanging="420"/>
      </w:pPr>
      <w:r>
        <w:rPr>
          <w:rFonts w:ascii="Times New Roman" w:hAnsi="Times New Roman" w:eastAsia="宋体" w:cs="Times New Roman"/>
          <w:b w:val="0"/>
          <w:color w:val="000000"/>
          <w:sz w:val="24"/>
        </w:rPr>
        <w:t>[58] Hashimoto T, Stedinger J R, Loucks D P. Reliability, resiliency, and vulnerability criteria for water resource system performance evaluation[J]. Water Resources Research, 1982, 18(1): 14-20. DOI: 10.1029/WR018i001p00014.</w:t>
      </w:r>
    </w:p>
    <w:p w14:paraId="2CD28000">
      <w:pPr>
        <w:spacing w:line="240" w:lineRule="auto" w:before="0" w:after="0"/>
        <w:ind w:left="420" w:hanging="420"/>
      </w:pPr>
      <w:r>
        <w:rPr>
          <w:rFonts w:ascii="Times New Roman" w:hAnsi="Times New Roman" w:eastAsia="宋体" w:cs="Times New Roman"/>
          <w:b w:val="0"/>
          <w:color w:val="000000"/>
          <w:sz w:val="24"/>
        </w:rPr>
        <w:t>[59]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spacing w:line="240" w:lineRule="auto" w:before="0" w:after="0"/>
        <w:ind w:left="420" w:hanging="420"/>
      </w:pPr>
      <w:r>
        <w:rPr>
          <w:rFonts w:ascii="Times New Roman" w:hAnsi="Times New Roman" w:eastAsia="宋体" w:cs="Times New Roman"/>
          <w:b w:val="0"/>
          <w:color w:val="000000"/>
          <w:sz w:val="24"/>
        </w:rPr>
        <w:t>[60] Lempert R J, Groves D G. Identifying and evaluating robust adaptive policy responses to climate change for water management agencies in the American West[J]. Technological Forecasting and Social Change, 2010, 77(6): 960-974. DOI: 10.1016/j.techfore.2010.04.007.</w:t>
      </w:r>
    </w:p>
    <w:p w14:paraId="59E75948">
      <w:pPr>
        <w:spacing w:line="240" w:lineRule="auto" w:before="0" w:after="0"/>
        <w:ind w:left="420" w:hanging="420"/>
      </w:pPr>
      <w:r>
        <w:rPr>
          <w:rFonts w:ascii="Times New Roman" w:hAnsi="Times New Roman" w:eastAsia="宋体" w:cs="Times New Roman"/>
          <w:b w:val="0"/>
          <w:color w:val="000000"/>
          <w:sz w:val="24"/>
        </w:rPr>
        <w:t>[61] Haasnoot M, Kwakkel J H, Walker W E, ter Maat J. Dynamic adaptive policy pathways: A method for crafting robust decisions for a deeply uncertain world[J]. Global Environmental Change, 2013, 23(2): 485-498. DOI: 10.1016/j.gloenvcha.2012.12.006.</w:t>
      </w:r>
    </w:p>
    <w:p w14:paraId="7A388BC2">
      <w:pPr>
        <w:spacing w:line="240" w:lineRule="auto" w:before="0" w:after="0"/>
        <w:ind w:left="420" w:hanging="420"/>
      </w:pPr>
      <w:r>
        <w:rPr>
          <w:rFonts w:ascii="Times New Roman" w:hAnsi="Times New Roman" w:eastAsia="宋体" w:cs="Times New Roman"/>
          <w:b w:val="0"/>
          <w:color w:val="000000"/>
          <w:sz w:val="24"/>
        </w:rPr>
        <w:t>[62] Kwakkel J H, Haasnoot M, Walker W E. Developing dynamic adaptive policy pathways: A computer-assisted approach for developing adaptive strategies for a deeply uncertain world[J]. Climatic Change, 2015, 132(3): 373-386. DOI: 10.1007/s10584-014-1210-4.</w:t>
      </w:r>
    </w:p>
    <w:p w14:paraId="54F19AF2">
      <w:pPr>
        <w:spacing w:line="240" w:lineRule="auto" w:before="0" w:after="0"/>
        <w:ind w:left="420" w:hanging="420"/>
      </w:pPr>
      <w:r>
        <w:rPr>
          <w:rFonts w:ascii="Times New Roman" w:hAnsi="Times New Roman" w:eastAsia="宋体" w:cs="Times New Roman"/>
          <w:b w:val="0"/>
          <w:color w:val="000000"/>
          <w:sz w:val="24"/>
        </w:rPr>
        <w:t>[63] Sadr S M K, Casal-Campos A, Fu G, Farmani R, Ward S, Butler D. Strategic planning of the integrated urban wastewater system using adaptation pathways[J]. Water Research, 2020, 182: 116013. DOI: 10.1016/j.watres.2020.116013.</w:t>
      </w:r>
    </w:p>
    <w:p w14:paraId="4718391B">
      <w:pPr>
        <w:spacing w:line="240" w:lineRule="auto" w:before="0" w:after="0"/>
        <w:ind w:left="420" w:hanging="420"/>
      </w:pPr>
      <w:r>
        <w:rPr>
          <w:rFonts w:ascii="Times New Roman" w:hAnsi="Times New Roman" w:eastAsia="宋体" w:cs="Times New Roman"/>
          <w:b w:val="0"/>
          <w:color w:val="000000"/>
          <w:sz w:val="24"/>
        </w:rPr>
        <w:t>[64] Deb K, Pratap A, Agarwal S, Meyarivan T. A fast and elitist multiobjective genetic algorithm: NSGA-II[J]. IEEE Transactions on Evolutionary Computation, 2002, 6(2): 182-197. DOI: 10.1109/4235.996017.</w:t>
      </w:r>
    </w:p>
    <w:p w14:paraId="2E78E4D2">
      <w:pPr>
        <w:spacing w:line="240" w:lineRule="auto" w:before="0" w:after="0"/>
        <w:ind w:left="420" w:hanging="420"/>
      </w:pPr>
      <w:r>
        <w:rPr>
          <w:rFonts w:ascii="Times New Roman" w:hAnsi="Times New Roman" w:eastAsia="宋体" w:cs="Times New Roman"/>
          <w:b w:val="0"/>
          <w:color w:val="000000"/>
          <w:sz w:val="24"/>
        </w:rPr>
        <w:t>[65] 段春青, 刘昌明, 陈晓楠, 柳文华, 郑红星. 区域水资源承载力概念及研究方法的探讨[J]. 地理学报, 2010, 65(1): 82-90. DOI: 10.11821/xb201001009.</w:t>
      </w:r>
    </w:p>
    <w:p w14:paraId="15D091A8">
      <w:pPr>
        <w:spacing w:line="240" w:lineRule="auto" w:before="0" w:after="0"/>
        <w:ind w:left="420" w:hanging="420"/>
      </w:pPr>
      <w:r>
        <w:rPr>
          <w:rFonts w:ascii="Times New Roman" w:hAnsi="Times New Roman" w:eastAsia="宋体" w:cs="Times New Roman"/>
          <w:b w:val="0"/>
          <w:color w:val="000000"/>
          <w:sz w:val="24"/>
        </w:rPr>
        <w:t>[66] Qin G, Li H, Wang X, Ding J. Research on water resources design carrying capacity[J]. Water, 2016, 8(4): 157. DOI: 10.3390/w8040157.</w:t>
      </w:r>
    </w:p>
    <w:p w14:paraId="4E3804AA">
      <w:pPr>
        <w:spacing w:line="240" w:lineRule="auto" w:before="0" w:after="0"/>
        <w:ind w:left="420" w:hanging="420"/>
      </w:pPr>
      <w:r>
        <w:rPr>
          <w:rFonts w:ascii="Times New Roman" w:hAnsi="Times New Roman" w:eastAsia="宋体" w:cs="Times New Roman"/>
          <w:b w:val="0"/>
          <w:color w:val="000000"/>
          <w:sz w:val="24"/>
        </w:rPr>
        <w:t>[67] Feng L H, Zhang X C, Luo G Y. Application of system dynamics in analyzing the carrying capacity of water resources in Yiwu City, China[J]. Mathematics and Computers in Simulation, 2008, 79(3): 269-278. DOI: 10.1016/j.matcom.2007.11.018.</w:t>
      </w:r>
    </w:p>
    <w:p w14:paraId="4F167466">
      <w:pPr>
        <w:spacing w:line="240" w:lineRule="auto" w:before="0" w:after="0"/>
        <w:ind w:left="420" w:hanging="420"/>
      </w:pPr>
      <w:r>
        <w:rPr>
          <w:rFonts w:ascii="Times New Roman" w:hAnsi="Times New Roman" w:eastAsia="宋体" w:cs="Times New Roman"/>
          <w:b w:val="0"/>
          <w:color w:val="000000"/>
          <w:sz w:val="24"/>
        </w:rPr>
        <w:t>[68] Wang X J, Zhang J Y, Liu J F, Wang G Q, He R M, Elmahdi A, Elsawah S. Water resources planning and management based on system dynamics: A case study of Yulin city[J]. Environment, Development and Sustainability, 2011, 13(2): 331-351. DOI: 10.1007/s10668-010-9264-6.</w:t>
      </w:r>
    </w:p>
    <w:p w14:paraId="28D91A73">
      <w:pPr>
        <w:spacing w:line="240" w:lineRule="auto" w:before="0" w:after="0"/>
        <w:ind w:left="420" w:hanging="420"/>
      </w:pPr>
      <w:r>
        <w:rPr>
          <w:rFonts w:ascii="Times New Roman" w:hAnsi="Times New Roman" w:eastAsia="宋体" w:cs="Times New Roman"/>
          <w:b w:val="0"/>
          <w:color w:val="000000"/>
          <w:sz w:val="24"/>
        </w:rPr>
        <w:t>[69]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spacing w:line="240" w:lineRule="auto" w:before="0" w:after="0"/>
        <w:ind w:left="420" w:hanging="420"/>
      </w:pPr>
      <w:r>
        <w:rPr>
          <w:rFonts w:ascii="Times New Roman" w:hAnsi="Times New Roman" w:eastAsia="宋体" w:cs="Times New Roman"/>
          <w:b w:val="0"/>
          <w:color w:val="000000"/>
          <w:sz w:val="24"/>
        </w:rPr>
        <w:t>[70] Wang X, Liu L, Zhang S, Gao C. Dynamic simulation and comprehensive evaluation of the water resources carrying capacity in Guangzhou City, China[J]. Ecological Indicators, 2022, 135: 108528. DOI: 10.1016/j.ecolind.2021.108528.</w:t>
      </w:r>
    </w:p>
    <w:p w14:paraId="61132F48">
      <w:pPr>
        <w:spacing w:line="240" w:lineRule="auto" w:before="0" w:after="0"/>
        <w:ind w:left="420" w:hanging="420"/>
      </w:pPr>
      <w:r>
        <w:rPr>
          <w:rFonts w:ascii="Times New Roman" w:hAnsi="Times New Roman" w:eastAsia="宋体" w:cs="Times New Roman"/>
          <w:b w:val="0"/>
          <w:color w:val="000000"/>
          <w:sz w:val="24"/>
        </w:rPr>
        <w:t>[71]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spacing w:line="240" w:lineRule="auto" w:before="0" w:after="0"/>
        <w:ind w:left="420" w:hanging="420"/>
      </w:pPr>
      <w:r>
        <w:rPr>
          <w:rFonts w:ascii="Times New Roman" w:hAnsi="Times New Roman" w:eastAsia="宋体" w:cs="Times New Roman"/>
          <w:b w:val="0"/>
          <w:color w:val="000000"/>
          <w:sz w:val="24"/>
        </w:rPr>
        <w:t>[72] Zhou X Y, Zheng B, Khu S T. Validation of the hypothesis on carrying capacity limits using the water environment carrying capacity[J]. Science of the Total Environment, 2019, 665: 774-784. DOI: 10.1016/j.scitotenv.2019.02.146.</w:t>
      </w:r>
    </w:p>
    <w:p w14:paraId="390BE598">
      <w:pPr>
        <w:spacing w:line="240" w:lineRule="auto" w:before="0" w:after="0"/>
        <w:ind w:left="420" w:hanging="420"/>
      </w:pPr>
      <w:r>
        <w:rPr>
          <w:rFonts w:ascii="Times New Roman" w:hAnsi="Times New Roman" w:eastAsia="宋体" w:cs="Times New Roman"/>
          <w:b w:val="0"/>
          <w:color w:val="000000"/>
          <w:sz w:val="24"/>
        </w:rPr>
        <w:t>[73] Cui D, Zeng W, Ma B, Zhuo Y, Xie Y. Ecological network analysis of an urban water metabolic system: Integrated metabolic processes of physical and virtual water[J]. Science of the Total Environment, 2021, 787: 147432. DOI: 10.1016/j.scitotenv.2021.147432.</w:t>
      </w:r>
    </w:p>
    <w:p w14:paraId="41FA0227">
      <w:pPr>
        <w:spacing w:line="240" w:lineRule="auto" w:before="0" w:after="0"/>
        <w:ind w:left="420" w:hanging="420"/>
      </w:pPr>
      <w:r>
        <w:rPr>
          <w:rFonts w:ascii="Times New Roman" w:hAnsi="Times New Roman" w:eastAsia="宋体" w:cs="Times New Roman"/>
          <w:b w:val="0"/>
          <w:color w:val="000000"/>
          <w:sz w:val="24"/>
        </w:rPr>
        <w:t>[74] Fan J L, Kong L S, Wang H, Zhang X. A water-energy nexus review from the perspective of urban metabolism[J]. Ecological Modelling, 2019, 392: 128-136. DOI: 10.1016/j.ecolmodel.2018.11.019.</w:t>
      </w:r>
    </w:p>
    <w:p w14:paraId="7A3E99E9">
      <w:pPr>
        <w:spacing w:line="240" w:lineRule="auto" w:before="0" w:after="0"/>
        <w:ind w:left="420" w:hanging="420"/>
      </w:pPr>
      <w:r>
        <w:rPr>
          <w:rFonts w:ascii="Times New Roman" w:hAnsi="Times New Roman" w:eastAsia="宋体" w:cs="Times New Roman"/>
          <w:b w:val="0"/>
          <w:color w:val="000000"/>
          <w:sz w:val="24"/>
        </w:rPr>
        <w:t>[75] He C, Liu Z, Wu J, Pan X, Fang Z, Li J, Bryan B A. Future global urban water scarcity and potential solutions[J]. Nature Communications, 2021, 12: 4667. DOI: 10.1038/s41467-021-25026-3.</w:t>
      </w:r>
    </w:p>
    <w:p w14:paraId="40320417">
      <w:pPr>
        <w:spacing w:line="240" w:lineRule="auto" w:before="0" w:after="0"/>
        <w:ind w:left="420" w:hanging="420"/>
      </w:pPr>
      <w:r>
        <w:rPr>
          <w:rFonts w:ascii="Times New Roman" w:hAnsi="Times New Roman" w:eastAsia="宋体" w:cs="Times New Roman"/>
          <w:b w:val="0"/>
          <w:color w:val="000000"/>
          <w:sz w:val="24"/>
        </w:rPr>
        <w:t>[76]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spacing w:line="240" w:lineRule="auto" w:before="0" w:after="0"/>
        <w:ind w:left="420" w:hanging="420"/>
      </w:pPr>
      <w:r>
        <w:rPr>
          <w:rFonts w:ascii="Times New Roman" w:hAnsi="Times New Roman" w:eastAsia="宋体" w:cs="Times New Roman"/>
          <w:b w:val="0"/>
          <w:color w:val="000000"/>
          <w:sz w:val="24"/>
        </w:rPr>
        <w:t>[77] 国家市场监督管理总局, 国家标准化管理委员会. 数据中心 资源利用 第6部分：水资源使用效率: GB/T 32910.6-2025[S]. 2025.</w:t>
      </w:r>
    </w:p>
    <w:p w14:paraId="1D1BB0C4">
      <w:pPr>
        <w:spacing w:line="240" w:lineRule="auto" w:before="0" w:after="0"/>
        <w:ind w:left="420" w:hanging="420"/>
      </w:pPr>
      <w:r>
        <w:rPr>
          <w:rFonts w:ascii="Times New Roman" w:hAnsi="Times New Roman" w:eastAsia="宋体" w:cs="Times New Roman"/>
          <w:b w:val="0"/>
          <w:color w:val="000000"/>
          <w:sz w:val="24"/>
        </w:rPr>
        <w:t>[78] 中华人民共和国住房和城乡建设部. 室外给水设计标准: GB 50013-2018[S]. 北京: 中国计划出版社, 2018.</w:t>
      </w:r>
    </w:p>
    <w:p w14:paraId="3A56C6C6">
      <w:pPr>
        <w:spacing w:line="240" w:lineRule="auto" w:before="0" w:after="0"/>
        <w:ind w:left="420" w:hanging="420"/>
      </w:pPr>
      <w:r>
        <w:rPr>
          <w:rFonts w:ascii="Times New Roman" w:hAnsi="Times New Roman" w:eastAsia="宋体" w:cs="Times New Roman"/>
          <w:b w:val="0"/>
          <w:color w:val="000000"/>
          <w:sz w:val="24"/>
        </w:rPr>
        <w:t>[79] 中华人民共和国住房和城乡建设部. 室外排水设计标准: GB 50014-2021[S]. 北京: 中国计划出版社, 2021.</w:t>
      </w:r>
    </w:p>
    <w:p w14:paraId="496BAB5E">
      <w:pPr>
        <w:spacing w:line="240" w:lineRule="auto" w:before="0" w:after="0"/>
        <w:ind w:left="420" w:hanging="420"/>
      </w:pPr>
      <w:r>
        <w:rPr>
          <w:rFonts w:ascii="Times New Roman" w:hAnsi="Times New Roman" w:eastAsia="宋体" w:cs="Times New Roman"/>
          <w:b w:val="0"/>
          <w:color w:val="000000"/>
          <w:sz w:val="24"/>
        </w:rPr>
        <w:t>[80] Eyring V, Bony S, Meehl G A, Senior C A, Stevens B, Stouffer R J, Taylor K E. Overview of the Coupled Model Intercomparison Project Phase 6 (CMIP6) experimental design and organization[J]. Geoscientific Model Development, 2016, 9: 1937-1958. DOI: 10.5194/gmd-9-1937-2016.</w:t>
      </w:r>
    </w:p>
    <w:p w14:paraId="7762A0AF">
      <w:pPr>
        <w:spacing w:line="240" w:lineRule="auto" w:before="0" w:after="0"/>
        <w:ind w:left="420" w:hanging="420"/>
      </w:pPr>
      <w:r>
        <w:rPr>
          <w:rFonts w:ascii="Times New Roman" w:hAnsi="Times New Roman" w:eastAsia="宋体" w:cs="Times New Roman"/>
          <w:b w:val="0"/>
          <w:color w:val="000000"/>
          <w:sz w:val="24"/>
        </w:rPr>
        <w:t>[81] IPCC. Climate Change 2021: The Physical Science Basis. Contribution of Working Group I to the Sixth Assessment Report of the Intergovernmental Panel on Climate Change[M]. Cambridge: Cambridge University Press, 2021. DOI: 10.1017/9781009157896.</w:t>
      </w:r>
    </w:p>
    <w:p w14:paraId="7AC41C61">
      <w:pPr>
        <w:spacing w:line="240" w:lineRule="auto" w:before="0" w:after="0"/>
        <w:ind w:left="420" w:hanging="420"/>
      </w:pPr>
      <w:r>
        <w:rPr>
          <w:rFonts w:ascii="Times New Roman" w:hAnsi="Times New Roman" w:eastAsia="宋体" w:cs="Times New Roman"/>
          <w:b w:val="0"/>
          <w:color w:val="000000"/>
          <w:sz w:val="24"/>
        </w:rPr>
        <w:t>[82] Zscheischler J, Westra S, van den Hurk B J J M, Seneviratne S I, Ward P J, Pitman A, et al. Future climate risk from compound events[J]. Nature Climate Change, 2018, 8: 469-477. DOI: 10.1038/s41558-018-0156-3.</w:t>
      </w:r>
    </w:p>
    <w:p w14:paraId="42AE14D7">
      <w:pPr>
        <w:spacing w:line="240" w:lineRule="auto" w:before="0" w:after="0"/>
        <w:ind w:left="420" w:hanging="420"/>
      </w:pPr>
      <w:r>
        <w:rPr>
          <w:rFonts w:ascii="Times New Roman" w:hAnsi="Times New Roman" w:eastAsia="宋体" w:cs="Times New Roman"/>
          <w:b w:val="0"/>
          <w:color w:val="000000"/>
          <w:sz w:val="24"/>
        </w:rPr>
        <w:t>[83] Morris M D. Factorial sampling plans for preliminary computational experiments[J]. Technometrics, 1991, 33(2): 161-174. DOI: 10.1080/00401706.1991.10484804.</w:t>
      </w:r>
    </w:p>
    <w:p w14:paraId="7F86DFAF">
      <w:pPr>
        <w:spacing w:line="240" w:lineRule="auto" w:before="0" w:after="0"/>
        <w:ind w:left="420" w:hanging="420"/>
      </w:pPr>
      <w:r>
        <w:rPr>
          <w:rFonts w:ascii="Times New Roman" w:hAnsi="Times New Roman" w:eastAsia="宋体" w:cs="Times New Roman"/>
          <w:b w:val="0"/>
          <w:color w:val="000000"/>
          <w:sz w:val="24"/>
        </w:rPr>
        <w:t>[84] Campolongo F, Cariboni J, Saltelli A. An effective screening design for sensitivity analysis of large models[J]. Environmental Modelling &amp; Software, 2007, 22(10): 1509-1518. DOI: 10.1016/j.envsoft.2006.10.004.</w:t>
      </w:r>
    </w:p>
    <w:p w14:paraId="6FADA619">
      <w:pPr>
        <w:spacing w:line="240" w:lineRule="auto" w:before="0" w:after="0"/>
        <w:ind w:left="420" w:hanging="420"/>
      </w:pPr>
      <w:r>
        <w:rPr>
          <w:rFonts w:ascii="Times New Roman" w:hAnsi="Times New Roman" w:eastAsia="宋体" w:cs="Times New Roman"/>
          <w:b w:val="0"/>
          <w:color w:val="000000"/>
          <w:sz w:val="24"/>
        </w:rPr>
        <w:t>[85] Sobol I M. Global sensitivity indices for nonlinear mathematical models and their Monte Carlo estimates[J]. Mathematics and Computers in Simulation, 2001, 55(1-3): 271-280. DOI: 10.1016/S0378-4754(00)00270-6.</w:t>
      </w:r>
    </w:p>
    <w:p w14:paraId="2989789B">
      <w:pPr>
        <w:spacing w:line="240" w:lineRule="auto" w:before="0" w:after="0"/>
        <w:ind w:left="420" w:hanging="420"/>
      </w:pPr>
      <w:r>
        <w:rPr>
          <w:rFonts w:ascii="Times New Roman" w:hAnsi="Times New Roman" w:eastAsia="宋体" w:cs="Times New Roman"/>
          <w:b w:val="0"/>
          <w:color w:val="000000"/>
          <w:sz w:val="24"/>
        </w:rPr>
        <w:t>[86] Saltelli A, Ratto M, Andres T, Campolongo F, Cariboni J, Gatelli D, et al. Global Sensitivity Analysis: The Primer[M]. Chichester: John Wiley &amp; Sons, 2008. DOI: 10.1002/9780470725184.</w:t>
      </w:r>
    </w:p>
    <w:p w14:paraId="724F73D4">
      <w:pPr>
        <w:spacing w:line="240" w:lineRule="auto" w:before="0" w:after="0"/>
        <w:ind w:left="420" w:hanging="420"/>
      </w:pPr>
      <w:r>
        <w:rPr>
          <w:rFonts w:ascii="Times New Roman" w:hAnsi="Times New Roman" w:eastAsia="宋体" w:cs="Times New Roman"/>
          <w:b w:val="0"/>
          <w:color w:val="000000"/>
          <w:sz w:val="24"/>
        </w:rPr>
        <w:t>[87] Razavi S, Gupta H V. What do we mean by sensitivity analysis? The need for comprehensive characterization of “global” sensitivity in Earth and environmental systems models[J]. Water Resources Research, 2015, 51(5): 3070-3092. DOI: 10.1002/2014WR016527.</w:t>
      </w:r>
    </w:p>
    <w:p w14:paraId="2E88881D">
      <w:pPr>
        <w:spacing w:line="240" w:lineRule="auto" w:before="0" w:after="0"/>
        <w:ind w:left="420" w:hanging="420"/>
      </w:pPr>
      <w:r>
        <w:rPr>
          <w:rFonts w:ascii="Times New Roman" w:hAnsi="Times New Roman" w:eastAsia="宋体" w:cs="Times New Roman"/>
          <w:b w:val="0"/>
          <w:color w:val="000000"/>
          <w:sz w:val="24"/>
        </w:rPr>
        <w:t>[88] Song E, Nelson B L, Staum J. Shapley Effects for Global Sensitivity Analysis: Theory and Computation[J]. SIAM/ASA Journal on Uncertainty Quantification, 2016, 4(1): 1060-1083. DOI: 10.1137/15M1048070.</w:t>
      </w:r>
    </w:p>
    <w:p w14:paraId="33DF674C">
      <w:pPr>
        <w:spacing w:line="240" w:lineRule="auto" w:before="0" w:after="0"/>
        <w:ind w:left="420" w:hanging="420"/>
      </w:pPr>
      <w:r>
        <w:rPr>
          <w:rFonts w:ascii="Times New Roman" w:hAnsi="Times New Roman" w:eastAsia="宋体" w:cs="Times New Roman"/>
          <w:b w:val="0"/>
          <w:color w:val="000000"/>
          <w:sz w:val="24"/>
        </w:rPr>
        <w:t>[89] Gupta H V, Kling H, Yilmaz K K, Martinez G F. Decomposition of the mean squared error and NSE performance criteria: Implications for improving hydrological modelling[J]. Journal of Hydrology, 2009, 377(1-2): 80-91. DOI: 10.1016/j.jhydrol.2009.08.003.</w:t>
      </w:r>
    </w:p>
    <w:p w14:paraId="5AEF3B65">
      <w:pPr>
        <w:spacing w:line="240" w:lineRule="auto" w:before="0" w:after="0"/>
        <w:ind w:left="420" w:hanging="420"/>
      </w:pPr>
      <w:r>
        <w:rPr>
          <w:rFonts w:ascii="Times New Roman" w:hAnsi="Times New Roman"/>
          <w:sz w:val="24"/>
        </w:rPr>
        <w:t>[90] Pearl J. Causal inference in statistics: An overview[J]. Statistics Surveys, 2010, 3: 96-146. DOI: 10.1214/09-SS057.</w:t>
      </w:r>
    </w:p>
    <w:p w14:paraId="7FF9A9B8">
      <w:pPr>
        <w:spacing w:line="240" w:lineRule="auto" w:before="0" w:after="0"/>
        <w:ind w:left="420" w:hanging="420"/>
      </w:pPr>
      <w:r>
        <w:rPr>
          <w:rFonts w:ascii="Times New Roman" w:hAnsi="Times New Roman"/>
          <w:sz w:val="24"/>
        </w:rPr>
        <w:t>[91] Pearl J. Causal diagrams for empirical research[J]. Biometrika, 1995, 82(4): 669-688. DOI: 10.1093/biomet/82.4.669.</w:t>
      </w:r>
    </w:p>
    <w:p w14:paraId="3DF8D7DC">
      <w:pPr>
        <w:spacing w:line="240" w:lineRule="auto" w:before="0" w:after="0"/>
        <w:ind w:left="420" w:hanging="420"/>
      </w:pPr>
      <w:r>
        <w:rPr>
          <w:rFonts w:ascii="Times New Roman" w:hAnsi="Times New Roman"/>
          <w:sz w:val="24"/>
        </w:rPr>
        <w:t>[92] Hernán M A, Robins J M. Causal Inference: What If[M]. Boca Raton: Chapman &amp; Hall/CRC, 2020.</w:t>
      </w:r>
    </w:p>
    <w:p w14:paraId="7F710B3E">
      <w:pPr>
        <w:spacing w:line="240" w:lineRule="auto" w:before="0" w:after="0"/>
        <w:ind w:left="420" w:hanging="420"/>
      </w:pPr>
      <w:r>
        <w:rPr>
          <w:rFonts w:ascii="Times New Roman" w:hAnsi="Times New Roman"/>
          <w:sz w:val="24"/>
        </w:rPr>
        <w:t>[93] Imai K, Keele L, Tingley D. A general approach to causal mediation analysis[J]. Psychological Methods, 2010, 15(4): 309-334. DOI: 10.1037/a0020761.</w:t>
      </w:r>
    </w:p>
    <w:p w14:paraId="585C9F03">
      <w:pPr>
        <w:spacing w:line="240" w:lineRule="auto" w:before="0" w:after="0"/>
        <w:ind w:left="420" w:hanging="420"/>
      </w:pPr>
      <w:r>
        <w:rPr>
          <w:rFonts w:ascii="Times New Roman" w:hAnsi="Times New Roman"/>
          <w:sz w:val="24"/>
        </w:rPr>
        <w:t>[94] VanderWeele T J. Explanation in Causal Inference: Methods for Mediation and Interaction[M]. New York: Oxford University Press, 2015.</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E27E9">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1BE67">
    <w:pPr>
      <w:pStyle w:val="7"/>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24245A28"/>
    <w:rsid w:val="3A4F678F"/>
    <w:rsid w:val="40D53766"/>
    <w:rsid w:val="412169AB"/>
    <w:rsid w:val="4D1063BF"/>
    <w:rsid w:val="72122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宋体" w:hAnsi="宋体" w:eastAsia="宋体" w:cs="Times New Roman"/>
      <w:color w:val="000000"/>
      <w:kern w:val="2"/>
      <w:sz w:val="24"/>
      <w:szCs w:val="20"/>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Body Text Indent"/>
    <w:basedOn w:val="1"/>
    <w:link w:val="12"/>
    <w:uiPriority w:val="0"/>
    <w:pPr>
      <w:ind w:left="360" w:hanging="360"/>
    </w:pPr>
  </w:style>
  <w:style w:type="paragraph" w:styleId="3">
    <w:name w:val="Plain Text"/>
    <w:basedOn w:val="1"/>
    <w:link w:val="14"/>
    <w:uiPriority w:val="0"/>
    <w:rPr>
      <w:rFonts w:ascii="宋体" w:hAnsi="Courier New"/>
    </w:rPr>
  </w:style>
  <w:style w:type="paragraph" w:styleId="4">
    <w:name w:val="Body Text Indent 2"/>
    <w:basedOn w:val="1"/>
    <w:link w:val="13"/>
    <w:uiPriority w:val="0"/>
    <w:pPr>
      <w:ind w:left="420" w:hanging="420"/>
    </w:pPr>
  </w:style>
  <w:style w:type="paragraph" w:styleId="5">
    <w:name w:val="Balloon Text"/>
    <w:basedOn w:val="1"/>
    <w:link w:val="15"/>
    <w:semiHidden/>
    <w:unhideWhenUsed/>
    <w:uiPriority w:val="99"/>
    <w:rPr>
      <w:sz w:val="18"/>
      <w:szCs w:val="18"/>
    </w:rPr>
  </w:style>
  <w:style w:type="paragraph" w:styleId="6">
    <w:name w:val="footer"/>
    <w:basedOn w:val="1"/>
    <w:link w:val="11"/>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7">
    <w:name w:val="header"/>
    <w:basedOn w:val="1"/>
    <w:link w:val="10"/>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0">
    <w:name w:val="页眉 字符"/>
    <w:basedOn w:val="9"/>
    <w:link w:val="7"/>
    <w:uiPriority w:val="99"/>
    <w:rPr>
      <w:sz w:val="18"/>
      <w:szCs w:val="18"/>
    </w:rPr>
  </w:style>
  <w:style w:type="character" w:customStyle="1" w:styleId="11">
    <w:name w:val="页脚 字符"/>
    <w:basedOn w:val="9"/>
    <w:link w:val="6"/>
    <w:uiPriority w:val="99"/>
    <w:rPr>
      <w:sz w:val="18"/>
      <w:szCs w:val="18"/>
    </w:rPr>
  </w:style>
  <w:style w:type="character" w:customStyle="1" w:styleId="12">
    <w:name w:val="正文文本缩进 字符"/>
    <w:basedOn w:val="9"/>
    <w:link w:val="2"/>
    <w:uiPriority w:val="0"/>
    <w:rPr>
      <w:rFonts w:ascii="Times New Roman" w:hAnsi="Times New Roman" w:eastAsia="宋体" w:cs="Times New Roman"/>
      <w:szCs w:val="20"/>
    </w:rPr>
  </w:style>
  <w:style w:type="character" w:customStyle="1" w:styleId="13">
    <w:name w:val="正文文本缩进 2 字符"/>
    <w:basedOn w:val="9"/>
    <w:link w:val="4"/>
    <w:uiPriority w:val="0"/>
    <w:rPr>
      <w:rFonts w:ascii="Times New Roman" w:hAnsi="Times New Roman" w:eastAsia="宋体" w:cs="Times New Roman"/>
      <w:szCs w:val="20"/>
    </w:rPr>
  </w:style>
  <w:style w:type="character" w:customStyle="1" w:styleId="14">
    <w:name w:val="纯文本 字符"/>
    <w:basedOn w:val="9"/>
    <w:link w:val="3"/>
    <w:uiPriority w:val="0"/>
    <w:rPr>
      <w:rFonts w:ascii="宋体" w:hAnsi="Courier New" w:eastAsia="宋体" w:cs="Times New Roman"/>
      <w:szCs w:val="20"/>
    </w:rPr>
  </w:style>
  <w:style w:type="character" w:customStyle="1" w:styleId="15">
    <w:name w:val="批注框文本 字符"/>
    <w:basedOn w:val="9"/>
    <w:link w:val="5"/>
    <w:semiHidden/>
    <w:uiPriority w:val="99"/>
    <w:rPr>
      <w:rFonts w:ascii="Times New Roman" w:hAnsi="Times New Roman" w:eastAsia="宋体" w:cs="Times New Roman"/>
      <w:sz w:val="18"/>
      <w:szCs w:val="18"/>
    </w:rPr>
  </w:style>
  <w:style w:type="paragraph" w:customStyle="1" w:styleId="16">
    <w:name w:val="heading 1"/>
    <w:uiPriority w:val="0"/>
    <w:pPr>
      <w:keepNext/>
      <w:pageBreakBefore w:val="0"/>
      <w:widowControl/>
      <w:spacing w:before="210" w:after="210" w:line="360" w:lineRule="auto"/>
      <w:ind w:firstLine="0"/>
      <w:jc w:val="left"/>
    </w:pPr>
    <w:rPr>
      <w:rFonts w:ascii="黑体" w:hAnsi="黑体" w:eastAsia="黑体" w:cstheme="minorBidi"/>
      <w:b/>
      <w:color w:val="000000"/>
      <w:sz w:val="30"/>
    </w:rPr>
  </w:style>
  <w:style w:type="paragraph" w:customStyle="1" w:styleId="17">
    <w:name w:val="heading 2"/>
    <w:uiPriority w:val="0"/>
    <w:pPr>
      <w:keepNext/>
      <w:pageBreakBefore w:val="0"/>
      <w:widowControl/>
      <w:spacing w:before="210" w:after="210" w:line="360" w:lineRule="auto"/>
      <w:ind w:firstLine="0"/>
      <w:jc w:val="left"/>
    </w:pPr>
    <w:rPr>
      <w:rFonts w:ascii="黑体" w:hAnsi="黑体" w:eastAsia="黑体" w:cstheme="minorBidi"/>
      <w:b/>
      <w:color w:val="000000"/>
      <w:sz w:val="28"/>
    </w:rPr>
  </w:style>
  <w:style w:type="paragraph" w:customStyle="1" w:styleId="18">
    <w:name w:val="heading 3"/>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19">
    <w:name w:val="Reference"/>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0">
    <w:name w:val="caption"/>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1">
    <w:name w:val="ContentsEntry"/>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14497</Words>
  <Characters>30885</Characters>
  <Lines>11</Lines>
  <Paragraphs>3</Paragraphs>
  <TotalTime>49</TotalTime>
  <ScaleCrop>false</ScaleCrop>
  <LinksUpToDate>false</LinksUpToDate>
  <CharactersWithSpaces>33731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2026-09-01T05:49:14Z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