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题目：AI算力基础设施驱动下城市人工水系统代谢响应与条件化承载边界的系统模拟研究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sdt>
      <w:sdtPr>
        <w:rPr>
          <w:rFonts w:ascii="宋体" w:hAnsi="宋体" w:eastAsia="宋体" w:cs="Times New Roman"/>
          <w:color w:val="000000"/>
          <w:kern w:val="2"/>
          <w:sz w:val="21"/>
          <w:szCs w:val="20"/>
          <w:lang w:val="en-US" w:eastAsia="zh-CN" w:bidi="ar-SA"/>
        </w:rPr>
        <w:id w:val="147482282"/>
        <w15:color w:val="DBDBDB"/>
        <w:docPartObj>
          <w:docPartGallery w:val="Table of Contents"/>
          <w:docPartUnique/>
        </w:docPartObj>
      </w:sdtPr>
      <w:sdtEndPr>
        <w:rPr>
          <w:rFonts w:ascii="宋体" w:hAnsi="宋体" w:eastAsia="宋体" w:cs="Times New Roman"/>
          <w:color w:val="000000"/>
          <w:kern w:val="2"/>
          <w:sz w:val="21"/>
          <w:szCs w:val="20"/>
          <w:lang w:val="en-US" w:eastAsia="zh-CN" w:bidi="ar-SA"/>
        </w:rPr>
      </w:sdtEndPr>
      <w:sdtContent>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BDE603A">
          <w:pPr>
            <w:pStyle w:val="10"/>
            <w:tabs>
              <w:tab w:val="right" w:leader="dot" w:pos="9075"/>
            </w:tabs>
          </w:pPr>
          <w:r>
            <w:fldChar w:fldCharType="begin"/>
          </w:r>
          <w:r>
            <w:instrText xml:space="preserve">TOC \o "1-3" \h \u </w:instrText>
          </w:r>
          <w:r>
            <w:fldChar w:fldCharType="separate"/>
          </w:r>
          <w:r>
            <w:fldChar w:fldCharType="begin"/>
          </w:r>
          <w:r>
            <w:instrText xml:space="preserve"> HYPERLINK \l _Toc6406 </w:instrText>
          </w:r>
          <w:r>
            <w:fldChar w:fldCharType="separate"/>
          </w:r>
          <w:r>
            <w:rPr>
              <w:rFonts w:ascii="宋体" w:hAnsi="宋体" w:eastAsia="宋体"/>
            </w:rPr>
            <w:t>摘 要</w:t>
          </w:r>
          <w:r>
            <w:tab/>
          </w:r>
          <w:r>
            <w:fldChar w:fldCharType="begin"/>
          </w:r>
          <w:r>
            <w:instrText xml:space="preserve"> PAGEREF _Toc6406 \h </w:instrText>
          </w:r>
          <w:r>
            <w:fldChar w:fldCharType="separate"/>
          </w:r>
          <w:r>
            <w:t>4</w:t>
          </w:r>
          <w:r>
            <w:fldChar w:fldCharType="end"/>
          </w:r>
          <w:r>
            <w:fldChar w:fldCharType="end"/>
          </w:r>
        </w:p>
        <w:p w14:paraId="7A86902B">
          <w:pPr>
            <w:pStyle w:val="10"/>
            <w:tabs>
              <w:tab w:val="right" w:leader="dot" w:pos="9075"/>
            </w:tabs>
          </w:pPr>
          <w:r>
            <w:fldChar w:fldCharType="begin"/>
          </w:r>
          <w:r>
            <w:instrText xml:space="preserve"> HYPERLINK \l _Toc7116 </w:instrText>
          </w:r>
          <w:r>
            <w:fldChar w:fldCharType="separate"/>
          </w:r>
          <w:r>
            <w:rPr>
              <w:rFonts w:ascii="Times New Roman" w:hAnsi="Times New Roman" w:eastAsia="黑体" w:cs="Times New Roman"/>
            </w:rPr>
            <w:t>1 课题来源及研究目的和意义</w:t>
          </w:r>
          <w:r>
            <w:tab/>
          </w:r>
          <w:r>
            <w:fldChar w:fldCharType="begin"/>
          </w:r>
          <w:r>
            <w:instrText xml:space="preserve"> PAGEREF _Toc7116 \h </w:instrText>
          </w:r>
          <w:r>
            <w:fldChar w:fldCharType="separate"/>
          </w:r>
          <w:r>
            <w:t>5</w:t>
          </w:r>
          <w:r>
            <w:fldChar w:fldCharType="end"/>
          </w:r>
          <w:r>
            <w:fldChar w:fldCharType="end"/>
          </w:r>
        </w:p>
        <w:p w14:paraId="46E09F4D">
          <w:pPr>
            <w:pStyle w:val="11"/>
            <w:tabs>
              <w:tab w:val="right" w:leader="dot" w:pos="9075"/>
            </w:tabs>
          </w:pPr>
          <w:r>
            <w:fldChar w:fldCharType="begin"/>
          </w:r>
          <w:r>
            <w:instrText xml:space="preserve"> HYPERLINK \l _Toc9770 </w:instrText>
          </w:r>
          <w:r>
            <w:fldChar w:fldCharType="separate"/>
          </w:r>
          <w:r>
            <w:rPr>
              <w:rFonts w:ascii="Times New Roman" w:hAnsi="Times New Roman" w:eastAsia="黑体" w:cs="Times New Roman"/>
            </w:rPr>
            <w:t>1.1 课题来源</w:t>
          </w:r>
          <w:r>
            <w:tab/>
          </w:r>
          <w:r>
            <w:fldChar w:fldCharType="begin"/>
          </w:r>
          <w:r>
            <w:instrText xml:space="preserve"> PAGEREF _Toc9770 \h </w:instrText>
          </w:r>
          <w:r>
            <w:fldChar w:fldCharType="separate"/>
          </w:r>
          <w:r>
            <w:t>5</w:t>
          </w:r>
          <w:r>
            <w:fldChar w:fldCharType="end"/>
          </w:r>
          <w:r>
            <w:fldChar w:fldCharType="end"/>
          </w:r>
        </w:p>
        <w:p w14:paraId="59C48402">
          <w:pPr>
            <w:pStyle w:val="11"/>
            <w:tabs>
              <w:tab w:val="right" w:leader="dot" w:pos="9075"/>
            </w:tabs>
          </w:pPr>
          <w:r>
            <w:fldChar w:fldCharType="begin"/>
          </w:r>
          <w:r>
            <w:instrText xml:space="preserve"> HYPERLINK \l _Toc31920 </w:instrText>
          </w:r>
          <w:r>
            <w:fldChar w:fldCharType="separate"/>
          </w:r>
          <w:r>
            <w:rPr>
              <w:rFonts w:ascii="Times New Roman" w:hAnsi="Times New Roman" w:eastAsia="黑体" w:cs="Times New Roman"/>
            </w:rPr>
            <w:t>1.2 课题研究目的和意义</w:t>
          </w:r>
          <w:r>
            <w:tab/>
          </w:r>
          <w:r>
            <w:fldChar w:fldCharType="begin"/>
          </w:r>
          <w:r>
            <w:instrText xml:space="preserve"> PAGEREF _Toc31920 \h </w:instrText>
          </w:r>
          <w:r>
            <w:fldChar w:fldCharType="separate"/>
          </w:r>
          <w:r>
            <w:t>5</w:t>
          </w:r>
          <w:r>
            <w:fldChar w:fldCharType="end"/>
          </w:r>
          <w:r>
            <w:fldChar w:fldCharType="end"/>
          </w:r>
        </w:p>
        <w:p w14:paraId="5D6BCADD">
          <w:pPr>
            <w:pStyle w:val="4"/>
            <w:tabs>
              <w:tab w:val="right" w:leader="dot" w:pos="9075"/>
            </w:tabs>
          </w:pPr>
          <w:r>
            <w:fldChar w:fldCharType="begin"/>
          </w:r>
          <w:r>
            <w:instrText xml:space="preserve"> HYPERLINK \l _Toc20269 </w:instrText>
          </w:r>
          <w:r>
            <w:fldChar w:fldCharType="separate"/>
          </w:r>
          <w:r>
            <w:rPr>
              <w:rFonts w:ascii="Times New Roman" w:hAnsi="Times New Roman" w:eastAsia="黑体" w:cs="Times New Roman"/>
            </w:rPr>
            <w:t>1.2.1 AI基础设施扩张与研究目的</w:t>
          </w:r>
          <w:r>
            <w:tab/>
          </w:r>
          <w:r>
            <w:fldChar w:fldCharType="begin"/>
          </w:r>
          <w:r>
            <w:instrText xml:space="preserve"> PAGEREF _Toc20269 \h </w:instrText>
          </w:r>
          <w:r>
            <w:fldChar w:fldCharType="separate"/>
          </w:r>
          <w:r>
            <w:t>5</w:t>
          </w:r>
          <w:r>
            <w:fldChar w:fldCharType="end"/>
          </w:r>
          <w:r>
            <w:fldChar w:fldCharType="end"/>
          </w:r>
        </w:p>
        <w:p w14:paraId="32454C4D">
          <w:pPr>
            <w:pStyle w:val="4"/>
            <w:tabs>
              <w:tab w:val="right" w:leader="dot" w:pos="9075"/>
            </w:tabs>
          </w:pPr>
          <w:r>
            <w:fldChar w:fldCharType="begin"/>
          </w:r>
          <w:r>
            <w:instrText xml:space="preserve"> HYPERLINK \l _Toc28861 </w:instrText>
          </w:r>
          <w:r>
            <w:fldChar w:fldCharType="separate"/>
          </w:r>
          <w:r>
            <w:rPr>
              <w:rFonts w:ascii="Times New Roman" w:hAnsi="Times New Roman" w:eastAsia="黑体" w:cs="Times New Roman"/>
            </w:rPr>
            <w:t>1.2.2 从设施足迹转向城市系统</w:t>
          </w:r>
          <w:r>
            <w:tab/>
          </w:r>
          <w:r>
            <w:fldChar w:fldCharType="begin"/>
          </w:r>
          <w:r>
            <w:instrText xml:space="preserve"> PAGEREF _Toc28861 \h </w:instrText>
          </w:r>
          <w:r>
            <w:fldChar w:fldCharType="separate"/>
          </w:r>
          <w:r>
            <w:t>6</w:t>
          </w:r>
          <w:r>
            <w:fldChar w:fldCharType="end"/>
          </w:r>
          <w:r>
            <w:fldChar w:fldCharType="end"/>
          </w:r>
        </w:p>
        <w:p w14:paraId="474CB665">
          <w:pPr>
            <w:pStyle w:val="4"/>
            <w:tabs>
              <w:tab w:val="right" w:leader="dot" w:pos="9075"/>
            </w:tabs>
          </w:pPr>
          <w:r>
            <w:fldChar w:fldCharType="begin"/>
          </w:r>
          <w:r>
            <w:instrText xml:space="preserve"> HYPERLINK \l _Toc12130 </w:instrText>
          </w:r>
          <w:r>
            <w:fldChar w:fldCharType="separate"/>
          </w:r>
          <w:r>
            <w:rPr>
              <w:rFonts w:ascii="Times New Roman" w:hAnsi="Times New Roman" w:eastAsia="黑体" w:cs="Times New Roman"/>
            </w:rPr>
            <w:t>1.2.3 理论意义</w:t>
          </w:r>
          <w:r>
            <w:tab/>
          </w:r>
          <w:r>
            <w:fldChar w:fldCharType="begin"/>
          </w:r>
          <w:r>
            <w:instrText xml:space="preserve"> PAGEREF _Toc12130 \h </w:instrText>
          </w:r>
          <w:r>
            <w:fldChar w:fldCharType="separate"/>
          </w:r>
          <w:r>
            <w:t>6</w:t>
          </w:r>
          <w:r>
            <w:fldChar w:fldCharType="end"/>
          </w:r>
          <w:r>
            <w:fldChar w:fldCharType="end"/>
          </w:r>
        </w:p>
        <w:p w14:paraId="6AF4B521">
          <w:pPr>
            <w:pStyle w:val="4"/>
            <w:tabs>
              <w:tab w:val="right" w:leader="dot" w:pos="9075"/>
            </w:tabs>
          </w:pPr>
          <w:r>
            <w:fldChar w:fldCharType="begin"/>
          </w:r>
          <w:r>
            <w:instrText xml:space="preserve"> HYPERLINK \l _Toc32291 </w:instrText>
          </w:r>
          <w:r>
            <w:fldChar w:fldCharType="separate"/>
          </w:r>
          <w:r>
            <w:rPr>
              <w:rFonts w:ascii="Times New Roman" w:hAnsi="Times New Roman" w:eastAsia="黑体" w:cs="Times New Roman"/>
            </w:rPr>
            <w:t>1.2.4 实践意义</w:t>
          </w:r>
          <w:r>
            <w:tab/>
          </w:r>
          <w:r>
            <w:fldChar w:fldCharType="begin"/>
          </w:r>
          <w:r>
            <w:instrText xml:space="preserve"> PAGEREF _Toc32291 \h </w:instrText>
          </w:r>
          <w:r>
            <w:fldChar w:fldCharType="separate"/>
          </w:r>
          <w:r>
            <w:t>6</w:t>
          </w:r>
          <w:r>
            <w:fldChar w:fldCharType="end"/>
          </w:r>
          <w:r>
            <w:fldChar w:fldCharType="end"/>
          </w:r>
        </w:p>
        <w:p w14:paraId="3F7CD9F5">
          <w:pPr>
            <w:pStyle w:val="11"/>
            <w:tabs>
              <w:tab w:val="right" w:leader="dot" w:pos="9075"/>
            </w:tabs>
          </w:pPr>
          <w:r>
            <w:fldChar w:fldCharType="begin"/>
          </w:r>
          <w:r>
            <w:instrText xml:space="preserve"> HYPERLINK \l _Toc21442 </w:instrText>
          </w:r>
          <w:r>
            <w:fldChar w:fldCharType="separate"/>
          </w:r>
          <w:r>
            <w:rPr>
              <w:rFonts w:ascii="Times New Roman" w:hAnsi="Times New Roman" w:eastAsia="黑体" w:cs="Times New Roman"/>
            </w:rPr>
            <w:t>1.3 研究对象与核心概念</w:t>
          </w:r>
          <w:r>
            <w:tab/>
          </w:r>
          <w:r>
            <w:fldChar w:fldCharType="begin"/>
          </w:r>
          <w:r>
            <w:instrText xml:space="preserve"> PAGEREF _Toc21442 \h </w:instrText>
          </w:r>
          <w:r>
            <w:fldChar w:fldCharType="separate"/>
          </w:r>
          <w:r>
            <w:t>7</w:t>
          </w:r>
          <w:r>
            <w:fldChar w:fldCharType="end"/>
          </w:r>
          <w:r>
            <w:fldChar w:fldCharType="end"/>
          </w:r>
        </w:p>
        <w:p w14:paraId="4F09D684">
          <w:pPr>
            <w:pStyle w:val="10"/>
            <w:tabs>
              <w:tab w:val="right" w:leader="dot" w:pos="9075"/>
            </w:tabs>
          </w:pPr>
          <w:r>
            <w:fldChar w:fldCharType="begin"/>
          </w:r>
          <w:r>
            <w:instrText xml:space="preserve"> HYPERLINK \l _Toc10098 </w:instrText>
          </w:r>
          <w:r>
            <w:fldChar w:fldCharType="separate"/>
          </w:r>
          <w:r>
            <w:rPr>
              <w:rFonts w:ascii="Times New Roman" w:hAnsi="Times New Roman" w:eastAsia="黑体" w:cs="Times New Roman"/>
            </w:rPr>
            <w:t>2 国内外研究现状及分析</w:t>
          </w:r>
          <w:r>
            <w:tab/>
          </w:r>
          <w:r>
            <w:fldChar w:fldCharType="begin"/>
          </w:r>
          <w:r>
            <w:instrText xml:space="preserve"> PAGEREF _Toc10098 \h </w:instrText>
          </w:r>
          <w:r>
            <w:fldChar w:fldCharType="separate"/>
          </w:r>
          <w:r>
            <w:t>8</w:t>
          </w:r>
          <w:r>
            <w:fldChar w:fldCharType="end"/>
          </w:r>
          <w:r>
            <w:fldChar w:fldCharType="end"/>
          </w:r>
        </w:p>
        <w:p w14:paraId="286598FD">
          <w:pPr>
            <w:pStyle w:val="11"/>
            <w:tabs>
              <w:tab w:val="right" w:leader="dot" w:pos="9075"/>
            </w:tabs>
          </w:pPr>
          <w:r>
            <w:fldChar w:fldCharType="begin"/>
          </w:r>
          <w:r>
            <w:instrText xml:space="preserve"> HYPERLINK \l _Toc8233 </w:instrText>
          </w:r>
          <w:r>
            <w:fldChar w:fldCharType="separate"/>
          </w:r>
          <w:r>
            <w:rPr>
              <w:rFonts w:ascii="Times New Roman" w:hAnsi="Times New Roman" w:eastAsia="黑体" w:cs="Times New Roman"/>
            </w:rPr>
            <w:t>2.1 国外研究现状</w:t>
          </w:r>
          <w:r>
            <w:tab/>
          </w:r>
          <w:r>
            <w:fldChar w:fldCharType="begin"/>
          </w:r>
          <w:r>
            <w:instrText xml:space="preserve"> PAGEREF _Toc8233 \h </w:instrText>
          </w:r>
          <w:r>
            <w:fldChar w:fldCharType="separate"/>
          </w:r>
          <w:r>
            <w:t>8</w:t>
          </w:r>
          <w:r>
            <w:fldChar w:fldCharType="end"/>
          </w:r>
          <w:r>
            <w:fldChar w:fldCharType="end"/>
          </w:r>
        </w:p>
        <w:p w14:paraId="5A96118A">
          <w:pPr>
            <w:pStyle w:val="4"/>
            <w:tabs>
              <w:tab w:val="right" w:leader="dot" w:pos="9075"/>
            </w:tabs>
          </w:pPr>
          <w:r>
            <w:fldChar w:fldCharType="begin"/>
          </w:r>
          <w:r>
            <w:instrText xml:space="preserve"> HYPERLINK \l _Toc18015 </w:instrText>
          </w:r>
          <w:r>
            <w:fldChar w:fldCharType="separate"/>
          </w:r>
          <w:r>
            <w:rPr>
              <w:rFonts w:ascii="Times New Roman" w:hAnsi="Times New Roman" w:eastAsia="黑体" w:cs="Times New Roman"/>
            </w:rPr>
            <w:t>2.1.1 城市代谢与综合城市水系统</w:t>
          </w:r>
          <w:r>
            <w:tab/>
          </w:r>
          <w:r>
            <w:fldChar w:fldCharType="begin"/>
          </w:r>
          <w:r>
            <w:instrText xml:space="preserve"> PAGEREF _Toc18015 \h </w:instrText>
          </w:r>
          <w:r>
            <w:fldChar w:fldCharType="separate"/>
          </w:r>
          <w:r>
            <w:t>8</w:t>
          </w:r>
          <w:r>
            <w:fldChar w:fldCharType="end"/>
          </w:r>
          <w:r>
            <w:fldChar w:fldCharType="end"/>
          </w:r>
        </w:p>
        <w:p w14:paraId="485F5A94">
          <w:pPr>
            <w:pStyle w:val="4"/>
            <w:tabs>
              <w:tab w:val="right" w:leader="dot" w:pos="9075"/>
            </w:tabs>
          </w:pPr>
          <w:r>
            <w:fldChar w:fldCharType="begin"/>
          </w:r>
          <w:r>
            <w:instrText xml:space="preserve"> HYPERLINK \l _Toc8095 </w:instrText>
          </w:r>
          <w:r>
            <w:fldChar w:fldCharType="separate"/>
          </w:r>
          <w:r>
            <w:rPr>
              <w:rFonts w:ascii="Times New Roman" w:hAnsi="Times New Roman" w:eastAsia="宋体"/>
            </w:rPr>
            <w:t>2.1.2 城市水，能，碳关系</w:t>
          </w:r>
          <w:r>
            <w:tab/>
          </w:r>
          <w:r>
            <w:fldChar w:fldCharType="begin"/>
          </w:r>
          <w:r>
            <w:instrText xml:space="preserve"> PAGEREF _Toc8095 \h </w:instrText>
          </w:r>
          <w:r>
            <w:fldChar w:fldCharType="separate"/>
          </w:r>
          <w:r>
            <w:t>8</w:t>
          </w:r>
          <w:r>
            <w:fldChar w:fldCharType="end"/>
          </w:r>
          <w:r>
            <w:fldChar w:fldCharType="end"/>
          </w:r>
        </w:p>
        <w:p w14:paraId="40722BF5">
          <w:pPr>
            <w:pStyle w:val="4"/>
            <w:tabs>
              <w:tab w:val="right" w:leader="dot" w:pos="9075"/>
            </w:tabs>
          </w:pPr>
          <w:r>
            <w:fldChar w:fldCharType="begin"/>
          </w:r>
          <w:r>
            <w:instrText xml:space="preserve"> HYPERLINK \l _Toc31085 </w:instrText>
          </w:r>
          <w:r>
            <w:fldChar w:fldCharType="separate"/>
          </w:r>
          <w:r>
            <w:rPr>
              <w:rFonts w:ascii="Times New Roman" w:hAnsi="Times New Roman" w:eastAsia="黑体" w:cs="Times New Roman"/>
            </w:rPr>
            <w:t>2.1.3 AI与数据中心资源环境足迹</w:t>
          </w:r>
          <w:r>
            <w:tab/>
          </w:r>
          <w:r>
            <w:fldChar w:fldCharType="begin"/>
          </w:r>
          <w:r>
            <w:instrText xml:space="preserve"> PAGEREF _Toc31085 \h </w:instrText>
          </w:r>
          <w:r>
            <w:fldChar w:fldCharType="separate"/>
          </w:r>
          <w:r>
            <w:t>9</w:t>
          </w:r>
          <w:r>
            <w:fldChar w:fldCharType="end"/>
          </w:r>
          <w:r>
            <w:fldChar w:fldCharType="end"/>
          </w:r>
        </w:p>
        <w:p w14:paraId="120EC69E">
          <w:pPr>
            <w:pStyle w:val="4"/>
            <w:tabs>
              <w:tab w:val="right" w:leader="dot" w:pos="9075"/>
            </w:tabs>
          </w:pPr>
          <w:r>
            <w:fldChar w:fldCharType="begin"/>
          </w:r>
          <w:r>
            <w:instrText xml:space="preserve"> HYPERLINK \l _Toc8135 </w:instrText>
          </w:r>
          <w:r>
            <w:fldChar w:fldCharType="separate"/>
          </w:r>
          <w:r>
            <w:rPr>
              <w:rFonts w:ascii="Times New Roman" w:hAnsi="Times New Roman" w:eastAsia="黑体" w:cs="Times New Roman"/>
            </w:rPr>
            <w:t>2.1.4 冷却与再生水工程</w:t>
          </w:r>
          <w:r>
            <w:tab/>
          </w:r>
          <w:r>
            <w:fldChar w:fldCharType="begin"/>
          </w:r>
          <w:r>
            <w:instrText xml:space="preserve"> PAGEREF _Toc8135 \h </w:instrText>
          </w:r>
          <w:r>
            <w:fldChar w:fldCharType="separate"/>
          </w:r>
          <w:r>
            <w:t>9</w:t>
          </w:r>
          <w:r>
            <w:fldChar w:fldCharType="end"/>
          </w:r>
          <w:r>
            <w:fldChar w:fldCharType="end"/>
          </w:r>
        </w:p>
        <w:p w14:paraId="30CCECCC">
          <w:pPr>
            <w:pStyle w:val="4"/>
            <w:tabs>
              <w:tab w:val="right" w:leader="dot" w:pos="9075"/>
            </w:tabs>
          </w:pPr>
          <w:r>
            <w:fldChar w:fldCharType="begin"/>
          </w:r>
          <w:r>
            <w:instrText xml:space="preserve"> HYPERLINK \l _Toc9243 </w:instrText>
          </w:r>
          <w:r>
            <w:fldChar w:fldCharType="separate"/>
          </w:r>
          <w:r>
            <w:rPr>
              <w:rFonts w:ascii="Times New Roman" w:hAnsi="Times New Roman" w:eastAsia="黑体" w:cs="Times New Roman"/>
            </w:rPr>
            <w:t>2.1.5 可靠性与不确定性决策方法</w:t>
          </w:r>
          <w:r>
            <w:tab/>
          </w:r>
          <w:r>
            <w:fldChar w:fldCharType="begin"/>
          </w:r>
          <w:r>
            <w:instrText xml:space="preserve"> PAGEREF _Toc9243 \h </w:instrText>
          </w:r>
          <w:r>
            <w:fldChar w:fldCharType="separate"/>
          </w:r>
          <w:r>
            <w:t>9</w:t>
          </w:r>
          <w:r>
            <w:fldChar w:fldCharType="end"/>
          </w:r>
          <w:r>
            <w:fldChar w:fldCharType="end"/>
          </w:r>
        </w:p>
        <w:p w14:paraId="00232C2F">
          <w:pPr>
            <w:pStyle w:val="11"/>
            <w:tabs>
              <w:tab w:val="right" w:leader="dot" w:pos="9075"/>
            </w:tabs>
          </w:pPr>
          <w:r>
            <w:fldChar w:fldCharType="begin"/>
          </w:r>
          <w:r>
            <w:instrText xml:space="preserve"> HYPERLINK \l _Toc14570 </w:instrText>
          </w:r>
          <w:r>
            <w:fldChar w:fldCharType="separate"/>
          </w:r>
          <w:r>
            <w:rPr>
              <w:rFonts w:ascii="Times New Roman" w:hAnsi="Times New Roman" w:eastAsia="黑体" w:cs="Times New Roman"/>
            </w:rPr>
            <w:t>2.2 国内研究现状</w:t>
          </w:r>
          <w:r>
            <w:tab/>
          </w:r>
          <w:r>
            <w:fldChar w:fldCharType="begin"/>
          </w:r>
          <w:r>
            <w:instrText xml:space="preserve"> PAGEREF _Toc14570 \h </w:instrText>
          </w:r>
          <w:r>
            <w:fldChar w:fldCharType="separate"/>
          </w:r>
          <w:r>
            <w:t>10</w:t>
          </w:r>
          <w:r>
            <w:fldChar w:fldCharType="end"/>
          </w:r>
          <w:r>
            <w:fldChar w:fldCharType="end"/>
          </w:r>
        </w:p>
        <w:p w14:paraId="6626CE2E">
          <w:pPr>
            <w:pStyle w:val="11"/>
            <w:tabs>
              <w:tab w:val="right" w:leader="dot" w:pos="9075"/>
            </w:tabs>
          </w:pPr>
          <w:r>
            <w:fldChar w:fldCharType="begin"/>
          </w:r>
          <w:r>
            <w:instrText xml:space="preserve"> HYPERLINK \l _Toc15689 </w:instrText>
          </w:r>
          <w:r>
            <w:fldChar w:fldCharType="separate"/>
          </w:r>
          <w:r>
            <w:rPr>
              <w:rFonts w:ascii="Times New Roman" w:hAnsi="Times New Roman" w:eastAsia="黑体" w:cs="Times New Roman"/>
            </w:rPr>
            <w:t>2.3 国内外文献综述简析</w:t>
          </w:r>
          <w:r>
            <w:tab/>
          </w:r>
          <w:r>
            <w:fldChar w:fldCharType="begin"/>
          </w:r>
          <w:r>
            <w:instrText xml:space="preserve"> PAGEREF _Toc15689 \h </w:instrText>
          </w:r>
          <w:r>
            <w:fldChar w:fldCharType="separate"/>
          </w:r>
          <w:r>
            <w:t>10</w:t>
          </w:r>
          <w:r>
            <w:fldChar w:fldCharType="end"/>
          </w:r>
          <w:r>
            <w:fldChar w:fldCharType="end"/>
          </w:r>
        </w:p>
        <w:p w14:paraId="30587F0E">
          <w:pPr>
            <w:pStyle w:val="4"/>
            <w:tabs>
              <w:tab w:val="right" w:leader="dot" w:pos="9075"/>
            </w:tabs>
          </w:pPr>
          <w:r>
            <w:fldChar w:fldCharType="begin"/>
          </w:r>
          <w:r>
            <w:instrText xml:space="preserve"> HYPERLINK \l _Toc12090 </w:instrText>
          </w:r>
          <w:r>
            <w:fldChar w:fldCharType="separate"/>
          </w:r>
          <w:r>
            <w:rPr>
              <w:rFonts w:ascii="Times New Roman" w:hAnsi="Times New Roman"/>
            </w:rPr>
            <w:t>2.3.1 现有研究的互补性与断裂</w:t>
          </w:r>
          <w:r>
            <w:tab/>
          </w:r>
          <w:r>
            <w:fldChar w:fldCharType="begin"/>
          </w:r>
          <w:r>
            <w:instrText xml:space="preserve"> PAGEREF _Toc12090 \h </w:instrText>
          </w:r>
          <w:r>
            <w:fldChar w:fldCharType="separate"/>
          </w:r>
          <w:r>
            <w:t>11</w:t>
          </w:r>
          <w:r>
            <w:fldChar w:fldCharType="end"/>
          </w:r>
          <w:r>
            <w:fldChar w:fldCharType="end"/>
          </w:r>
        </w:p>
        <w:p w14:paraId="741DD50C">
          <w:pPr>
            <w:pStyle w:val="4"/>
            <w:tabs>
              <w:tab w:val="right" w:leader="dot" w:pos="9075"/>
            </w:tabs>
          </w:pPr>
          <w:r>
            <w:fldChar w:fldCharType="begin"/>
          </w:r>
          <w:r>
            <w:instrText xml:space="preserve"> HYPERLINK \l _Toc17899 </w:instrText>
          </w:r>
          <w:r>
            <w:fldChar w:fldCharType="separate"/>
          </w:r>
          <w:r>
            <w:rPr>
              <w:rFonts w:ascii="Times New Roman" w:hAnsi="Times New Roman"/>
            </w:rPr>
            <w:t>2.3.2 本研究的切入点</w:t>
          </w:r>
          <w:r>
            <w:tab/>
          </w:r>
          <w:r>
            <w:fldChar w:fldCharType="begin"/>
          </w:r>
          <w:r>
            <w:instrText xml:space="preserve"> PAGEREF _Toc17899 \h </w:instrText>
          </w:r>
          <w:r>
            <w:fldChar w:fldCharType="separate"/>
          </w:r>
          <w:r>
            <w:t>11</w:t>
          </w:r>
          <w:r>
            <w:fldChar w:fldCharType="end"/>
          </w:r>
          <w:r>
            <w:fldChar w:fldCharType="end"/>
          </w:r>
        </w:p>
        <w:p w14:paraId="76C3A5B1">
          <w:pPr>
            <w:pStyle w:val="4"/>
            <w:tabs>
              <w:tab w:val="right" w:leader="dot" w:pos="9075"/>
            </w:tabs>
          </w:pPr>
          <w:r>
            <w:fldChar w:fldCharType="begin"/>
          </w:r>
          <w:r>
            <w:instrText xml:space="preserve"> HYPERLINK \l _Toc16188 </w:instrText>
          </w:r>
          <w:r>
            <w:fldChar w:fldCharType="separate"/>
          </w:r>
          <w:r>
            <w:rPr>
              <w:rFonts w:ascii="Times New Roman" w:hAnsi="Times New Roman"/>
            </w:rPr>
            <w:t>2.3.3 可检验的科学缺口</w:t>
          </w:r>
          <w:r>
            <w:tab/>
          </w:r>
          <w:r>
            <w:fldChar w:fldCharType="begin"/>
          </w:r>
          <w:r>
            <w:instrText xml:space="preserve"> PAGEREF _Toc16188 \h </w:instrText>
          </w:r>
          <w:r>
            <w:fldChar w:fldCharType="separate"/>
          </w:r>
          <w:r>
            <w:t>11</w:t>
          </w:r>
          <w:r>
            <w:fldChar w:fldCharType="end"/>
          </w:r>
          <w:r>
            <w:fldChar w:fldCharType="end"/>
          </w:r>
        </w:p>
        <w:p w14:paraId="40A77DC1">
          <w:pPr>
            <w:pStyle w:val="10"/>
            <w:tabs>
              <w:tab w:val="right" w:leader="dot" w:pos="9075"/>
            </w:tabs>
          </w:pPr>
          <w:r>
            <w:fldChar w:fldCharType="begin"/>
          </w:r>
          <w:r>
            <w:instrText xml:space="preserve"> HYPERLINK \l _Toc21069 </w:instrText>
          </w:r>
          <w:r>
            <w:fldChar w:fldCharType="separate"/>
          </w:r>
          <w:r>
            <w:rPr>
              <w:rFonts w:ascii="Times New Roman" w:hAnsi="Times New Roman" w:eastAsia="黑体" w:cs="Times New Roman"/>
            </w:rPr>
            <w:t>3 主要内容及方案</w:t>
          </w:r>
          <w:r>
            <w:tab/>
          </w:r>
          <w:r>
            <w:fldChar w:fldCharType="begin"/>
          </w:r>
          <w:r>
            <w:instrText xml:space="preserve"> PAGEREF _Toc21069 \h </w:instrText>
          </w:r>
          <w:r>
            <w:fldChar w:fldCharType="separate"/>
          </w:r>
          <w:r>
            <w:t>13</w:t>
          </w:r>
          <w:r>
            <w:fldChar w:fldCharType="end"/>
          </w:r>
          <w:r>
            <w:fldChar w:fldCharType="end"/>
          </w:r>
        </w:p>
        <w:p w14:paraId="53247A6C">
          <w:pPr>
            <w:pStyle w:val="11"/>
            <w:tabs>
              <w:tab w:val="right" w:leader="dot" w:pos="9075"/>
            </w:tabs>
          </w:pPr>
          <w:r>
            <w:fldChar w:fldCharType="begin"/>
          </w:r>
          <w:r>
            <w:instrText xml:space="preserve"> HYPERLINK \l _Toc13950 </w:instrText>
          </w:r>
          <w:r>
            <w:fldChar w:fldCharType="separate"/>
          </w:r>
          <w:r>
            <w:rPr>
              <w:rFonts w:ascii="Times New Roman" w:hAnsi="Times New Roman" w:eastAsia="黑体" w:cs="Times New Roman"/>
            </w:rPr>
            <w:t>3.1 科学问题与研究假设</w:t>
          </w:r>
          <w:r>
            <w:tab/>
          </w:r>
          <w:r>
            <w:fldChar w:fldCharType="begin"/>
          </w:r>
          <w:r>
            <w:instrText xml:space="preserve"> PAGEREF _Toc13950 \h </w:instrText>
          </w:r>
          <w:r>
            <w:fldChar w:fldCharType="separate"/>
          </w:r>
          <w:r>
            <w:t>13</w:t>
          </w:r>
          <w:r>
            <w:fldChar w:fldCharType="end"/>
          </w:r>
          <w:r>
            <w:fldChar w:fldCharType="end"/>
          </w:r>
        </w:p>
        <w:p w14:paraId="35DDBAD6">
          <w:pPr>
            <w:pStyle w:val="11"/>
            <w:tabs>
              <w:tab w:val="right" w:leader="dot" w:pos="9075"/>
            </w:tabs>
          </w:pPr>
          <w:r>
            <w:fldChar w:fldCharType="begin"/>
          </w:r>
          <w:r>
            <w:instrText xml:space="preserve"> HYPERLINK \l _Toc8815 </w:instrText>
          </w:r>
          <w:r>
            <w:fldChar w:fldCharType="separate"/>
          </w:r>
          <w:r>
            <w:rPr>
              <w:rFonts w:ascii="Times New Roman" w:hAnsi="Times New Roman" w:eastAsia="黑体" w:cs="Times New Roman"/>
            </w:rPr>
            <w:t>3.2 研究内容与总体框架</w:t>
          </w:r>
          <w:r>
            <w:tab/>
          </w:r>
          <w:r>
            <w:fldChar w:fldCharType="begin"/>
          </w:r>
          <w:r>
            <w:instrText xml:space="preserve"> PAGEREF _Toc8815 \h </w:instrText>
          </w:r>
          <w:r>
            <w:fldChar w:fldCharType="separate"/>
          </w:r>
          <w:r>
            <w:t>13</w:t>
          </w:r>
          <w:r>
            <w:fldChar w:fldCharType="end"/>
          </w:r>
          <w:r>
            <w:fldChar w:fldCharType="end"/>
          </w:r>
        </w:p>
        <w:p w14:paraId="6A4E0C73">
          <w:pPr>
            <w:pStyle w:val="11"/>
            <w:tabs>
              <w:tab w:val="right" w:leader="dot" w:pos="9075"/>
            </w:tabs>
          </w:pPr>
          <w:r>
            <w:fldChar w:fldCharType="begin"/>
          </w:r>
          <w:r>
            <w:instrText xml:space="preserve"> HYPERLINK \l _Toc770 </w:instrText>
          </w:r>
          <w:r>
            <w:fldChar w:fldCharType="separate"/>
          </w:r>
          <w:r>
            <w:rPr>
              <w:rFonts w:ascii="Times New Roman" w:hAnsi="Times New Roman" w:eastAsia="黑体" w:cs="Times New Roman"/>
            </w:rPr>
            <w:t>3.3 总体技术路线</w:t>
          </w:r>
          <w:r>
            <w:tab/>
          </w:r>
          <w:r>
            <w:fldChar w:fldCharType="begin"/>
          </w:r>
          <w:r>
            <w:instrText xml:space="preserve"> PAGEREF _Toc770 \h </w:instrText>
          </w:r>
          <w:r>
            <w:fldChar w:fldCharType="separate"/>
          </w:r>
          <w:r>
            <w:t>14</w:t>
          </w:r>
          <w:r>
            <w:fldChar w:fldCharType="end"/>
          </w:r>
          <w:r>
            <w:fldChar w:fldCharType="end"/>
          </w:r>
        </w:p>
        <w:p w14:paraId="31A511B6">
          <w:pPr>
            <w:pStyle w:val="11"/>
            <w:tabs>
              <w:tab w:val="right" w:leader="dot" w:pos="9075"/>
            </w:tabs>
          </w:pPr>
          <w:r>
            <w:fldChar w:fldCharType="begin"/>
          </w:r>
          <w:r>
            <w:instrText xml:space="preserve"> HYPERLINK \l _Toc27201 </w:instrText>
          </w:r>
          <w:r>
            <w:fldChar w:fldCharType="separate"/>
          </w:r>
          <w:r>
            <w:rPr>
              <w:rFonts w:ascii="Times New Roman" w:hAnsi="Times New Roman" w:eastAsia="黑体" w:cs="Times New Roman"/>
            </w:rPr>
            <w:t>3.4 城市水系统边界与守恒关系</w:t>
          </w:r>
          <w:r>
            <w:tab/>
          </w:r>
          <w:r>
            <w:fldChar w:fldCharType="begin"/>
          </w:r>
          <w:r>
            <w:instrText xml:space="preserve"> PAGEREF _Toc27201 \h </w:instrText>
          </w:r>
          <w:r>
            <w:fldChar w:fldCharType="separate"/>
          </w:r>
          <w:r>
            <w:t>15</w:t>
          </w:r>
          <w:r>
            <w:fldChar w:fldCharType="end"/>
          </w:r>
          <w:r>
            <w:fldChar w:fldCharType="end"/>
          </w:r>
        </w:p>
        <w:p w14:paraId="232F643F">
          <w:pPr>
            <w:pStyle w:val="11"/>
            <w:tabs>
              <w:tab w:val="right" w:leader="dot" w:pos="9075"/>
            </w:tabs>
          </w:pPr>
          <w:r>
            <w:fldChar w:fldCharType="begin"/>
          </w:r>
          <w:r>
            <w:instrText xml:space="preserve"> HYPERLINK \l _Toc30475 </w:instrText>
          </w:r>
          <w:r>
            <w:fldChar w:fldCharType="separate"/>
          </w:r>
          <w:r>
            <w:rPr>
              <w:rFonts w:ascii="Times New Roman" w:hAnsi="Times New Roman" w:eastAsia="黑体" w:cs="Times New Roman"/>
            </w:rPr>
            <w:t>3.5 AI设施过程模型</w:t>
          </w:r>
          <w:r>
            <w:tab/>
          </w:r>
          <w:r>
            <w:fldChar w:fldCharType="begin"/>
          </w:r>
          <w:r>
            <w:instrText xml:space="preserve"> PAGEREF _Toc30475 \h </w:instrText>
          </w:r>
          <w:r>
            <w:fldChar w:fldCharType="separate"/>
          </w:r>
          <w:r>
            <w:t>15</w:t>
          </w:r>
          <w:r>
            <w:fldChar w:fldCharType="end"/>
          </w:r>
          <w:r>
            <w:fldChar w:fldCharType="end"/>
          </w:r>
        </w:p>
        <w:p w14:paraId="6688A88A">
          <w:pPr>
            <w:pStyle w:val="11"/>
            <w:tabs>
              <w:tab w:val="right" w:leader="dot" w:pos="9075"/>
            </w:tabs>
          </w:pPr>
          <w:r>
            <w:fldChar w:fldCharType="begin"/>
          </w:r>
          <w:r>
            <w:instrText xml:space="preserve"> HYPERLINK \l _Toc12490 </w:instrText>
          </w:r>
          <w:r>
            <w:fldChar w:fldCharType="separate"/>
          </w:r>
          <w:r>
            <w:rPr>
              <w:rFonts w:ascii="Times New Roman" w:hAnsi="Times New Roman" w:eastAsia="黑体" w:cs="Times New Roman"/>
            </w:rPr>
            <w:t>3.6 水源、再生水与分配机制</w:t>
          </w:r>
          <w:r>
            <w:tab/>
          </w:r>
          <w:r>
            <w:fldChar w:fldCharType="begin"/>
          </w:r>
          <w:r>
            <w:instrText xml:space="preserve"> PAGEREF _Toc12490 \h </w:instrText>
          </w:r>
          <w:r>
            <w:fldChar w:fldCharType="separate"/>
          </w:r>
          <w:r>
            <w:t>15</w:t>
          </w:r>
          <w:r>
            <w:fldChar w:fldCharType="end"/>
          </w:r>
          <w:r>
            <w:fldChar w:fldCharType="end"/>
          </w:r>
        </w:p>
        <w:p w14:paraId="2ECC031C">
          <w:pPr>
            <w:pStyle w:val="11"/>
            <w:tabs>
              <w:tab w:val="right" w:leader="dot" w:pos="9075"/>
            </w:tabs>
          </w:pPr>
          <w:r>
            <w:fldChar w:fldCharType="begin"/>
          </w:r>
          <w:r>
            <w:instrText xml:space="preserve"> HYPERLINK \l _Toc11300 </w:instrText>
          </w:r>
          <w:r>
            <w:fldChar w:fldCharType="separate"/>
          </w:r>
          <w:r>
            <w:rPr>
              <w:rFonts w:ascii="Times New Roman" w:hAnsi="Times New Roman" w:eastAsia="黑体" w:cs="Times New Roman"/>
            </w:rPr>
            <w:t>3.7 代谢指标与对照设计</w:t>
          </w:r>
          <w:r>
            <w:tab/>
          </w:r>
          <w:r>
            <w:fldChar w:fldCharType="begin"/>
          </w:r>
          <w:r>
            <w:instrText xml:space="preserve"> PAGEREF _Toc11300 \h </w:instrText>
          </w:r>
          <w:r>
            <w:fldChar w:fldCharType="separate"/>
          </w:r>
          <w:r>
            <w:t>16</w:t>
          </w:r>
          <w:r>
            <w:fldChar w:fldCharType="end"/>
          </w:r>
          <w:r>
            <w:fldChar w:fldCharType="end"/>
          </w:r>
        </w:p>
        <w:p w14:paraId="1E843369">
          <w:pPr>
            <w:pStyle w:val="4"/>
            <w:tabs>
              <w:tab w:val="right" w:leader="dot" w:pos="9075"/>
            </w:tabs>
          </w:pPr>
          <w:r>
            <w:fldChar w:fldCharType="begin"/>
          </w:r>
          <w:r>
            <w:instrText xml:space="preserve"> HYPERLINK \l _Toc9600 </w:instrText>
          </w:r>
          <w:r>
            <w:fldChar w:fldCharType="separate"/>
          </w:r>
          <w:r>
            <w:rPr>
              <w:rFonts w:ascii="Times New Roman" w:hAnsi="Times New Roman"/>
            </w:rPr>
            <w:t>3.7.1 实验矩阵与对照设计</w:t>
          </w:r>
          <w:r>
            <w:tab/>
          </w:r>
          <w:r>
            <w:fldChar w:fldCharType="begin"/>
          </w:r>
          <w:r>
            <w:instrText xml:space="preserve"> PAGEREF _Toc9600 \h </w:instrText>
          </w:r>
          <w:r>
            <w:fldChar w:fldCharType="separate"/>
          </w:r>
          <w:r>
            <w:t>16</w:t>
          </w:r>
          <w:r>
            <w:fldChar w:fldCharType="end"/>
          </w:r>
          <w:r>
            <w:fldChar w:fldCharType="end"/>
          </w:r>
        </w:p>
        <w:p w14:paraId="5306740C">
          <w:pPr>
            <w:pStyle w:val="4"/>
            <w:tabs>
              <w:tab w:val="right" w:leader="dot" w:pos="9075"/>
            </w:tabs>
          </w:pPr>
          <w:r>
            <w:fldChar w:fldCharType="begin"/>
          </w:r>
          <w:r>
            <w:instrText xml:space="preserve"> HYPERLINK \l _Toc1952 </w:instrText>
          </w:r>
          <w:r>
            <w:fldChar w:fldCharType="separate"/>
          </w:r>
          <w:r>
            <w:rPr>
              <w:rFonts w:ascii="Times New Roman" w:hAnsi="Times New Roman"/>
            </w:rPr>
            <w:t>3.7.2 输出指标与统计分析</w:t>
          </w:r>
          <w:r>
            <w:tab/>
          </w:r>
          <w:r>
            <w:fldChar w:fldCharType="begin"/>
          </w:r>
          <w:r>
            <w:instrText xml:space="preserve"> PAGEREF _Toc1952 \h </w:instrText>
          </w:r>
          <w:r>
            <w:fldChar w:fldCharType="separate"/>
          </w:r>
          <w:r>
            <w:t>16</w:t>
          </w:r>
          <w:r>
            <w:fldChar w:fldCharType="end"/>
          </w:r>
          <w:r>
            <w:fldChar w:fldCharType="end"/>
          </w:r>
        </w:p>
        <w:p w14:paraId="7207088D">
          <w:pPr>
            <w:pStyle w:val="11"/>
            <w:tabs>
              <w:tab w:val="right" w:leader="dot" w:pos="9075"/>
            </w:tabs>
          </w:pPr>
          <w:r>
            <w:fldChar w:fldCharType="begin"/>
          </w:r>
          <w:r>
            <w:instrText xml:space="preserve"> HYPERLINK \l _Toc1366 </w:instrText>
          </w:r>
          <w:r>
            <w:fldChar w:fldCharType="separate"/>
          </w:r>
          <w:r>
            <w:rPr>
              <w:rFonts w:ascii="Times New Roman" w:hAnsi="Times New Roman" w:eastAsia="黑体" w:cs="Times New Roman"/>
            </w:rPr>
            <w:t>3.8 条件化承载边界求解</w:t>
          </w:r>
          <w:r>
            <w:tab/>
          </w:r>
          <w:r>
            <w:fldChar w:fldCharType="begin"/>
          </w:r>
          <w:r>
            <w:instrText xml:space="preserve"> PAGEREF _Toc1366 \h </w:instrText>
          </w:r>
          <w:r>
            <w:fldChar w:fldCharType="separate"/>
          </w:r>
          <w:r>
            <w:t>16</w:t>
          </w:r>
          <w:r>
            <w:fldChar w:fldCharType="end"/>
          </w:r>
          <w:r>
            <w:fldChar w:fldCharType="end"/>
          </w:r>
        </w:p>
        <w:p w14:paraId="55F62307">
          <w:pPr>
            <w:pStyle w:val="11"/>
            <w:tabs>
              <w:tab w:val="right" w:leader="dot" w:pos="9075"/>
            </w:tabs>
          </w:pPr>
          <w:r>
            <w:fldChar w:fldCharType="begin"/>
          </w:r>
          <w:r>
            <w:instrText xml:space="preserve"> HYPERLINK \l _Toc13285 </w:instrText>
          </w:r>
          <w:r>
            <w:fldChar w:fldCharType="separate"/>
          </w:r>
          <w:r>
            <w:rPr>
              <w:rFonts w:ascii="Times New Roman" w:hAnsi="Times New Roman" w:eastAsia="黑体" w:cs="Times New Roman"/>
            </w:rPr>
            <w:t>3.9 时间尺度、可靠性与复合压力</w:t>
          </w:r>
          <w:r>
            <w:tab/>
          </w:r>
          <w:r>
            <w:fldChar w:fldCharType="begin"/>
          </w:r>
          <w:r>
            <w:instrText xml:space="preserve"> PAGEREF _Toc13285 \h </w:instrText>
          </w:r>
          <w:r>
            <w:fldChar w:fldCharType="separate"/>
          </w:r>
          <w:r>
            <w:t>17</w:t>
          </w:r>
          <w:r>
            <w:fldChar w:fldCharType="end"/>
          </w:r>
          <w:r>
            <w:fldChar w:fldCharType="end"/>
          </w:r>
        </w:p>
        <w:p w14:paraId="3D3E5D95">
          <w:pPr>
            <w:pStyle w:val="11"/>
            <w:tabs>
              <w:tab w:val="right" w:leader="dot" w:pos="9075"/>
            </w:tabs>
          </w:pPr>
          <w:r>
            <w:fldChar w:fldCharType="begin"/>
          </w:r>
          <w:r>
            <w:instrText xml:space="preserve"> HYPERLINK \l _Toc13647 </w:instrText>
          </w:r>
          <w:r>
            <w:fldChar w:fldCharType="separate"/>
          </w:r>
          <w:r>
            <w:rPr>
              <w:rFonts w:ascii="Times New Roman" w:hAnsi="Times New Roman" w:eastAsia="黑体" w:cs="Times New Roman"/>
            </w:rPr>
            <w:t>3.10 不确定性与敏感性分析</w:t>
          </w:r>
          <w:r>
            <w:tab/>
          </w:r>
          <w:r>
            <w:fldChar w:fldCharType="begin"/>
          </w:r>
          <w:r>
            <w:instrText xml:space="preserve"> PAGEREF _Toc13647 \h </w:instrText>
          </w:r>
          <w:r>
            <w:fldChar w:fldCharType="separate"/>
          </w:r>
          <w:r>
            <w:t>17</w:t>
          </w:r>
          <w:r>
            <w:fldChar w:fldCharType="end"/>
          </w:r>
          <w:r>
            <w:fldChar w:fldCharType="end"/>
          </w:r>
        </w:p>
        <w:p w14:paraId="6CB91422">
          <w:pPr>
            <w:pStyle w:val="11"/>
            <w:tabs>
              <w:tab w:val="right" w:leader="dot" w:pos="9075"/>
            </w:tabs>
          </w:pPr>
          <w:r>
            <w:fldChar w:fldCharType="begin"/>
          </w:r>
          <w:r>
            <w:instrText xml:space="preserve"> HYPERLINK \l _Toc15679 </w:instrText>
          </w:r>
          <w:r>
            <w:fldChar w:fldCharType="separate"/>
          </w:r>
          <w:r>
            <w:rPr>
              <w:rFonts w:ascii="Times New Roman" w:hAnsi="Times New Roman" w:eastAsia="黑体" w:cs="Times New Roman"/>
            </w:rPr>
            <w:t>3.11 数据方案与案例策略</w:t>
          </w:r>
          <w:r>
            <w:tab/>
          </w:r>
          <w:r>
            <w:fldChar w:fldCharType="begin"/>
          </w:r>
          <w:r>
            <w:instrText xml:space="preserve"> PAGEREF _Toc15679 \h </w:instrText>
          </w:r>
          <w:r>
            <w:fldChar w:fldCharType="separate"/>
          </w:r>
          <w:r>
            <w:t>17</w:t>
          </w:r>
          <w:r>
            <w:fldChar w:fldCharType="end"/>
          </w:r>
          <w:r>
            <w:fldChar w:fldCharType="end"/>
          </w:r>
        </w:p>
        <w:p w14:paraId="4614C3C9">
          <w:pPr>
            <w:pStyle w:val="11"/>
            <w:tabs>
              <w:tab w:val="right" w:leader="dot" w:pos="9075"/>
            </w:tabs>
          </w:pPr>
          <w:r>
            <w:fldChar w:fldCharType="begin"/>
          </w:r>
          <w:r>
            <w:instrText xml:space="preserve"> HYPERLINK \l _Toc9879 </w:instrText>
          </w:r>
          <w:r>
            <w:fldChar w:fldCharType="separate"/>
          </w:r>
          <w:r>
            <w:rPr>
              <w:rFonts w:ascii="Times New Roman" w:hAnsi="Times New Roman" w:eastAsia="黑体" w:cs="Times New Roman"/>
            </w:rPr>
            <w:t>3.12 模型验证与证据等级</w:t>
          </w:r>
          <w:r>
            <w:tab/>
          </w:r>
          <w:r>
            <w:fldChar w:fldCharType="begin"/>
          </w:r>
          <w:r>
            <w:instrText xml:space="preserve"> PAGEREF _Toc9879 \h </w:instrText>
          </w:r>
          <w:r>
            <w:fldChar w:fldCharType="separate"/>
          </w:r>
          <w:r>
            <w:t>18</w:t>
          </w:r>
          <w:r>
            <w:fldChar w:fldCharType="end"/>
          </w:r>
          <w:r>
            <w:fldChar w:fldCharType="end"/>
          </w:r>
        </w:p>
        <w:p w14:paraId="13F22EB2">
          <w:pPr>
            <w:pStyle w:val="11"/>
            <w:tabs>
              <w:tab w:val="right" w:leader="dot" w:pos="9075"/>
            </w:tabs>
          </w:pPr>
          <w:r>
            <w:fldChar w:fldCharType="begin"/>
          </w:r>
          <w:r>
            <w:instrText xml:space="preserve"> HYPERLINK \l _Toc13835 </w:instrText>
          </w:r>
          <w:r>
            <w:fldChar w:fldCharType="separate"/>
          </w:r>
          <w:r>
            <w:rPr>
              <w:rFonts w:ascii="Times New Roman" w:hAnsi="Times New Roman" w:eastAsia="黑体" w:cs="Times New Roman"/>
            </w:rPr>
            <w:t>3.13 研究任务安排与优先级</w:t>
          </w:r>
          <w:r>
            <w:tab/>
          </w:r>
          <w:r>
            <w:fldChar w:fldCharType="begin"/>
          </w:r>
          <w:r>
            <w:instrText xml:space="preserve"> PAGEREF _Toc13835 \h </w:instrText>
          </w:r>
          <w:r>
            <w:fldChar w:fldCharType="separate"/>
          </w:r>
          <w:r>
            <w:t>18</w:t>
          </w:r>
          <w:r>
            <w:fldChar w:fldCharType="end"/>
          </w:r>
          <w:r>
            <w:fldChar w:fldCharType="end"/>
          </w:r>
        </w:p>
        <w:p w14:paraId="5700F064">
          <w:pPr>
            <w:pStyle w:val="11"/>
            <w:tabs>
              <w:tab w:val="right" w:leader="dot" w:pos="9075"/>
            </w:tabs>
          </w:pPr>
          <w:r>
            <w:fldChar w:fldCharType="begin"/>
          </w:r>
          <w:r>
            <w:instrText xml:space="preserve"> HYPERLINK \l _Toc30829 </w:instrText>
          </w:r>
          <w:r>
            <w:fldChar w:fldCharType="separate"/>
          </w:r>
          <w:r>
            <w:rPr>
              <w:rFonts w:ascii="Times New Roman" w:hAnsi="Times New Roman"/>
            </w:rPr>
            <w:t>3.14 参数化输入与非物理组合控制</w:t>
          </w:r>
          <w:r>
            <w:tab/>
          </w:r>
          <w:r>
            <w:fldChar w:fldCharType="begin"/>
          </w:r>
          <w:r>
            <w:instrText xml:space="preserve"> PAGEREF _Toc30829 \h </w:instrText>
          </w:r>
          <w:r>
            <w:fldChar w:fldCharType="separate"/>
          </w:r>
          <w:r>
            <w:t>19</w:t>
          </w:r>
          <w:r>
            <w:fldChar w:fldCharType="end"/>
          </w:r>
          <w:r>
            <w:fldChar w:fldCharType="end"/>
          </w:r>
        </w:p>
        <w:p w14:paraId="3087A9CF">
          <w:pPr>
            <w:pStyle w:val="11"/>
            <w:tabs>
              <w:tab w:val="right" w:leader="dot" w:pos="9075"/>
            </w:tabs>
          </w:pPr>
          <w:r>
            <w:fldChar w:fldCharType="begin"/>
          </w:r>
          <w:r>
            <w:instrText xml:space="preserve"> HYPERLINK \l _Toc9592 </w:instrText>
          </w:r>
          <w:r>
            <w:fldChar w:fldCharType="separate"/>
          </w:r>
          <w:r>
            <w:rPr>
              <w:rFonts w:ascii="Times New Roman" w:hAnsi="Times New Roman"/>
            </w:rPr>
            <w:t>3.15 典型情景与参数域</w:t>
          </w:r>
          <w:r>
            <w:tab/>
          </w:r>
          <w:r>
            <w:fldChar w:fldCharType="begin"/>
          </w:r>
          <w:r>
            <w:instrText xml:space="preserve"> PAGEREF _Toc9592 \h </w:instrText>
          </w:r>
          <w:r>
            <w:fldChar w:fldCharType="separate"/>
          </w:r>
          <w:r>
            <w:t>19</w:t>
          </w:r>
          <w:r>
            <w:fldChar w:fldCharType="end"/>
          </w:r>
          <w:r>
            <w:fldChar w:fldCharType="end"/>
          </w:r>
        </w:p>
        <w:p w14:paraId="213560EB">
          <w:pPr>
            <w:pStyle w:val="11"/>
            <w:tabs>
              <w:tab w:val="right" w:leader="dot" w:pos="9075"/>
            </w:tabs>
          </w:pPr>
          <w:r>
            <w:fldChar w:fldCharType="begin"/>
          </w:r>
          <w:r>
            <w:instrText xml:space="preserve"> HYPERLINK \l _Toc11885 </w:instrText>
          </w:r>
          <w:r>
            <w:fldChar w:fldCharType="separate"/>
          </w:r>
          <w:r>
            <w:rPr>
              <w:rFonts w:ascii="Times New Roman" w:hAnsi="Times New Roman"/>
            </w:rPr>
            <w:t>3.16 瓶颈识别与干预分析</w:t>
          </w:r>
          <w:r>
            <w:tab/>
          </w:r>
          <w:r>
            <w:fldChar w:fldCharType="begin"/>
          </w:r>
          <w:r>
            <w:instrText xml:space="preserve"> PAGEREF _Toc11885 \h </w:instrText>
          </w:r>
          <w:r>
            <w:fldChar w:fldCharType="separate"/>
          </w:r>
          <w:r>
            <w:t>19</w:t>
          </w:r>
          <w:r>
            <w:fldChar w:fldCharType="end"/>
          </w:r>
          <w:r>
            <w:fldChar w:fldCharType="end"/>
          </w:r>
        </w:p>
        <w:p w14:paraId="2A75F932">
          <w:pPr>
            <w:pStyle w:val="10"/>
            <w:tabs>
              <w:tab w:val="right" w:leader="dot" w:pos="9075"/>
            </w:tabs>
          </w:pPr>
          <w:r>
            <w:fldChar w:fldCharType="begin"/>
          </w:r>
          <w:r>
            <w:instrText xml:space="preserve"> HYPERLINK \l _Toc23871 </w:instrText>
          </w:r>
          <w:r>
            <w:fldChar w:fldCharType="separate"/>
          </w:r>
          <w:r>
            <w:rPr>
              <w:rFonts w:ascii="Times New Roman" w:hAnsi="Times New Roman" w:eastAsia="黑体" w:cs="Times New Roman"/>
            </w:rPr>
            <w:t>4 预期达到的目标</w:t>
          </w:r>
          <w:r>
            <w:tab/>
          </w:r>
          <w:r>
            <w:fldChar w:fldCharType="begin"/>
          </w:r>
          <w:r>
            <w:instrText xml:space="preserve"> PAGEREF _Toc23871 \h </w:instrText>
          </w:r>
          <w:r>
            <w:fldChar w:fldCharType="separate"/>
          </w:r>
          <w:r>
            <w:t>20</w:t>
          </w:r>
          <w:r>
            <w:fldChar w:fldCharType="end"/>
          </w:r>
          <w:r>
            <w:fldChar w:fldCharType="end"/>
          </w:r>
        </w:p>
        <w:p w14:paraId="3899E181">
          <w:pPr>
            <w:pStyle w:val="11"/>
            <w:tabs>
              <w:tab w:val="right" w:leader="dot" w:pos="9075"/>
            </w:tabs>
          </w:pPr>
          <w:r>
            <w:fldChar w:fldCharType="begin"/>
          </w:r>
          <w:r>
            <w:instrText xml:space="preserve"> HYPERLINK \l _Toc17900 </w:instrText>
          </w:r>
          <w:r>
            <w:fldChar w:fldCharType="separate"/>
          </w:r>
          <w:r>
            <w:rPr>
              <w:rFonts w:ascii="Times New Roman" w:hAnsi="Times New Roman" w:eastAsia="黑体" w:cs="Times New Roman"/>
            </w:rPr>
            <w:t>4.1 预期科学认识</w:t>
          </w:r>
          <w:r>
            <w:tab/>
          </w:r>
          <w:r>
            <w:fldChar w:fldCharType="begin"/>
          </w:r>
          <w:r>
            <w:instrText xml:space="preserve"> PAGEREF _Toc17900 \h </w:instrText>
          </w:r>
          <w:r>
            <w:fldChar w:fldCharType="separate"/>
          </w:r>
          <w:r>
            <w:t>20</w:t>
          </w:r>
          <w:r>
            <w:fldChar w:fldCharType="end"/>
          </w:r>
          <w:r>
            <w:fldChar w:fldCharType="end"/>
          </w:r>
        </w:p>
        <w:p w14:paraId="13EBB011">
          <w:pPr>
            <w:pStyle w:val="11"/>
            <w:tabs>
              <w:tab w:val="right" w:leader="dot" w:pos="9075"/>
            </w:tabs>
          </w:pPr>
          <w:r>
            <w:fldChar w:fldCharType="begin"/>
          </w:r>
          <w:r>
            <w:instrText xml:space="preserve"> HYPERLINK \l _Toc30187 </w:instrText>
          </w:r>
          <w:r>
            <w:fldChar w:fldCharType="separate"/>
          </w:r>
          <w:r>
            <w:rPr>
              <w:rFonts w:ascii="Times New Roman" w:hAnsi="Times New Roman" w:eastAsia="黑体" w:cs="Times New Roman"/>
            </w:rPr>
            <w:t>4.2 预期创新</w:t>
          </w:r>
          <w:r>
            <w:tab/>
          </w:r>
          <w:r>
            <w:fldChar w:fldCharType="begin"/>
          </w:r>
          <w:r>
            <w:instrText xml:space="preserve"> PAGEREF _Toc30187 \h </w:instrText>
          </w:r>
          <w:r>
            <w:fldChar w:fldCharType="separate"/>
          </w:r>
          <w:r>
            <w:t>20</w:t>
          </w:r>
          <w:r>
            <w:fldChar w:fldCharType="end"/>
          </w:r>
          <w:r>
            <w:fldChar w:fldCharType="end"/>
          </w:r>
        </w:p>
        <w:p w14:paraId="2559423A">
          <w:pPr>
            <w:pStyle w:val="11"/>
            <w:tabs>
              <w:tab w:val="right" w:leader="dot" w:pos="9075"/>
            </w:tabs>
          </w:pPr>
          <w:r>
            <w:fldChar w:fldCharType="begin"/>
          </w:r>
          <w:r>
            <w:instrText xml:space="preserve"> HYPERLINK \l _Toc2957 </w:instrText>
          </w:r>
          <w:r>
            <w:fldChar w:fldCharType="separate"/>
          </w:r>
          <w:r>
            <w:rPr>
              <w:rFonts w:ascii="Times New Roman" w:hAnsi="Times New Roman" w:eastAsia="黑体" w:cs="Times New Roman"/>
            </w:rPr>
            <w:t>4.3 预期成果</w:t>
          </w:r>
          <w:r>
            <w:tab/>
          </w:r>
          <w:r>
            <w:fldChar w:fldCharType="begin"/>
          </w:r>
          <w:r>
            <w:instrText xml:space="preserve"> PAGEREF _Toc2957 \h </w:instrText>
          </w:r>
          <w:r>
            <w:fldChar w:fldCharType="separate"/>
          </w:r>
          <w:r>
            <w:t>20</w:t>
          </w:r>
          <w:r>
            <w:fldChar w:fldCharType="end"/>
          </w:r>
          <w:r>
            <w:fldChar w:fldCharType="end"/>
          </w:r>
        </w:p>
        <w:p w14:paraId="6305B314">
          <w:pPr>
            <w:pStyle w:val="11"/>
            <w:tabs>
              <w:tab w:val="right" w:leader="dot" w:pos="9075"/>
            </w:tabs>
          </w:pPr>
          <w:r>
            <w:fldChar w:fldCharType="begin"/>
          </w:r>
          <w:r>
            <w:instrText xml:space="preserve"> HYPERLINK \l _Toc28342 </w:instrText>
          </w:r>
          <w:r>
            <w:fldChar w:fldCharType="separate"/>
          </w:r>
          <w:r>
            <w:rPr>
              <w:rFonts w:ascii="Times New Roman" w:hAnsi="Times New Roman"/>
            </w:rPr>
            <w:t>4.4 成果评价指标</w:t>
          </w:r>
          <w:r>
            <w:tab/>
          </w:r>
          <w:r>
            <w:fldChar w:fldCharType="begin"/>
          </w:r>
          <w:r>
            <w:instrText xml:space="preserve"> PAGEREF _Toc28342 \h </w:instrText>
          </w:r>
          <w:r>
            <w:fldChar w:fldCharType="separate"/>
          </w:r>
          <w:r>
            <w:t>21</w:t>
          </w:r>
          <w:r>
            <w:fldChar w:fldCharType="end"/>
          </w:r>
          <w:r>
            <w:fldChar w:fldCharType="end"/>
          </w:r>
        </w:p>
        <w:p w14:paraId="72A3EBE0">
          <w:pPr>
            <w:pStyle w:val="11"/>
            <w:tabs>
              <w:tab w:val="right" w:leader="dot" w:pos="9075"/>
            </w:tabs>
          </w:pPr>
          <w:r>
            <w:fldChar w:fldCharType="begin"/>
          </w:r>
          <w:r>
            <w:instrText xml:space="preserve"> HYPERLINK \l _Toc23102 </w:instrText>
          </w:r>
          <w:r>
            <w:fldChar w:fldCharType="separate"/>
          </w:r>
          <w:r>
            <w:rPr>
              <w:rFonts w:ascii="Times New Roman" w:hAnsi="Times New Roman"/>
            </w:rPr>
            <w:t>4.5 学术学位适配与研究贡献</w:t>
          </w:r>
          <w:r>
            <w:tab/>
          </w:r>
          <w:r>
            <w:fldChar w:fldCharType="begin"/>
          </w:r>
          <w:r>
            <w:instrText xml:space="preserve"> PAGEREF _Toc23102 \h </w:instrText>
          </w:r>
          <w:r>
            <w:fldChar w:fldCharType="separate"/>
          </w:r>
          <w:r>
            <w:t>21</w:t>
          </w:r>
          <w:r>
            <w:fldChar w:fldCharType="end"/>
          </w:r>
          <w:r>
            <w:fldChar w:fldCharType="end"/>
          </w:r>
        </w:p>
        <w:p w14:paraId="4EB2822E">
          <w:pPr>
            <w:pStyle w:val="11"/>
            <w:tabs>
              <w:tab w:val="right" w:leader="dot" w:pos="9075"/>
            </w:tabs>
          </w:pPr>
          <w:r>
            <w:fldChar w:fldCharType="begin"/>
          </w:r>
          <w:r>
            <w:instrText xml:space="preserve"> HYPERLINK \l _Toc5385 </w:instrText>
          </w:r>
          <w:r>
            <w:fldChar w:fldCharType="separate"/>
          </w:r>
          <w:r>
            <w:rPr>
              <w:rFonts w:ascii="Times New Roman" w:hAnsi="Times New Roman"/>
            </w:rPr>
            <w:t>4.6 主要结论的形成规则</w:t>
          </w:r>
          <w:r>
            <w:tab/>
          </w:r>
          <w:r>
            <w:fldChar w:fldCharType="begin"/>
          </w:r>
          <w:r>
            <w:instrText xml:space="preserve"> PAGEREF _Toc5385 \h </w:instrText>
          </w:r>
          <w:r>
            <w:fldChar w:fldCharType="separate"/>
          </w:r>
          <w:r>
            <w:t>21</w:t>
          </w:r>
          <w:r>
            <w:fldChar w:fldCharType="end"/>
          </w:r>
          <w:r>
            <w:fldChar w:fldCharType="end"/>
          </w:r>
        </w:p>
        <w:p w14:paraId="4CAE3665">
          <w:pPr>
            <w:pStyle w:val="10"/>
            <w:tabs>
              <w:tab w:val="right" w:leader="dot" w:pos="9075"/>
            </w:tabs>
          </w:pPr>
          <w:r>
            <w:fldChar w:fldCharType="begin"/>
          </w:r>
          <w:r>
            <w:instrText xml:space="preserve"> HYPERLINK \l _Toc30513 </w:instrText>
          </w:r>
          <w:r>
            <w:fldChar w:fldCharType="separate"/>
          </w:r>
          <w:r>
            <w:rPr>
              <w:rFonts w:ascii="Times New Roman" w:hAnsi="Times New Roman" w:eastAsia="黑体" w:cs="Times New Roman"/>
            </w:rPr>
            <w:t>5 已完成的学术研究工作</w:t>
          </w:r>
          <w:r>
            <w:tab/>
          </w:r>
          <w:r>
            <w:fldChar w:fldCharType="begin"/>
          </w:r>
          <w:r>
            <w:instrText xml:space="preserve"> PAGEREF _Toc30513 \h </w:instrText>
          </w:r>
          <w:r>
            <w:fldChar w:fldCharType="separate"/>
          </w:r>
          <w:r>
            <w:t>21</w:t>
          </w:r>
          <w:r>
            <w:fldChar w:fldCharType="end"/>
          </w:r>
          <w:r>
            <w:fldChar w:fldCharType="end"/>
          </w:r>
        </w:p>
        <w:p w14:paraId="6F1D19A2">
          <w:pPr>
            <w:pStyle w:val="10"/>
            <w:tabs>
              <w:tab w:val="right" w:leader="dot" w:pos="9075"/>
            </w:tabs>
          </w:pPr>
          <w:r>
            <w:fldChar w:fldCharType="begin"/>
          </w:r>
          <w:r>
            <w:instrText xml:space="preserve"> HYPERLINK \l _Toc14609 </w:instrText>
          </w:r>
          <w:r>
            <w:fldChar w:fldCharType="separate"/>
          </w:r>
          <w:r>
            <w:rPr>
              <w:rFonts w:ascii="Times New Roman" w:hAnsi="Times New Roman" w:eastAsia="黑体" w:cs="Times New Roman"/>
            </w:rPr>
            <w:t>6 进度安排</w:t>
          </w:r>
          <w:r>
            <w:tab/>
          </w:r>
          <w:r>
            <w:fldChar w:fldCharType="begin"/>
          </w:r>
          <w:r>
            <w:instrText xml:space="preserve"> PAGEREF _Toc14609 \h </w:instrText>
          </w:r>
          <w:r>
            <w:fldChar w:fldCharType="separate"/>
          </w:r>
          <w:r>
            <w:t>22</w:t>
          </w:r>
          <w:r>
            <w:fldChar w:fldCharType="end"/>
          </w:r>
          <w:r>
            <w:fldChar w:fldCharType="end"/>
          </w:r>
        </w:p>
        <w:p w14:paraId="0AF699A3">
          <w:pPr>
            <w:pStyle w:val="11"/>
            <w:tabs>
              <w:tab w:val="right" w:leader="dot" w:pos="9075"/>
            </w:tabs>
          </w:pPr>
          <w:r>
            <w:fldChar w:fldCharType="begin"/>
          </w:r>
          <w:r>
            <w:instrText xml:space="preserve"> HYPERLINK \l _Toc6803 </w:instrText>
          </w:r>
          <w:r>
            <w:fldChar w:fldCharType="separate"/>
          </w:r>
          <w:r>
            <w:rPr>
              <w:rFonts w:ascii="Times New Roman" w:hAnsi="Times New Roman"/>
            </w:rPr>
            <w:t>6.1 阶段任务与交付物</w:t>
          </w:r>
          <w:r>
            <w:tab/>
          </w:r>
          <w:r>
            <w:fldChar w:fldCharType="begin"/>
          </w:r>
          <w:r>
            <w:instrText xml:space="preserve"> PAGEREF _Toc6803 \h </w:instrText>
          </w:r>
          <w:r>
            <w:fldChar w:fldCharType="separate"/>
          </w:r>
          <w:r>
            <w:t>22</w:t>
          </w:r>
          <w:r>
            <w:fldChar w:fldCharType="end"/>
          </w:r>
          <w:r>
            <w:fldChar w:fldCharType="end"/>
          </w:r>
        </w:p>
        <w:p w14:paraId="362B8130">
          <w:pPr>
            <w:pStyle w:val="10"/>
            <w:tabs>
              <w:tab w:val="right" w:leader="dot" w:pos="9075"/>
            </w:tabs>
          </w:pPr>
          <w:r>
            <w:fldChar w:fldCharType="begin"/>
          </w:r>
          <w:r>
            <w:instrText xml:space="preserve"> HYPERLINK \l _Toc8218 </w:instrText>
          </w:r>
          <w:r>
            <w:fldChar w:fldCharType="separate"/>
          </w:r>
          <w:r>
            <w:rPr>
              <w:rFonts w:ascii="Times New Roman" w:hAnsi="Times New Roman" w:eastAsia="黑体" w:cs="Times New Roman"/>
            </w:rPr>
            <w:t>7 为完成课题所需的条件</w:t>
          </w:r>
          <w:r>
            <w:tab/>
          </w:r>
          <w:r>
            <w:fldChar w:fldCharType="begin"/>
          </w:r>
          <w:r>
            <w:instrText xml:space="preserve"> PAGEREF _Toc8218 \h </w:instrText>
          </w:r>
          <w:r>
            <w:fldChar w:fldCharType="separate"/>
          </w:r>
          <w:r>
            <w:t>23</w:t>
          </w:r>
          <w:r>
            <w:fldChar w:fldCharType="end"/>
          </w:r>
          <w:r>
            <w:fldChar w:fldCharType="end"/>
          </w:r>
        </w:p>
        <w:p w14:paraId="01683497">
          <w:pPr>
            <w:pStyle w:val="11"/>
            <w:tabs>
              <w:tab w:val="right" w:leader="dot" w:pos="9075"/>
            </w:tabs>
          </w:pPr>
          <w:r>
            <w:fldChar w:fldCharType="begin"/>
          </w:r>
          <w:r>
            <w:instrText xml:space="preserve"> HYPERLINK \l _Toc29455 </w:instrText>
          </w:r>
          <w:r>
            <w:fldChar w:fldCharType="separate"/>
          </w:r>
          <w:r>
            <w:rPr>
              <w:rFonts w:ascii="Times New Roman" w:hAnsi="Times New Roman" w:eastAsia="黑体" w:cs="Times New Roman"/>
            </w:rPr>
            <w:t>7.1 理论、数据、软件与计算条件</w:t>
          </w:r>
          <w:r>
            <w:tab/>
          </w:r>
          <w:r>
            <w:fldChar w:fldCharType="begin"/>
          </w:r>
          <w:r>
            <w:instrText xml:space="preserve"> PAGEREF _Toc29455 \h </w:instrText>
          </w:r>
          <w:r>
            <w:fldChar w:fldCharType="separate"/>
          </w:r>
          <w:r>
            <w:t>23</w:t>
          </w:r>
          <w:r>
            <w:fldChar w:fldCharType="end"/>
          </w:r>
          <w:r>
            <w:fldChar w:fldCharType="end"/>
          </w:r>
        </w:p>
        <w:p w14:paraId="6F3E35E2">
          <w:pPr>
            <w:pStyle w:val="11"/>
            <w:tabs>
              <w:tab w:val="right" w:leader="dot" w:pos="9075"/>
            </w:tabs>
          </w:pPr>
          <w:r>
            <w:fldChar w:fldCharType="begin"/>
          </w:r>
          <w:r>
            <w:instrText xml:space="preserve"> HYPERLINK \l _Toc27266 </w:instrText>
          </w:r>
          <w:r>
            <w:fldChar w:fldCharType="separate"/>
          </w:r>
          <w:r>
            <w:rPr>
              <w:rFonts w:ascii="Times New Roman" w:hAnsi="Times New Roman" w:eastAsia="黑体" w:cs="Times New Roman"/>
            </w:rPr>
            <w:t>7.2 研究组织与成果管理</w:t>
          </w:r>
          <w:r>
            <w:tab/>
          </w:r>
          <w:r>
            <w:fldChar w:fldCharType="begin"/>
          </w:r>
          <w:r>
            <w:instrText xml:space="preserve"> PAGEREF _Toc27266 \h </w:instrText>
          </w:r>
          <w:r>
            <w:fldChar w:fldCharType="separate"/>
          </w:r>
          <w:r>
            <w:t>23</w:t>
          </w:r>
          <w:r>
            <w:fldChar w:fldCharType="end"/>
          </w:r>
          <w:r>
            <w:fldChar w:fldCharType="end"/>
          </w:r>
        </w:p>
        <w:p w14:paraId="37E16E1F">
          <w:pPr>
            <w:pStyle w:val="10"/>
            <w:tabs>
              <w:tab w:val="right" w:leader="dot" w:pos="9075"/>
            </w:tabs>
          </w:pPr>
          <w:r>
            <w:fldChar w:fldCharType="begin"/>
          </w:r>
          <w:r>
            <w:instrText xml:space="preserve"> HYPERLINK \l _Toc8803 </w:instrText>
          </w:r>
          <w:r>
            <w:fldChar w:fldCharType="separate"/>
          </w:r>
          <w:r>
            <w:rPr>
              <w:rFonts w:ascii="Times New Roman" w:hAnsi="Times New Roman" w:eastAsia="黑体" w:cs="Times New Roman"/>
            </w:rPr>
            <w:t>8 研究过程中可能遇到的问题及解决措施</w:t>
          </w:r>
          <w:r>
            <w:tab/>
          </w:r>
          <w:r>
            <w:fldChar w:fldCharType="begin"/>
          </w:r>
          <w:r>
            <w:instrText xml:space="preserve"> PAGEREF _Toc8803 \h </w:instrText>
          </w:r>
          <w:r>
            <w:fldChar w:fldCharType="separate"/>
          </w:r>
          <w:r>
            <w:t>23</w:t>
          </w:r>
          <w:r>
            <w:fldChar w:fldCharType="end"/>
          </w:r>
          <w:r>
            <w:fldChar w:fldCharType="end"/>
          </w:r>
        </w:p>
        <w:p w14:paraId="1ED2C00C">
          <w:pPr>
            <w:pStyle w:val="11"/>
            <w:tabs>
              <w:tab w:val="right" w:leader="dot" w:pos="9075"/>
            </w:tabs>
          </w:pPr>
          <w:r>
            <w:fldChar w:fldCharType="begin"/>
          </w:r>
          <w:r>
            <w:instrText xml:space="preserve"> HYPERLINK \l _Toc4740 </w:instrText>
          </w:r>
          <w:r>
            <w:fldChar w:fldCharType="separate"/>
          </w:r>
          <w:r>
            <w:rPr>
              <w:rFonts w:ascii="Times New Roman" w:hAnsi="Times New Roman"/>
            </w:rPr>
            <w:t>8.1 研究边界变化与复杂度控制</w:t>
          </w:r>
          <w:r>
            <w:tab/>
          </w:r>
          <w:r>
            <w:fldChar w:fldCharType="begin"/>
          </w:r>
          <w:r>
            <w:instrText xml:space="preserve"> PAGEREF _Toc4740 \h </w:instrText>
          </w:r>
          <w:r>
            <w:fldChar w:fldCharType="separate"/>
          </w:r>
          <w:r>
            <w:t>24</w:t>
          </w:r>
          <w:r>
            <w:fldChar w:fldCharType="end"/>
          </w:r>
          <w:r>
            <w:fldChar w:fldCharType="end"/>
          </w:r>
        </w:p>
        <w:p w14:paraId="42C6190F">
          <w:pPr>
            <w:pStyle w:val="11"/>
            <w:tabs>
              <w:tab w:val="right" w:leader="dot" w:pos="9075"/>
            </w:tabs>
          </w:pPr>
          <w:r>
            <w:fldChar w:fldCharType="begin"/>
          </w:r>
          <w:r>
            <w:instrText xml:space="preserve"> HYPERLINK \l _Toc25480 </w:instrText>
          </w:r>
          <w:r>
            <w:fldChar w:fldCharType="separate"/>
          </w:r>
          <w:r>
            <w:rPr>
              <w:rFonts w:ascii="Times New Roman" w:hAnsi="Times New Roman"/>
            </w:rPr>
            <w:t>8.2 证据等级与外推</w:t>
          </w:r>
          <w:r>
            <w:tab/>
          </w:r>
          <w:r>
            <w:fldChar w:fldCharType="begin"/>
          </w:r>
          <w:r>
            <w:instrText xml:space="preserve"> PAGEREF _Toc25480 \h </w:instrText>
          </w:r>
          <w:r>
            <w:fldChar w:fldCharType="separate"/>
          </w:r>
          <w:r>
            <w:t>24</w:t>
          </w:r>
          <w:r>
            <w:fldChar w:fldCharType="end"/>
          </w:r>
          <w:r>
            <w:fldChar w:fldCharType="end"/>
          </w:r>
        </w:p>
        <w:p w14:paraId="1475B006">
          <w:pPr>
            <w:pStyle w:val="11"/>
            <w:tabs>
              <w:tab w:val="right" w:leader="dot" w:pos="9075"/>
            </w:tabs>
          </w:pPr>
          <w:r>
            <w:fldChar w:fldCharType="begin"/>
          </w:r>
          <w:r>
            <w:instrText xml:space="preserve"> HYPERLINK \l _Toc4657 </w:instrText>
          </w:r>
          <w:r>
            <w:fldChar w:fldCharType="separate"/>
          </w:r>
          <w:r>
            <w:rPr>
              <w:rFonts w:ascii="Times New Roman" w:hAnsi="Times New Roman"/>
            </w:rPr>
            <w:t>8.3 结果稳定性判据</w:t>
          </w:r>
          <w:r>
            <w:tab/>
          </w:r>
          <w:r>
            <w:fldChar w:fldCharType="begin"/>
          </w:r>
          <w:r>
            <w:instrText xml:space="preserve"> PAGEREF _Toc4657 \h </w:instrText>
          </w:r>
          <w:r>
            <w:fldChar w:fldCharType="separate"/>
          </w:r>
          <w:r>
            <w:t>25</w:t>
          </w:r>
          <w:r>
            <w:fldChar w:fldCharType="end"/>
          </w:r>
          <w:r>
            <w:fldChar w:fldCharType="end"/>
          </w:r>
        </w:p>
        <w:p w14:paraId="15A96ED1">
          <w:pPr>
            <w:pStyle w:val="11"/>
            <w:tabs>
              <w:tab w:val="right" w:leader="dot" w:pos="9075"/>
            </w:tabs>
          </w:pPr>
          <w:r>
            <w:fldChar w:fldCharType="begin"/>
          </w:r>
          <w:r>
            <w:instrText xml:space="preserve"> HYPERLINK \l _Toc20294 </w:instrText>
          </w:r>
          <w:r>
            <w:fldChar w:fldCharType="separate"/>
          </w:r>
          <w:r>
            <w:rPr>
              <w:rFonts w:ascii="Times New Roman" w:hAnsi="Times New Roman"/>
            </w:rPr>
            <w:t>8.4 研究质量保证</w:t>
          </w:r>
          <w:r>
            <w:tab/>
          </w:r>
          <w:r>
            <w:fldChar w:fldCharType="begin"/>
          </w:r>
          <w:r>
            <w:instrText xml:space="preserve"> PAGEREF _Toc20294 \h </w:instrText>
          </w:r>
          <w:r>
            <w:fldChar w:fldCharType="separate"/>
          </w:r>
          <w:r>
            <w:t>25</w:t>
          </w:r>
          <w:r>
            <w:fldChar w:fldCharType="end"/>
          </w:r>
          <w:r>
            <w:fldChar w:fldCharType="end"/>
          </w:r>
        </w:p>
        <w:p w14:paraId="74966632">
          <w:pPr>
            <w:pStyle w:val="10"/>
            <w:tabs>
              <w:tab w:val="right" w:leader="dot" w:pos="9075"/>
            </w:tabs>
          </w:pPr>
          <w:r>
            <w:fldChar w:fldCharType="begin"/>
          </w:r>
          <w:r>
            <w:instrText xml:space="preserve"> HYPERLINK \l _Toc29258 </w:instrText>
          </w:r>
          <w:r>
            <w:fldChar w:fldCharType="separate"/>
          </w:r>
          <w:r>
            <w:rPr>
              <w:rFonts w:ascii="Times New Roman" w:hAnsi="Times New Roman" w:eastAsia="黑体" w:cs="Times New Roman"/>
            </w:rPr>
            <w:t>9 参考文献</w:t>
          </w:r>
          <w:r>
            <w:tab/>
          </w:r>
          <w:r>
            <w:fldChar w:fldCharType="begin"/>
          </w:r>
          <w:r>
            <w:instrText xml:space="preserve"> PAGEREF _Toc29258 \h </w:instrText>
          </w:r>
          <w:r>
            <w:fldChar w:fldCharType="separate"/>
          </w:r>
          <w:r>
            <w:t>26</w:t>
          </w:r>
          <w:r>
            <w:fldChar w:fldCharType="end"/>
          </w:r>
          <w:r>
            <w:fldChar w:fldCharType="end"/>
          </w:r>
        </w:p>
        <w:p w14:paraId="1F6BD6CA">
          <w:r>
            <w:fldChar w:fldCharType="end"/>
          </w:r>
        </w:p>
      </w:sdtContent>
    </w:sdt>
    <w:p w14:paraId="0D2B97A2"/>
    <w:p w14:paraId="5163B948">
      <w:pPr>
        <w:pStyle w:val="21"/>
        <w:pageBreakBefore/>
        <w:ind w:firstLine="0" w:firstLineChars="0"/>
        <w:outlineLvl w:val="0"/>
      </w:pPr>
      <w:bookmarkStart w:id="0" w:name="_Toc7116"/>
      <w:r>
        <w:rPr>
          <w:rFonts w:ascii="Times New Roman" w:hAnsi="Times New Roman" w:eastAsia="黑体" w:cs="Times New Roman"/>
          <w:b/>
          <w:color w:val="000000"/>
          <w:sz w:val="30"/>
        </w:rPr>
        <w:t>1 课题来源及研究目的和意义</w:t>
      </w:r>
      <w:bookmarkEnd w:id="0"/>
    </w:p>
    <w:p w14:paraId="7211C648">
      <w:pPr>
        <w:pStyle w:val="22"/>
        <w:pageBreakBefore w:val="0"/>
        <w:ind w:firstLine="0" w:firstLineChars="0"/>
        <w:outlineLvl w:val="1"/>
      </w:pPr>
      <w:bookmarkStart w:id="1" w:name="_Toc9770"/>
      <w:r>
        <w:rPr>
          <w:rFonts w:ascii="Times New Roman" w:hAnsi="Times New Roman" w:eastAsia="黑体" w:cs="Times New Roman"/>
          <w:b/>
          <w:color w:val="000000"/>
          <w:sz w:val="28"/>
        </w:rPr>
        <w:t>1.1 课题来源</w:t>
      </w:r>
      <w:bookmarkEnd w:id="1"/>
    </w:p>
    <w:p w14:paraId="45CA7A8E">
      <w:pPr>
        <w:spacing w:before="0" w:after="0" w:line="360" w:lineRule="auto"/>
        <w:ind w:firstLine="420"/>
      </w:pPr>
      <w:commentRangeStart w:id="0"/>
      <w:r>
        <w:rPr>
          <w:rFonts w:ascii="Times New Roman" w:hAnsi="Times New Roman" w:eastAsia="宋体" w:cs="Times New Roman"/>
          <w:b w:val="0"/>
          <w:color w:val="000000"/>
          <w:sz w:val="24"/>
        </w:rPr>
        <w:t>本课题由AI算力基础设施扩张与城市供排水、再生水系统协同规划的现实需求提出，研究问题来源于数字基础设施资源环境影响与城市水系统管理之间的衔接。数据中心绿色低碳发展政策已将资源效率与基础设施布局作为重要方向</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。本研究依据前期城市代谢建模的积累，选择AI负荷引入后的水流结构、峰值服务和承载边界作为学位论文研究对象。</w:t>
      </w:r>
      <w:commentRangeEnd w:id="0"/>
      <w:r>
        <w:commentReference w:id="0"/>
      </w:r>
    </w:p>
    <w:p w14:paraId="2747444E">
      <w:pPr>
        <w:pStyle w:val="22"/>
        <w:pageBreakBefore w:val="0"/>
        <w:ind w:firstLine="0" w:firstLineChars="0"/>
        <w:outlineLvl w:val="1"/>
      </w:pPr>
      <w:bookmarkStart w:id="2" w:name="_Toc31920"/>
      <w:r>
        <w:rPr>
          <w:rFonts w:ascii="Times New Roman" w:hAnsi="Times New Roman" w:eastAsia="黑体" w:cs="Times New Roman"/>
          <w:b/>
          <w:color w:val="000000"/>
          <w:sz w:val="28"/>
        </w:rPr>
        <w:t>1.2 课题研究目的和意义</w:t>
      </w:r>
      <w:bookmarkEnd w:id="2"/>
    </w:p>
    <w:p w14:paraId="06B380D3">
      <w:pPr>
        <w:pStyle w:val="23"/>
        <w:pageBreakBefore w:val="0"/>
        <w:ind w:firstLine="0" w:firstLineChars="0"/>
        <w:outlineLvl w:val="2"/>
      </w:pPr>
      <w:bookmarkStart w:id="3" w:name="_Toc20269"/>
      <w:r>
        <w:rPr>
          <w:rFonts w:ascii="Times New Roman" w:hAnsi="Times New Roman" w:eastAsia="黑体" w:cs="Times New Roman"/>
          <w:b/>
          <w:color w:val="000000"/>
          <w:sz w:val="24"/>
        </w:rPr>
        <w:t>1.2.1 AI基础设施扩张与研究目的</w:t>
      </w:r>
      <w:bookmarkEnd w:id="3"/>
    </w:p>
    <w:p w14:paraId="1C7B623C">
      <w:pPr>
        <w:spacing w:before="0" w:after="0" w:line="360" w:lineRule="auto"/>
        <w:ind w:firstLine="420"/>
      </w:pPr>
      <w:r>
        <w:rPr>
          <w:rFonts w:ascii="宋体" w:hAnsi="宋体" w:eastAsia="宋体" w:cs="Times New Roman"/>
          <w:b w:val="0"/>
          <w:color w:val="000000"/>
          <w:sz w:val="24"/>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6AA95E12">
      <w:pPr>
        <w:spacing w:before="0" w:after="0" w:line="360" w:lineRule="auto"/>
        <w:ind w:firstLine="420"/>
      </w:pPr>
      <w:r>
        <w:rPr>
          <w:rFonts w:ascii="Times New Roman" w:hAnsi="Times New Roman" w:eastAsia="宋体" w:cs="Times New Roman"/>
          <w:b w:val="0"/>
          <w:color w:val="000000"/>
          <w:sz w:val="24"/>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水质和局部管网能力影响。AI基础设施因此成为连接数字经济与城市物质系统的新型工业节点。</w:t>
      </w:r>
    </w:p>
    <w:p w14:paraId="725C1530">
      <w:pPr>
        <w:spacing w:before="0" w:after="0" w:line="360" w:lineRule="auto"/>
        <w:ind w:firstLine="420"/>
      </w:pPr>
      <w:r>
        <w:rPr>
          <w:rFonts w:ascii="Times New Roman" w:hAnsi="Times New Roman" w:eastAsia="宋体" w:cs="Times New Roman"/>
          <w:b w:val="0"/>
          <w:color w:val="000000"/>
          <w:sz w:val="24"/>
        </w:rPr>
        <w:t>国际能源署的Energy and AI及后续分析讨论了AI与电力系统的联系</w:t>
      </w:r>
      <w:r>
        <w:rPr>
          <w:rFonts w:ascii="Times New Roman" w:hAnsi="Times New Roman" w:eastAsia="宋体" w:cs="Times New Roman"/>
          <w:b w:val="0"/>
          <w:color w:val="000000"/>
          <w:sz w:val="24"/>
          <w:vertAlign w:val="superscript"/>
        </w:rPr>
        <w:t>[2,3]</w:t>
      </w:r>
      <w:r>
        <w:rPr>
          <w:rFonts w:ascii="宋体" w:hAnsi="宋体" w:eastAsia="宋体" w:cs="Times New Roman"/>
          <w:b w:val="0"/>
          <w:color w:val="000000"/>
          <w:sz w:val="24"/>
        </w:rPr>
        <w:t>；劳伦斯伯克利国家实验室报告和全球数据中心能耗研究为负荷规模与效率变化提供了核算依据</w:t>
      </w:r>
      <w:r>
        <w:rPr>
          <w:rFonts w:ascii="Times New Roman" w:hAnsi="Times New Roman" w:eastAsia="宋体" w:cs="Times New Roman"/>
          <w:b w:val="0"/>
          <w:color w:val="000000"/>
          <w:sz w:val="24"/>
          <w:vertAlign w:val="superscript"/>
        </w:rPr>
        <w:t>[4,5]</w:t>
      </w:r>
      <w:r>
        <w:rPr>
          <w:rFonts w:ascii="Times New Roman" w:hAnsi="Times New Roman" w:eastAsia="宋体" w:cs="Times New Roman"/>
          <w:b w:val="0"/>
          <w:color w:val="000000"/>
          <w:sz w:val="24"/>
        </w:rPr>
        <w:t>；de Vries进一步讨论了人工智能的新增能源需求</w:t>
      </w:r>
      <w:r>
        <w:rPr>
          <w:rFonts w:ascii="Times New Roman" w:hAnsi="Times New Roman" w:eastAsia="宋体" w:cs="Times New Roman"/>
          <w:b w:val="0"/>
          <w:color w:val="000000"/>
          <w:sz w:val="24"/>
          <w:vertAlign w:val="superscript"/>
        </w:rPr>
        <w:t>[6]</w:t>
      </w:r>
      <w:r>
        <w:rPr>
          <w:rFonts w:ascii="宋体" w:hAnsi="宋体" w:eastAsia="宋体" w:cs="Times New Roman"/>
          <w:b w:val="0"/>
          <w:color w:val="000000"/>
          <w:sz w:val="24"/>
        </w:rPr>
        <w:t>。电力需求通过热排散和冷却过程连接到水系统，本研究拟从这一接口出发解释城市水务系统的增量压力。</w:t>
      </w:r>
    </w:p>
    <w:p w14:paraId="35E68F84">
      <w:pPr>
        <w:spacing w:before="0" w:after="0" w:line="360" w:lineRule="auto"/>
        <w:ind w:firstLine="420"/>
      </w:pPr>
      <w:r>
        <w:rPr>
          <w:rFonts w:ascii="Times New Roman" w:hAnsi="Times New Roman" w:eastAsia="宋体"/>
          <w:sz w:val="24"/>
        </w:rPr>
        <w:t>建立AI驱动的城市人工水系统代谢动态模型和条件化承载分析框架，形成从AI IT容量、热排散和冷却补水到城市给水，污水，再生水网络的可验证闭环；揭示AI扩张引起的代谢结构变化、时间尺度依赖边界和瓶颈迁移机制；在给定参数域与不确定性范围内，为城市算力布局与水务设施协同规划提供可解释的容量依据。</w:t>
      </w:r>
    </w:p>
    <w:p w14:paraId="2979A5EB">
      <w:pPr>
        <w:pStyle w:val="23"/>
        <w:pageBreakBefore w:val="0"/>
        <w:ind w:firstLine="0" w:firstLineChars="0"/>
        <w:outlineLvl w:val="2"/>
      </w:pPr>
      <w:bookmarkStart w:id="4" w:name="_Toc28861"/>
      <w:commentRangeStart w:id="1"/>
      <w:r>
        <w:rPr>
          <w:rFonts w:ascii="Times New Roman" w:hAnsi="Times New Roman" w:eastAsia="黑体" w:cs="Times New Roman"/>
          <w:b/>
          <w:color w:val="000000"/>
          <w:sz w:val="24"/>
        </w:rPr>
        <w:t>1.2.2 从设施足迹转向城市系统</w:t>
      </w:r>
      <w:bookmarkEnd w:id="4"/>
    </w:p>
    <w:p w14:paraId="6949580D">
      <w:pPr>
        <w:spacing w:before="0" w:after="0" w:line="360" w:lineRule="auto"/>
        <w:ind w:firstLine="420"/>
      </w:pPr>
      <w:r>
        <w:rPr>
          <w:rFonts w:ascii="宋体" w:hAnsi="宋体" w:eastAsia="宋体" w:cs="Times New Roman"/>
          <w:b w:val="0"/>
          <w:color w:val="000000"/>
          <w:sz w:val="24"/>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r>
        <w:rPr>
          <w:rFonts w:ascii="Times New Roman" w:hAnsi="Times New Roman" w:eastAsia="宋体" w:cs="Times New Roman"/>
          <w:b w:val="0"/>
          <w:color w:val="000000"/>
          <w:sz w:val="24"/>
          <w:vertAlign w:val="superscript"/>
        </w:rPr>
        <w:t>[7-10]</w:t>
      </w:r>
      <w:r>
        <w:rPr>
          <w:rFonts w:ascii="宋体" w:hAnsi="宋体" w:eastAsia="宋体" w:cs="Times New Roman"/>
          <w:b w:val="0"/>
          <w:color w:val="000000"/>
          <w:sz w:val="24"/>
        </w:rPr>
        <w:t>。</w:t>
      </w:r>
    </w:p>
    <w:p w14:paraId="78534302">
      <w:pPr>
        <w:spacing w:before="0" w:after="0" w:line="360" w:lineRule="auto"/>
        <w:ind w:firstLine="420"/>
      </w:pPr>
      <w:r>
        <w:rPr>
          <w:rFonts w:ascii="宋体" w:hAnsi="宋体" w:eastAsia="宋体"/>
          <w:sz w:val="24"/>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这说明，城市规划需要的是水流路径和服务可靠性的解释，而不仅是一个年度总量。</w:t>
      </w:r>
    </w:p>
    <w:p w14:paraId="70DC19DF">
      <w:pPr>
        <w:spacing w:before="0" w:after="0" w:line="360" w:lineRule="auto"/>
        <w:ind w:firstLine="420"/>
      </w:pPr>
      <w:r>
        <w:rPr>
          <w:rFonts w:ascii="Times New Roman" w:hAnsi="Times New Roman" w:eastAsia="宋体" w:cs="Times New Roman"/>
          <w:b w:val="0"/>
          <w:color w:val="000000"/>
          <w:sz w:val="24"/>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commentRangeEnd w:id="1"/>
      <w:r>
        <w:commentReference w:id="1"/>
      </w:r>
    </w:p>
    <w:p w14:paraId="7BB65127">
      <w:pPr>
        <w:pStyle w:val="23"/>
        <w:pageBreakBefore w:val="0"/>
        <w:ind w:firstLine="0" w:firstLineChars="0"/>
        <w:outlineLvl w:val="2"/>
      </w:pPr>
      <w:bookmarkStart w:id="5" w:name="_Toc12130"/>
      <w:r>
        <w:rPr>
          <w:rFonts w:ascii="Times New Roman" w:hAnsi="Times New Roman" w:eastAsia="黑体" w:cs="Times New Roman"/>
          <w:b/>
          <w:color w:val="000000"/>
          <w:sz w:val="24"/>
        </w:rPr>
        <w:t>1.2.3 理论意义</w:t>
      </w:r>
      <w:bookmarkEnd w:id="5"/>
    </w:p>
    <w:p w14:paraId="27983CD3">
      <w:pPr>
        <w:pStyle w:val="23"/>
        <w:pageBreakBefore w:val="0"/>
        <w:ind w:firstLine="480" w:firstLineChars="200"/>
        <w:outlineLvl w:val="2"/>
        <w:rPr>
          <w:rFonts w:hint="eastAsia" w:ascii="宋体" w:hAnsi="宋体" w:eastAsia="宋体" w:cs="Times New Roman"/>
          <w:b w:val="0"/>
          <w:color w:val="000000"/>
          <w:sz w:val="24"/>
        </w:rPr>
      </w:pPr>
      <w:bookmarkStart w:id="6" w:name="_Toc32291"/>
      <w:r>
        <w:rPr>
          <w:rFonts w:hint="eastAsia" w:ascii="宋体" w:hAnsi="宋体" w:eastAsia="宋体" w:cs="Times New Roman"/>
          <w:b w:val="0"/>
          <w:color w:val="000000"/>
          <w:sz w:val="24"/>
        </w:rPr>
        <w:t>本研究的理论意义主要体现在三个方面。首先，拓展了城市代谢理论，将“计算需求驱动的物理资源流”识别为城市代谢的新型节点，使数字基础设施不再作为外生条件，而是与城市水循环过程形成耦合分析，从而连接数字基础设施研究与城市水循环研究。其次，发展了综合水系统模拟，在供水、用水、污水和再生水框架中显式区分Withdrawal、Consumption与Return Flow，并将水量、水质、储存和峰值服务纳入统一边界，有助于更完整地刻画算力水系统的全过程特征。最后，深化了承载力理论，将承载对象从人口或经济规模转化为可度量的AI IT容量，讨论资源量、基础设施能力和风险容忍共同形成的条件边界，揭示算力扩张下的水资源约束逻辑。上述理论推进为数字时代城市水系统治理提供了更具解释力的分析框架。</w:t>
      </w:r>
    </w:p>
    <w:p w14:paraId="78975824">
      <w:pPr>
        <w:pStyle w:val="23"/>
        <w:pageBreakBefore w:val="0"/>
        <w:outlineLvl w:val="2"/>
      </w:pPr>
      <w:r>
        <w:rPr>
          <w:rFonts w:ascii="Times New Roman" w:hAnsi="Times New Roman" w:eastAsia="黑体" w:cs="Times New Roman"/>
          <w:b/>
          <w:color w:val="000000"/>
          <w:sz w:val="24"/>
        </w:rPr>
        <w:t>1.2.4 实践意义</w:t>
      </w:r>
      <w:bookmarkEnd w:id="6"/>
    </w:p>
    <w:p w14:paraId="356A1F83">
      <w:pPr>
        <w:pStyle w:val="22"/>
        <w:pageBreakBefore w:val="0"/>
        <w:ind w:firstLine="0" w:firstLineChars="0"/>
        <w:outlineLvl w:val="1"/>
        <w:rPr>
          <w:rFonts w:hint="eastAsia" w:ascii="宋体" w:hAnsi="宋体" w:eastAsia="宋体" w:cs="Times New Roman"/>
          <w:b w:val="0"/>
          <w:color w:val="000000"/>
          <w:sz w:val="24"/>
        </w:rPr>
      </w:pPr>
      <w:bookmarkStart w:id="7" w:name="_Toc21442"/>
      <w:r>
        <w:rPr>
          <w:rFonts w:hint="eastAsia" w:ascii="宋体" w:hAnsi="宋体" w:eastAsia="宋体" w:cs="Times New Roman"/>
          <w:b w:val="0"/>
          <w:color w:val="000000"/>
          <w:sz w:val="24"/>
        </w:rPr>
        <w:t>在实践层面，本研究可为不同决策主体提供针对性支撑。对地方政府而言，该分析框架将算力项目选址、取水许可与水务设施能力统筹考虑，把年均资源量、峰值服务和基础设施余量一并纳入重大项目论证，有助于避免局部水资源超载和设施闲置并存的问题。对数据中心规划者而言，可借助模型比较空气冷却与液冷、干式与湿式排热、淡水与再生水配置等方案的系统影响，识别节水措施可能造成的能耗上升或碳排放转移，防止单一指标优化带来隐性代价。对水务部门而言，相关结果可用于评估AI扩张对给水、污水、再生水处理以及局部接入能力的增量压力，并判断扩容措施在多大规模和时间范围内有效，从而为设施投资、调度策略和应急预留提供依据。</w:t>
      </w:r>
    </w:p>
    <w:p w14:paraId="7FC8DEC8">
      <w:pPr>
        <w:pStyle w:val="22"/>
        <w:pageBreakBefore w:val="0"/>
        <w:ind w:firstLine="0" w:firstLineChars="0"/>
        <w:outlineLvl w:val="1"/>
      </w:pPr>
      <w:commentRangeStart w:id="2"/>
      <w:r>
        <w:rPr>
          <w:rFonts w:ascii="Times New Roman" w:hAnsi="Times New Roman" w:eastAsia="黑体" w:cs="Times New Roman"/>
          <w:b/>
          <w:color w:val="000000"/>
          <w:sz w:val="28"/>
        </w:rPr>
        <w:t>1.3 研究对象与核心概念</w:t>
      </w:r>
      <w:bookmarkEnd w:id="7"/>
    </w:p>
    <w:p w14:paraId="2C14C67A">
      <w:pPr>
        <w:spacing w:before="0" w:after="0" w:line="360" w:lineRule="auto"/>
        <w:ind w:firstLine="420"/>
      </w:pPr>
      <w:r>
        <w:rPr>
          <w:rFonts w:ascii="Times New Roman" w:hAnsi="Times New Roman" w:eastAsia="宋体" w:cs="Times New Roman"/>
          <w:b w:val="0"/>
          <w:color w:val="000000"/>
          <w:sz w:val="24"/>
        </w:rPr>
        <w:t>本研究的核心对象是“AI算力基础设施进入城市人工水系统后的系统响应”，研究重点放在城市尺度耦合及其科学机制。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commentRangeEnd w:id="2"/>
      <w:r>
        <w:commentReference w:id="2"/>
      </w:r>
    </w:p>
    <w:p w14:paraId="4C6566E0">
      <w:pPr>
        <w:pStyle w:val="21"/>
        <w:pageBreakBefore/>
        <w:ind w:firstLine="0" w:firstLineChars="0"/>
        <w:outlineLvl w:val="0"/>
      </w:pPr>
      <w:bookmarkStart w:id="8" w:name="_Toc10098"/>
      <w:r>
        <w:rPr>
          <w:rFonts w:ascii="Times New Roman" w:hAnsi="Times New Roman" w:eastAsia="黑体" w:cs="Times New Roman"/>
          <w:b/>
          <w:color w:val="000000"/>
          <w:sz w:val="30"/>
        </w:rPr>
        <w:t>2 国内外研究现状及分析</w:t>
      </w:r>
      <w:bookmarkEnd w:id="8"/>
    </w:p>
    <w:p w14:paraId="32B44F48">
      <w:pPr>
        <w:pStyle w:val="22"/>
        <w:pageBreakBefore w:val="0"/>
        <w:ind w:firstLine="0" w:firstLineChars="0"/>
        <w:outlineLvl w:val="1"/>
      </w:pPr>
      <w:bookmarkStart w:id="9" w:name="_Toc8233"/>
      <w:r>
        <w:rPr>
          <w:rFonts w:ascii="Times New Roman" w:hAnsi="Times New Roman" w:eastAsia="黑体" w:cs="Times New Roman"/>
          <w:b/>
          <w:color w:val="000000"/>
          <w:sz w:val="28"/>
        </w:rPr>
        <w:t>2.1 国外研究现状</w:t>
      </w:r>
      <w:bookmarkEnd w:id="9"/>
    </w:p>
    <w:p w14:paraId="6122C738">
      <w:pPr>
        <w:pStyle w:val="23"/>
        <w:pageBreakBefore w:val="0"/>
        <w:ind w:firstLine="0" w:firstLineChars="0"/>
        <w:outlineLvl w:val="2"/>
      </w:pPr>
      <w:bookmarkStart w:id="10" w:name="_Toc18015"/>
      <w:r>
        <w:rPr>
          <w:rFonts w:ascii="Times New Roman" w:hAnsi="Times New Roman" w:eastAsia="黑体" w:cs="Times New Roman"/>
          <w:b/>
          <w:color w:val="000000"/>
          <w:sz w:val="24"/>
        </w:rPr>
        <w:t>2.1.1 城市代谢与综合城市水系统</w:t>
      </w:r>
      <w:bookmarkEnd w:id="10"/>
    </w:p>
    <w:p w14:paraId="238F5590">
      <w:pPr>
        <w:spacing w:before="0" w:after="0" w:line="360" w:lineRule="auto"/>
        <w:ind w:firstLine="420"/>
      </w:pPr>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宋体" w:hAnsi="宋体"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宋体" w:hAnsi="宋体" w:eastAsia="宋体" w:cs="Times New Roman"/>
          <w:b w:val="0"/>
          <w:color w:val="000000"/>
          <w:sz w:val="24"/>
        </w:rPr>
        <w:t>。对于水系统而言，代谢视角的价值在于把供水、用水、污水、再生利用和环境排放放到同一张网络中，从而识别水量之外的路径结构。</w:t>
      </w:r>
    </w:p>
    <w:p w14:paraId="310EAC60">
      <w:pPr>
        <w:spacing w:before="0" w:after="0" w:line="360" w:lineRule="auto"/>
        <w:ind w:firstLine="420"/>
      </w:pPr>
      <w:r>
        <w:rPr>
          <w:rFonts w:ascii="Times New Roman" w:hAnsi="Times New Roman" w:eastAsia="宋体" w:cs="Times New Roman"/>
          <w:b w:val="0"/>
          <w:color w:val="000000"/>
          <w:sz w:val="24"/>
        </w:rPr>
        <w:t>WaterMet²将供水、需求、污水和环境绩效置于统一分析框架</w:t>
      </w:r>
      <w:r>
        <w:rPr>
          <w:rFonts w:ascii="Times New Roman" w:hAnsi="Times New Roman" w:eastAsia="宋体" w:cs="Times New Roman"/>
          <w:b w:val="0"/>
          <w:color w:val="000000"/>
          <w:sz w:val="24"/>
          <w:vertAlign w:val="superscript"/>
        </w:rPr>
        <w:t>[20,21]</w:t>
      </w:r>
      <w:r>
        <w:rPr>
          <w:rFonts w:ascii="宋体" w:hAnsi="宋体" w:eastAsia="宋体" w:cs="Times New Roman"/>
          <w:b w:val="0"/>
          <w:color w:val="000000"/>
          <w:sz w:val="24"/>
        </w:rPr>
        <w:t>；综合城市水循环综述讨论了跨子系统模型的连接方式与适用边界</w:t>
      </w:r>
      <w:r>
        <w:rPr>
          <w:rFonts w:ascii="Times New Roman" w:hAnsi="Times New Roman" w:eastAsia="宋体" w:cs="Times New Roman"/>
          <w:b w:val="0"/>
          <w:color w:val="000000"/>
          <w:sz w:val="24"/>
          <w:vertAlign w:val="superscript"/>
        </w:rPr>
        <w:t>[22,23]</w:t>
      </w:r>
      <w:r>
        <w:rPr>
          <w:rFonts w:ascii="Times New Roman" w:hAnsi="Times New Roman" w:eastAsia="宋体" w:cs="Times New Roman"/>
          <w:b w:val="0"/>
          <w:color w:val="000000"/>
          <w:sz w:val="24"/>
        </w:rPr>
        <w:t>；WSIMOD以节点和弧线连接水量与污染物通量，强调可组合建模和守恒检查</w:t>
      </w:r>
      <w:r>
        <w:rPr>
          <w:rFonts w:ascii="Times New Roman" w:hAnsi="Times New Roman" w:eastAsia="宋体" w:cs="Times New Roman"/>
          <w:b w:val="0"/>
          <w:color w:val="000000"/>
          <w:sz w:val="24"/>
          <w:vertAlign w:val="superscript"/>
        </w:rPr>
        <w:t>[24]</w:t>
      </w:r>
      <w:r>
        <w:rPr>
          <w:rFonts w:ascii="宋体" w:hAnsi="宋体" w:eastAsia="宋体" w:cs="Times New Roman"/>
          <w:b w:val="0"/>
          <w:color w:val="000000"/>
          <w:sz w:val="24"/>
        </w:rPr>
        <w:t>。相关系统动力学、混合系统建模和强化学习研究也尝试将动态反馈与水资源管理决策连接</w:t>
      </w:r>
      <w:r>
        <w:rPr>
          <w:rFonts w:ascii="Times New Roman" w:hAnsi="Times New Roman" w:eastAsia="宋体" w:cs="Times New Roman"/>
          <w:b w:val="0"/>
          <w:color w:val="000000"/>
          <w:sz w:val="24"/>
          <w:vertAlign w:val="superscript"/>
        </w:rPr>
        <w:t>[25,26]</w:t>
      </w:r>
      <w:r>
        <w:rPr>
          <w:rFonts w:ascii="Times New Roman" w:hAnsi="Times New Roman" w:eastAsia="宋体" w:cs="Times New Roman"/>
          <w:b w:val="0"/>
          <w:color w:val="000000"/>
          <w:sz w:val="24"/>
        </w:rPr>
        <w:t>。这些成果为AI节点接入城市水循环提供了工具基础，本课题进一步关注该节点的连续负荷、气候敏感性及峰值服务约束。</w:t>
      </w:r>
    </w:p>
    <w:p w14:paraId="5CE4319C">
      <w:pPr>
        <w:spacing w:before="0" w:after="0" w:line="360" w:lineRule="auto"/>
        <w:ind w:firstLine="420"/>
      </w:pPr>
      <w:r>
        <w:rPr>
          <w:rFonts w:ascii="Times New Roman" w:hAnsi="Times New Roman" w:eastAsia="宋体" w:cs="Times New Roman"/>
          <w:b w:val="0"/>
          <w:color w:val="000000"/>
          <w:sz w:val="24"/>
        </w:rP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城市需水建模文献对时间尺度、需求驱动和预测口径的梳理，为设置传统用户基线提供了依据</w:t>
      </w:r>
      <w:r>
        <w:rPr>
          <w:rFonts w:ascii="Times New Roman" w:hAnsi="Times New Roman" w:eastAsia="宋体" w:cs="Times New Roman"/>
          <w:b w:val="0"/>
          <w:color w:val="000000"/>
          <w:sz w:val="24"/>
          <w:vertAlign w:val="superscript"/>
        </w:rPr>
        <w:t>[27]</w:t>
      </w:r>
      <w:r>
        <w:rPr>
          <w:rFonts w:ascii="宋体" w:hAnsi="宋体" w:eastAsia="宋体" w:cs="Times New Roman"/>
          <w:b w:val="0"/>
          <w:color w:val="000000"/>
          <w:sz w:val="24"/>
        </w:rPr>
        <w:t>。</w:t>
      </w:r>
    </w:p>
    <w:p w14:paraId="31CD2C75">
      <w:pPr>
        <w:pStyle w:val="23"/>
        <w:pageBreakBefore w:val="0"/>
        <w:ind w:firstLine="0" w:firstLineChars="0"/>
        <w:outlineLvl w:val="2"/>
      </w:pPr>
      <w:bookmarkStart w:id="11" w:name="_Toc8095"/>
      <w:r>
        <w:rPr>
          <w:rFonts w:ascii="Times New Roman" w:hAnsi="Times New Roman" w:eastAsia="宋体"/>
          <w:sz w:val="24"/>
        </w:rPr>
        <w:t>2.1.2 城市水，能，碳关系</w:t>
      </w:r>
      <w:bookmarkEnd w:id="11"/>
    </w:p>
    <w:p w14:paraId="7F077B82">
      <w:pPr>
        <w:spacing w:before="0" w:after="0" w:line="360" w:lineRule="auto"/>
        <w:ind w:firstLine="420"/>
      </w:pPr>
      <w:r>
        <w:rPr>
          <w:rFonts w:ascii="Times New Roman" w:hAnsi="Times New Roman" w:eastAsia="宋体"/>
          <w:sz w:val="24"/>
        </w:rPr>
        <w:t>城市水系统中的取水、加压、给水处理、污水处理、深度再生和输配均伴随能源消耗。城市水，能联系综述与系统框架将这些环节纳入过程核算[28,29]；水，能，温室气体关系研究和能耗强度比较强调边界及指标口径的一致性[30,31]。水源选择的能源和大气排放效应说明，降低某一环节用水并不必然降低系统总环境负荷[32]。</w:t>
      </w:r>
    </w:p>
    <w:p w14:paraId="3F25A12F">
      <w:pPr>
        <w:spacing w:before="0" w:after="0" w:line="360" w:lineRule="auto"/>
        <w:ind w:firstLine="420"/>
      </w:pPr>
      <w:r>
        <w:rPr>
          <w:rFonts w:ascii="宋体" w:hAnsi="宋体" w:eastAsia="宋体" w:cs="Times New Roman"/>
          <w:b w:val="0"/>
          <w:color w:val="000000"/>
          <w:sz w:val="24"/>
        </w:rPr>
        <w:t>这些研究对本课题的启示是：再生水处理深度与输送距离需要和淡水替代量共同评价；城市本地物理水流与异地电力水足迹应分别呈现。面向数据中心冷却的生命周期评价同样强调技术选择需在完整环境边界下比较</w:t>
      </w:r>
      <w:r>
        <w:rPr>
          <w:rFonts w:ascii="Times New Roman" w:hAnsi="Times New Roman" w:eastAsia="宋体" w:cs="Times New Roman"/>
          <w:b w:val="0"/>
          <w:color w:val="000000"/>
          <w:sz w:val="24"/>
          <w:vertAlign w:val="superscript"/>
        </w:rPr>
        <w:t>[33]</w:t>
      </w:r>
      <w:r>
        <w:rPr>
          <w:rFonts w:ascii="宋体" w:hAnsi="宋体" w:eastAsia="宋体" w:cs="Times New Roman"/>
          <w:b w:val="0"/>
          <w:color w:val="000000"/>
          <w:sz w:val="24"/>
        </w:rPr>
        <w:t>。</w:t>
      </w:r>
    </w:p>
    <w:p w14:paraId="28ACECCD">
      <w:pPr>
        <w:pStyle w:val="23"/>
        <w:pageBreakBefore w:val="0"/>
        <w:ind w:firstLine="0" w:firstLineChars="0"/>
        <w:outlineLvl w:val="2"/>
      </w:pPr>
      <w:bookmarkStart w:id="12" w:name="_Toc31085"/>
      <w:r>
        <w:rPr>
          <w:rFonts w:ascii="Times New Roman" w:hAnsi="Times New Roman" w:eastAsia="黑体" w:cs="Times New Roman"/>
          <w:b/>
          <w:color w:val="000000"/>
          <w:sz w:val="24"/>
        </w:rPr>
        <w:t>2.1.3 AI与数据中心资源环境足迹</w:t>
      </w:r>
      <w:bookmarkEnd w:id="12"/>
    </w:p>
    <w:p w14:paraId="58184674">
      <w:pPr>
        <w:spacing w:before="0" w:after="0" w:line="360" w:lineRule="auto"/>
        <w:ind w:firstLine="420"/>
      </w:pPr>
      <w:r>
        <w:rPr>
          <w:rFonts w:ascii="Times New Roman" w:hAnsi="Times New Roman" w:eastAsia="宋体" w:cs="Times New Roman"/>
          <w:b w:val="0"/>
          <w:color w:val="000000"/>
          <w:sz w:val="24"/>
        </w:rPr>
        <w:t>AI环境研究由训练阶段的能源与政策讨论</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，发展到能耗与碳足迹的系统报告、计算碳足迹工具及Green AI理念</w:t>
      </w:r>
      <w:r>
        <w:rPr>
          <w:rFonts w:ascii="Times New Roman" w:hAnsi="Times New Roman" w:eastAsia="宋体" w:cs="Times New Roman"/>
          <w:b w:val="0"/>
          <w:color w:val="000000"/>
          <w:sz w:val="24"/>
          <w:vertAlign w:val="superscript"/>
        </w:rPr>
        <w:t>[35-37]</w:t>
      </w:r>
      <w:r>
        <w:rPr>
          <w:rFonts w:ascii="Times New Roman" w:hAnsi="Times New Roman" w:eastAsia="宋体" w:cs="Times New Roman"/>
          <w:b w:val="0"/>
          <w:color w:val="000000"/>
          <w:sz w:val="24"/>
        </w:rPr>
        <w:t>。关于训练碳足迹演变、BLOOM模型核算和部署阶段能耗的研究进一步区分训练与推理的负荷特征</w:t>
      </w:r>
      <w:r>
        <w:rPr>
          <w:rFonts w:ascii="Times New Roman" w:hAnsi="Times New Roman" w:eastAsia="宋体" w:cs="Times New Roman"/>
          <w:b w:val="0"/>
          <w:color w:val="000000"/>
          <w:sz w:val="24"/>
          <w:vertAlign w:val="superscript"/>
        </w:rPr>
        <w:t>[38-40]</w:t>
      </w:r>
      <w:r>
        <w:rPr>
          <w:rFonts w:ascii="Times New Roman" w:hAnsi="Times New Roman" w:eastAsia="宋体" w:cs="Times New Roman"/>
          <w:b w:val="0"/>
          <w:color w:val="000000"/>
          <w:sz w:val="24"/>
        </w:rPr>
        <w:t>；生成式AI电子废物研究则将视角延伸至硬件退役</w:t>
      </w:r>
      <w:r>
        <w:rPr>
          <w:rFonts w:ascii="Times New Roman" w:hAnsi="Times New Roman" w:eastAsia="宋体" w:cs="Times New Roman"/>
          <w:b w:val="0"/>
          <w:color w:val="000000"/>
          <w:sz w:val="24"/>
          <w:vertAlign w:val="superscript"/>
        </w:rPr>
        <w:t>[41]</w:t>
      </w:r>
      <w:r>
        <w:rPr>
          <w:rFonts w:ascii="宋体" w:hAnsi="宋体" w:eastAsia="宋体" w:cs="Times New Roman"/>
          <w:b w:val="0"/>
          <w:color w:val="000000"/>
          <w:sz w:val="24"/>
        </w:rPr>
        <w:t>。</w:t>
      </w:r>
    </w:p>
    <w:p w14:paraId="504B5840">
      <w:pPr>
        <w:spacing w:before="0" w:after="0" w:line="360" w:lineRule="auto"/>
        <w:ind w:firstLine="420"/>
      </w:pPr>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宋体" w:hAnsi="宋体" w:eastAsia="宋体" w:cs="Times New Roman"/>
          <w:b w:val="0"/>
          <w:color w:val="000000"/>
          <w:sz w:val="24"/>
        </w:rPr>
        <w:t>。现有成果多以设施或区域足迹为终点，本研究拟继续追踪补水来源、排污去向、再生水竞争与城市设施余量。</w:t>
      </w:r>
    </w:p>
    <w:p w14:paraId="7C2AC68A">
      <w:pPr>
        <w:spacing w:before="0" w:after="0" w:line="360" w:lineRule="auto"/>
        <w:ind w:firstLine="420"/>
      </w:pPr>
      <w:r>
        <w:rPr>
          <w:rFonts w:ascii="Times New Roman" w:hAnsi="Times New Roman" w:eastAsia="宋体"/>
          <w:sz w:val="24"/>
        </w:rPr>
        <w:t>近期预印本已讨论数据中心对公共供水容量的压力，以及AI用水与供水条件之间的反馈[44,45]。数据中心，污水厂协同研究则分析数，水共生的环境潜力[46]。这些进展将问题推进到城市接口，也使水量、水质、时间尺度与约束迁移的统一分析成为需要统一处理的方向。</w:t>
      </w:r>
    </w:p>
    <w:p w14:paraId="4E28DE6E">
      <w:pPr>
        <w:pStyle w:val="23"/>
        <w:pageBreakBefore w:val="0"/>
        <w:ind w:firstLine="0" w:firstLineChars="0"/>
        <w:outlineLvl w:val="2"/>
      </w:pPr>
      <w:bookmarkStart w:id="13" w:name="_Toc8135"/>
      <w:r>
        <w:rPr>
          <w:rFonts w:ascii="Times New Roman" w:hAnsi="Times New Roman" w:eastAsia="黑体" w:cs="Times New Roman"/>
          <w:b/>
          <w:color w:val="000000"/>
          <w:sz w:val="24"/>
        </w:rPr>
        <w:t>2.1.4 冷却与再生水工程</w:t>
      </w:r>
      <w:bookmarkEnd w:id="13"/>
    </w:p>
    <w:p w14:paraId="2A312FA4">
      <w:pPr>
        <w:spacing w:before="0" w:after="0" w:line="360" w:lineRule="auto"/>
        <w:ind w:firstLine="420"/>
      </w:pPr>
      <w:r>
        <w:rPr>
          <w:rFonts w:ascii="宋体" w:hAnsi="宋体" w:eastAsia="宋体" w:cs="Times New Roman"/>
          <w:b w:val="0"/>
          <w:color w:val="000000"/>
          <w:sz w:val="24"/>
        </w:rPr>
        <w:t>数据中心冷却综述分别讨论热排散、余热回收和自然冷却条件</w:t>
      </w:r>
      <w:r>
        <w:rPr>
          <w:rFonts w:ascii="Times New Roman" w:hAnsi="Times New Roman" w:eastAsia="宋体" w:cs="Times New Roman"/>
          <w:b w:val="0"/>
          <w:color w:val="000000"/>
          <w:sz w:val="24"/>
          <w:vertAlign w:val="superscript"/>
        </w:rPr>
        <w:t>[47-49]</w:t>
      </w:r>
      <w:r>
        <w:rPr>
          <w:rFonts w:ascii="宋体" w:hAnsi="宋体" w:eastAsia="宋体" w:cs="Times New Roman"/>
          <w:b w:val="0"/>
          <w:color w:val="000000"/>
          <w:sz w:val="24"/>
        </w:rPr>
        <w:t>，相变冷却与综合技术综述进一步梳理设备架构和适用工况</w:t>
      </w:r>
      <w:r>
        <w:rPr>
          <w:rFonts w:ascii="Times New Roman" w:hAnsi="Times New Roman" w:eastAsia="宋体" w:cs="Times New Roman"/>
          <w:b w:val="0"/>
          <w:color w:val="000000"/>
          <w:sz w:val="24"/>
          <w:vertAlign w:val="superscript"/>
        </w:rPr>
        <w:t>[50,51]</w:t>
      </w:r>
      <w:r>
        <w:rPr>
          <w:rFonts w:ascii="宋体" w:hAnsi="宋体" w:eastAsia="宋体" w:cs="Times New Roman"/>
          <w:b w:val="0"/>
          <w:color w:val="000000"/>
          <w:sz w:val="24"/>
        </w:rPr>
        <w:t>，液冷研究指出其系统集成方面的挑战</w:t>
      </w:r>
      <w:r>
        <w:rPr>
          <w:rFonts w:ascii="Times New Roman" w:hAnsi="Times New Roman" w:eastAsia="宋体" w:cs="Times New Roman"/>
          <w:b w:val="0"/>
          <w:color w:val="000000"/>
          <w:sz w:val="24"/>
          <w:vertAlign w:val="superscript"/>
        </w:rPr>
        <w:t>[52]</w:t>
      </w:r>
      <w:r>
        <w:rPr>
          <w:rFonts w:ascii="Times New Roman" w:hAnsi="Times New Roman" w:eastAsia="宋体" w:cs="Times New Roman"/>
          <w:b w:val="0"/>
          <w:color w:val="000000"/>
          <w:sz w:val="24"/>
        </w:rPr>
        <w:t>。本研究区分服务器侧热捕集与设施侧末端排热：空气、direct-to-chip和浸没式液冷描述前者，干式、湿式与干湿混合描述后者。现场耗水由两层架构及运行条件共同决定。</w:t>
      </w:r>
    </w:p>
    <w:p w14:paraId="156D1049">
      <w:pPr>
        <w:spacing w:before="0" w:after="0" w:line="360" w:lineRule="auto"/>
        <w:ind w:firstLine="420"/>
      </w:pPr>
      <w:r>
        <w:rPr>
          <w:rFonts w:ascii="Times New Roman" w:hAnsi="Times New Roman" w:eastAsia="宋体"/>
          <w:sz w:val="24"/>
        </w:rPr>
        <w:t>再生水用于循环冷却时，腐蚀控制[53,54]、结垢抑制[55]和生物生长控制[56]影响可采用的浓缩倍数及运行条件，反渗透深度处理研究为水质改善提供了工程参照[57]。这些工程关系将用于建立水质，排污，补水接口，并分析污水源量、既有用户和再生水输配能力对实际供给的共同约束。</w:t>
      </w:r>
    </w:p>
    <w:p w14:paraId="16A2980F">
      <w:pPr>
        <w:pStyle w:val="23"/>
        <w:pageBreakBefore w:val="0"/>
        <w:ind w:firstLine="0" w:firstLineChars="0"/>
        <w:outlineLvl w:val="2"/>
      </w:pPr>
      <w:bookmarkStart w:id="14" w:name="_Toc9243"/>
      <w:r>
        <w:rPr>
          <w:rFonts w:ascii="Times New Roman" w:hAnsi="Times New Roman" w:eastAsia="黑体" w:cs="Times New Roman"/>
          <w:b/>
          <w:color w:val="000000"/>
          <w:sz w:val="24"/>
        </w:rPr>
        <w:t>2.1.5 可靠性与不确定性决策方法</w:t>
      </w:r>
      <w:bookmarkEnd w:id="14"/>
    </w:p>
    <w:p w14:paraId="2D0A84C4">
      <w:pPr>
        <w:spacing w:before="0" w:after="0" w:line="360" w:lineRule="auto"/>
        <w:ind w:firstLine="420"/>
      </w:pPr>
      <w:r>
        <w:rPr>
          <w:rFonts w:ascii="Times New Roman" w:hAnsi="Times New Roman" w:eastAsia="宋体"/>
          <w:sz w:val="24"/>
        </w:rPr>
        <w:t>可靠性，恢复性，脆弱性框架将水系统绩效分为服务满足频率、恢复速度和失效后果[58]。面向干旱与气候不确定性的稳健供水优化和政策评估，强调在多个未来条件下比较方案表现[59,60]；动态适应路径方法通过状态变化安排决策时序[61,62]，并已应用于综合城市污水系统规划[63]。这些研究为结果的情景解释提供参照。NSGA-II是多目标方案比较的代表方法[64]，本论文将核心实验放在容量边界和瓶颈机制，后续决策扩展留待后续工作。</w:t>
      </w:r>
    </w:p>
    <w:p w14:paraId="1B245A3B">
      <w:pPr>
        <w:pStyle w:val="22"/>
        <w:pageBreakBefore w:val="0"/>
        <w:ind w:firstLine="0" w:firstLineChars="0"/>
        <w:outlineLvl w:val="1"/>
      </w:pPr>
      <w:bookmarkStart w:id="15" w:name="_Toc14570"/>
      <w:r>
        <w:rPr>
          <w:rFonts w:ascii="Times New Roman" w:hAnsi="Times New Roman" w:eastAsia="黑体" w:cs="Times New Roman"/>
          <w:b/>
          <w:color w:val="000000"/>
          <w:sz w:val="28"/>
        </w:rPr>
        <w:t>2.2 国内研究现状</w:t>
      </w:r>
      <w:bookmarkEnd w:id="15"/>
    </w:p>
    <w:p w14:paraId="3C45FD8D">
      <w:pPr>
        <w:spacing w:before="0" w:after="0" w:line="360" w:lineRule="auto"/>
        <w:ind w:firstLine="420"/>
      </w:pPr>
      <w:r>
        <w:rPr>
          <w:rFonts w:ascii="宋体" w:hAnsi="宋体" w:eastAsia="宋体" w:cs="Times New Roman"/>
          <w:b w:val="0"/>
          <w:color w:val="000000"/>
          <w:sz w:val="24"/>
        </w:rPr>
        <w:t>国内水资源承载力研究从概念和方法辨析出发</w:t>
      </w:r>
      <w:r>
        <w:rPr>
          <w:rFonts w:ascii="Times New Roman" w:hAnsi="Times New Roman" w:eastAsia="宋体" w:cs="Times New Roman"/>
          <w:b w:val="0"/>
          <w:color w:val="000000"/>
          <w:sz w:val="24"/>
          <w:vertAlign w:val="superscript"/>
        </w:rPr>
        <w:t>[65]</w:t>
      </w:r>
      <w:r>
        <w:rPr>
          <w:rFonts w:ascii="宋体" w:hAnsi="宋体" w:eastAsia="宋体" w:cs="Times New Roman"/>
          <w:b w:val="0"/>
          <w:color w:val="000000"/>
          <w:sz w:val="24"/>
        </w:rPr>
        <w:t>，发展出设计承载容量、系统动力学模拟与综合评价等路线</w:t>
      </w:r>
      <w:r>
        <w:rPr>
          <w:rFonts w:ascii="Times New Roman" w:hAnsi="Times New Roman" w:eastAsia="宋体" w:cs="Times New Roman"/>
          <w:b w:val="0"/>
          <w:color w:val="000000"/>
          <w:sz w:val="24"/>
          <w:vertAlign w:val="superscript"/>
        </w:rPr>
        <w:t>[66]</w:t>
      </w:r>
      <w:r>
        <w:rPr>
          <w:rFonts w:ascii="宋体" w:hAnsi="宋体" w:eastAsia="宋体" w:cs="Times New Roman"/>
          <w:b w:val="0"/>
          <w:color w:val="000000"/>
          <w:sz w:val="24"/>
        </w:rPr>
        <w:t>。义乌和榆林案例以动态模型分析资源供需和城市发展</w:t>
      </w:r>
      <w:r>
        <w:rPr>
          <w:rFonts w:ascii="Times New Roman" w:hAnsi="Times New Roman" w:eastAsia="宋体" w:cs="Times New Roman"/>
          <w:b w:val="0"/>
          <w:color w:val="000000"/>
          <w:sz w:val="24"/>
          <w:vertAlign w:val="superscript"/>
        </w:rPr>
        <w:t>[67,68]</w:t>
      </w:r>
      <w:r>
        <w:rPr>
          <w:rFonts w:ascii="宋体" w:hAnsi="宋体" w:eastAsia="宋体" w:cs="Times New Roman"/>
          <w:b w:val="0"/>
          <w:color w:val="000000"/>
          <w:sz w:val="24"/>
        </w:rPr>
        <w:t>，长春、广州研究将动态模拟与综合评价结合</w:t>
      </w:r>
      <w:r>
        <w:rPr>
          <w:rFonts w:ascii="Times New Roman" w:hAnsi="Times New Roman" w:eastAsia="宋体" w:cs="Times New Roman"/>
          <w:b w:val="0"/>
          <w:color w:val="000000"/>
          <w:sz w:val="24"/>
          <w:vertAlign w:val="superscript"/>
        </w:rPr>
        <w:t>[69,70]</w:t>
      </w:r>
      <w:r>
        <w:rPr>
          <w:rFonts w:ascii="宋体" w:hAnsi="宋体" w:eastAsia="宋体" w:cs="Times New Roman"/>
          <w:b w:val="0"/>
          <w:color w:val="000000"/>
          <w:sz w:val="24"/>
        </w:rPr>
        <w:t>。水环境承载力分区和承载上限检验进一步把污染负荷、区域差异与边界问题纳入分析</w:t>
      </w:r>
      <w:r>
        <w:rPr>
          <w:rFonts w:ascii="Times New Roman" w:hAnsi="Times New Roman" w:eastAsia="宋体" w:cs="Times New Roman"/>
          <w:b w:val="0"/>
          <w:color w:val="000000"/>
          <w:sz w:val="24"/>
          <w:vertAlign w:val="superscript"/>
        </w:rPr>
        <w:t>[71,72]</w:t>
      </w:r>
      <w:r>
        <w:rPr>
          <w:rFonts w:ascii="Times New Roman" w:hAnsi="Times New Roman" w:eastAsia="宋体" w:cs="Times New Roman"/>
          <w:b w:val="0"/>
          <w:color w:val="000000"/>
          <w:sz w:val="24"/>
        </w:rPr>
        <w:t>。这些研究提供了状态变量与情景设计经验，本课题将承载对象具体化为AI IT容量，并连接设施余量与时变服务约束。</w:t>
      </w:r>
    </w:p>
    <w:p w14:paraId="5B49BE0E">
      <w:pPr>
        <w:spacing w:before="0" w:after="0" w:line="360" w:lineRule="auto"/>
        <w:ind w:firstLine="420"/>
      </w:pPr>
      <w:r>
        <w:rPr>
          <w:rFonts w:ascii="Times New Roman" w:hAnsi="Times New Roman" w:eastAsia="宋体"/>
          <w:sz w:val="24"/>
        </w:rPr>
        <w:t>国内相关城市水代谢研究利用生态网络分析联合描述物理水和虚拟水代谢过程[73]，城市代谢视角的水，能综述梳理了资源流之间的耦合[74]。面向未来城市缺水的全球研究提示城市间资源禀赋和需求增长的差异[75]；再生水与污水系统适应路径研究关注不确定未来下的设施决策[76]。本课题以参数范围校核和外部城市公开资料的方向性锚定检验AI负荷引起的结构响应，而不以城市排名替代机制分析。</w:t>
      </w:r>
    </w:p>
    <w:p w14:paraId="2024C0AD">
      <w:pPr>
        <w:spacing w:before="0" w:after="0" w:line="360" w:lineRule="auto"/>
        <w:ind w:firstLine="420"/>
      </w:pPr>
      <w:r>
        <w:rPr>
          <w:rFonts w:ascii="宋体" w:hAnsi="宋体"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宋体" w:hAnsi="宋体"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宋体" w:hAnsi="宋体"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宋体" w:hAnsi="宋体"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62122578">
      <w:pPr>
        <w:spacing w:before="0" w:after="0" w:line="360" w:lineRule="auto"/>
        <w:ind w:firstLine="420"/>
      </w:pPr>
      <w:r>
        <w:rPr>
          <w:rFonts w:ascii="Times New Roman" w:hAnsi="Times New Roman"/>
          <w:sz w:val="24"/>
        </w:rPr>
        <w:t>本文关注的缺口可以转化为三个可检验命题。其一，当AI负荷占城市基准供水或关键设施剩余能力达到某一相对区间时，路径比例和淡水依赖率是否发生超出线性放大的持续变化；其二，在年总量相同的情形下，负荷时序、湿球温度和传统需求峰值是否造成显著的CAWCC提前；其三，再生水供给、给水扩容或冷却替换是否会使主导约束发生可识别的迁移。每个命题都由输入、过程指标和边界输出构成完整证据链。</w:t>
      </w:r>
    </w:p>
    <w:p w14:paraId="39638A3E">
      <w:pPr>
        <w:pStyle w:val="22"/>
        <w:pageBreakBefore w:val="0"/>
        <w:ind w:firstLine="0" w:firstLineChars="0"/>
        <w:outlineLvl w:val="1"/>
      </w:pPr>
      <w:bookmarkStart w:id="16" w:name="_Toc15689"/>
      <w:r>
        <w:rPr>
          <w:rFonts w:ascii="Times New Roman" w:hAnsi="Times New Roman" w:eastAsia="黑体" w:cs="Times New Roman"/>
          <w:b/>
          <w:color w:val="000000"/>
          <w:sz w:val="28"/>
        </w:rPr>
        <w:t>2.3 国内外文献综述简析</w:t>
      </w:r>
      <w:bookmarkEnd w:id="16"/>
    </w:p>
    <w:p w14:paraId="75892E0C">
      <w:pPr>
        <w:spacing w:before="0" w:after="0" w:line="360" w:lineRule="auto"/>
        <w:ind w:firstLine="420"/>
      </w:pPr>
      <w:r>
        <w:rPr>
          <w:rFonts w:ascii="Times New Roman" w:hAnsi="Times New Roman"/>
          <w:sz w:val="24"/>
        </w:rPr>
        <w:t>现有研究留下的主要问题是：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2CF41326">
      <w:pPr>
        <w:spacing w:before="0" w:after="0" w:line="360" w:lineRule="auto"/>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的优势是冷却和负荷关系较清晰，城市综合模型的优势是供排水路径与内部循环完整，承载力研究的优势是将资源状态与发展规模连接。研究切入点是把三类知识组织为可检验的因果链：首先以守恒关系确认AI新增用水如何分配为消耗和回流；其次在保持年总量可比的条件下改变负荷时序和气候响应；最后通过逐项解除约束观察边界与瓶颈变化。由此，模型承担统一实验平台的作用，论文的核心产出是结构重构发生的条件、时间尺度差异的控制因素，以及设施干预收益转折的机制解释。</w:t>
      </w:r>
    </w:p>
    <w:p w14:paraId="3F315371">
      <w:pPr>
        <w:pStyle w:val="23"/>
        <w:ind w:firstLine="0" w:firstLineChars="0"/>
        <w:outlineLvl w:val="2"/>
      </w:pPr>
      <w:bookmarkStart w:id="17" w:name="_Toc12090"/>
      <w:r>
        <w:rPr>
          <w:rFonts w:ascii="Times New Roman" w:hAnsi="Times New Roman"/>
          <w:sz w:val="24"/>
        </w:rPr>
        <w:t>2.3.1 现有研究的互补性与断裂</w:t>
      </w:r>
      <w:bookmarkEnd w:id="17"/>
    </w:p>
    <w:p w14:paraId="2A25B4F8">
      <w:pPr>
        <w:pStyle w:val="23"/>
        <w:ind w:firstLine="0" w:firstLineChars="0"/>
        <w:outlineLvl w:val="2"/>
      </w:pPr>
      <w:bookmarkStart w:id="18" w:name="_Toc17899"/>
      <w:r>
        <w:rPr>
          <w:rFonts w:ascii="Times New Roman" w:hAnsi="Times New Roman"/>
          <w:sz w:val="24"/>
        </w:rPr>
        <w:t>2.3.2 本研究的切入点</w:t>
      </w:r>
      <w:bookmarkEnd w:id="18"/>
    </w:p>
    <w:p w14:paraId="6C10DEB2">
      <w:pPr>
        <w:spacing w:before="0" w:after="0" w:line="360" w:lineRule="auto"/>
        <w:ind w:firstLine="420"/>
      </w:pPr>
      <w:r>
        <w:rPr>
          <w:rFonts w:ascii="Times New Roman" w:hAnsi="Times New Roman"/>
          <w:sz w:val="24"/>
        </w:rPr>
        <w:t>从研究对象看，数据中心研究擅长描述IT负荷、PUE、冷却和设施水耗，城市水系统研究擅长描述供水、用水、污水、再生水和环境排放，水资源承载力研究擅长把资源状态与发展规模联系起来。三类研究形成了互补基础，但尚未形成一个能够用同一组状态变量和守恒关系进行连续实验的共同接口。现有设施模型通常把水源质量和城市管网能力外置为给定条件，城市水模型则通常把高密度计算负荷简化为一般工业用户，承载力模型又较少刻画小时级连续负荷和冷却技术的热—水转换。</w:t>
      </w:r>
    </w:p>
    <w:p w14:paraId="1C3D3587">
      <w:pPr>
        <w:pStyle w:val="23"/>
        <w:ind w:firstLine="0" w:firstLineChars="0"/>
        <w:outlineLvl w:val="2"/>
      </w:pPr>
      <w:bookmarkStart w:id="19" w:name="_Toc16188"/>
      <w:r>
        <w:rPr>
          <w:rFonts w:ascii="Times New Roman" w:hAnsi="Times New Roman"/>
          <w:sz w:val="24"/>
        </w:rPr>
        <w:t>2.3.3 可检验的科学缺口</w:t>
      </w:r>
      <w:bookmarkEnd w:id="19"/>
    </w:p>
    <w:p w14:paraId="5DC02D62">
      <w:pPr>
        <w:spacing w:before="0" w:after="0" w:line="360" w:lineRule="auto"/>
        <w:ind w:firstLine="420"/>
      </w:pPr>
      <w:r>
        <w:rPr>
          <w:rFonts w:ascii="Times New Roman" w:hAnsi="Times New Roman"/>
          <w:sz w:val="24"/>
        </w:rPr>
        <w:t>本研究把“AI IT容量”定义为外生规模变量，把水源、给水、污水、再生水、储存、输配和服务优先级定义为参数化系统状态，把冷却架构和气候条件定义为过程参数，把CAWCC及其主导瓶颈定义为系统输出。这样，研究不需要把某一座城市的全部复杂性都复制进模型，而是可以在可解释的参数域内连续改变一个因素、保持其他因素不变，识别结构重构和瓶颈迁移的必要条件。</w:t>
      </w:r>
    </w:p>
    <w:p w14:paraId="2E8E3F48">
      <w:pPr>
        <w:pStyle w:val="21"/>
        <w:pageBreakBefore/>
        <w:ind w:firstLine="0" w:firstLineChars="0"/>
        <w:outlineLvl w:val="0"/>
      </w:pPr>
      <w:bookmarkStart w:id="20" w:name="_Toc21069"/>
      <w:r>
        <w:rPr>
          <w:rFonts w:ascii="Times New Roman" w:hAnsi="Times New Roman" w:eastAsia="黑体" w:cs="Times New Roman"/>
          <w:b/>
          <w:color w:val="000000"/>
          <w:sz w:val="30"/>
        </w:rPr>
        <w:t>3 主要内容及方案</w:t>
      </w:r>
      <w:bookmarkEnd w:id="20"/>
    </w:p>
    <w:p w14:paraId="4ADB3769">
      <w:pPr>
        <w:pStyle w:val="22"/>
        <w:pageBreakBefore w:val="0"/>
        <w:ind w:firstLine="0" w:firstLineChars="0"/>
        <w:outlineLvl w:val="1"/>
      </w:pPr>
      <w:bookmarkStart w:id="21" w:name="_Toc13950"/>
      <w:r>
        <w:rPr>
          <w:rFonts w:ascii="Times New Roman" w:hAnsi="Times New Roman" w:eastAsia="黑体" w:cs="Times New Roman"/>
          <w:b/>
          <w:color w:val="000000"/>
          <w:sz w:val="28"/>
        </w:rPr>
        <w:t>3.1 科学问题与研究假设</w:t>
      </w:r>
      <w:bookmarkEnd w:id="21"/>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pPr>
        <w:spacing w:before="0" w:after="0" w:line="360" w:lineRule="auto"/>
        <w:ind w:firstLine="420"/>
      </w:pPr>
      <w:r>
        <w:rPr>
          <w:rFonts w:ascii="Times New Roman" w:hAnsi="Times New Roman" w:eastAsia="宋体"/>
          <w:sz w:val="24"/>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5C92722E">
      <w:pPr>
        <w:spacing w:before="0" w:after="0" w:line="360" w:lineRule="auto"/>
        <w:ind w:firstLine="420"/>
      </w:pPr>
      <w:r>
        <w:rPr>
          <w:rFonts w:ascii="Times New Roman" w:hAnsi="Times New Roman" w:eastAsia="宋体" w:cs="Times New Roman"/>
          <w:b w:val="0"/>
          <w:color w:val="000000"/>
          <w:sz w:val="24"/>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72BBA176">
      <w:pPr>
        <w:spacing w:before="0" w:after="0" w:line="360" w:lineRule="auto"/>
        <w:ind w:firstLine="420"/>
      </w:pPr>
      <w:r>
        <w:rPr>
          <w:rFonts w:ascii="Times New Roman" w:hAnsi="Times New Roman" w:eastAsia="宋体" w:cs="Times New Roman"/>
          <w:b w:val="0"/>
          <w:color w:val="000000"/>
          <w:sz w:val="24"/>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37B163C6">
      <w:r>
        <w:rPr>
          <w:b/>
        </w:rPr>
        <w:t>H1（代谢结构响应假设）：</w:t>
      </w:r>
      <w:r>
        <w:rPr>
          <w:b w:val="0"/>
        </w:rPr>
        <w:t>在城市系统状态、技术架构和供水分配规则保持不变时，低 AI IT 容量区间内，AI 扩张主要表现为取水、耗水、回流和设施负荷的规模增加，水源份额及内部循环结构相对稳定。当 AI IT 容量逐步逼近水源、给水、污水、再生水处理或输配等关键约束时，既定供水分配规则开始受到资源或设施边界限制，实际淡水供给、再生水供给、回流及内部循环比例可能出现持续变化。研究将比较不同供水分配规则下结构变化是否仍然存在，以区分系统约束引起的结构响应与人为水源配置造成的结果。</w:t>
      </w:r>
    </w:p>
    <w:p w14:paraId="66D3EF07">
      <w:r>
        <w:rPr>
          <w:b/>
        </w:rPr>
        <w:t>H2（时间尺度边界假设）：</w:t>
      </w:r>
      <w:r>
        <w:rPr>
          <w:b w:val="0"/>
        </w:rPr>
        <w:t>在保持年总 AI 负荷和年总用水量近似一致的条件下，时间聚合将掩盖 AI 连续负荷、气候敏感冷却需求和城市传统需水峰值的叠加效应，因此预期年均尺度得到的 CAWCC 不低于日尺度结果，日尺度结果不低于极端周小时尺度结果。年均边界与峰值边界的差异主要受 AI 与城市需求峰值重合程度、湿球温度、水源干旱折减和关键设施剩余裕度控制；当储存、干式排热或设施裕度足以削弱峰值约束时，上述时间尺度差异应相应缩小。</w:t>
      </w:r>
    </w:p>
    <w:p w14:paraId="107C75EB">
      <w:r>
        <w:rPr>
          <w:b/>
        </w:rPr>
        <w:t>H3（瓶颈迁移与干预收益假设）：</w:t>
      </w:r>
      <w:r>
        <w:rPr>
          <w:b w:val="0"/>
        </w:rPr>
        <w:t>不同 AI IT 容量和城市系统状态对应不同的主导约束。随着 AI 容量提高，最先达到失效阈值的约束可能在水源、给水处理、局部接入、污水处理、再生水源量、再生水处理与输配以及水质约束之间发生转换。针对当前主导瓶颈实施扩容或技术干预能够提高 CAWCC，但随着其他约束逐步接近失效阈值，单位干预带来的 CAWCC 增量将下降，并可能出现新的主导瓶颈。因此，再生水扩容、给排水设施扩容和冷却技术替换均存在条件化的有效区间和边际收益转折。</w:t>
      </w:r>
    </w:p>
    <w:p w14:paraId="1CF0CDB6">
      <w:pPr>
        <w:pStyle w:val="22"/>
        <w:pageBreakBefore w:val="0"/>
        <w:ind w:firstLine="0" w:firstLineChars="0"/>
        <w:outlineLvl w:val="1"/>
      </w:pPr>
      <w:bookmarkStart w:id="22" w:name="_Toc8815"/>
      <w:r>
        <w:rPr>
          <w:rFonts w:ascii="Times New Roman" w:hAnsi="Times New Roman" w:eastAsia="黑体" w:cs="Times New Roman"/>
          <w:b/>
          <w:color w:val="000000"/>
          <w:sz w:val="28"/>
        </w:rPr>
        <w:t>3.2 研究内容与总体框架</w:t>
      </w:r>
      <w:bookmarkEnd w:id="22"/>
    </w:p>
    <w:p w14:paraId="5BE5642A">
      <w:pPr>
        <w:spacing w:before="0" w:after="0" w:line="360" w:lineRule="auto"/>
        <w:ind w:firstLine="420"/>
      </w:pPr>
      <w:r>
        <w:rPr>
          <w:rFonts w:ascii="宋体" w:hAnsi="宋体" w:eastAsia="宋体"/>
          <w:sz w:val="24"/>
        </w:rPr>
        <w:t>四项研究内容并非四个并列的工程模块：第一项模型建立是统一实验平台，后三项分别承担现象识别、边界解释和干预分析，论文的科学贡献集中在代谢响应、时间尺度边界与瓶颈转换三类认识。</w:t>
      </w:r>
    </w:p>
    <w:p w14:paraId="0712E00A">
      <w:pPr>
        <w:spacing w:before="120" w:after="120" w:line="360" w:lineRule="auto"/>
        <w:ind w:firstLine="420"/>
      </w:pPr>
      <w:r>
        <w:rPr>
          <w:rFonts w:ascii="Times New Roman" w:hAnsi="Times New Roman" w:eastAsia="宋体" w:cs="Times New Roman"/>
          <w:b w:val="0"/>
          <w:color w:val="000000"/>
          <w:sz w:val="24"/>
        </w:rPr>
        <w:t>表3-1 研究内容、核心任务与预期产出</w:t>
      </w:r>
    </w:p>
    <w:tbl>
      <w:tblPr>
        <w:tblStyle w:val="13"/>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8EA782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研究内容</w:t>
            </w:r>
          </w:p>
        </w:tc>
        <w:tc>
          <w:tcPr>
            <w:tcW w:w="2267" w:type="dxa"/>
          </w:tcPr>
          <w:p w14:paraId="46D3E4E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核心任务</w:t>
            </w:r>
          </w:p>
        </w:tc>
        <w:tc>
          <w:tcPr>
            <w:tcW w:w="2267" w:type="dxa"/>
          </w:tcPr>
          <w:p w14:paraId="55C24A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拟回答的问题</w:t>
            </w:r>
          </w:p>
        </w:tc>
        <w:tc>
          <w:tcPr>
            <w:tcW w:w="2270" w:type="dxa"/>
          </w:tcPr>
          <w:p w14:paraId="04952F5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一、耦合模型</w:t>
            </w:r>
          </w:p>
        </w:tc>
        <w:tc>
          <w:tcPr>
            <w:tcW w:w="2267" w:type="dxa"/>
          </w:tcPr>
          <w:p w14:paraId="6CC6CE7C">
            <w:pPr>
              <w:keepNext w:val="0"/>
              <w:spacing w:before="40" w:after="40" w:line="276" w:lineRule="auto"/>
              <w:ind w:left="0" w:right="0" w:firstLine="0"/>
              <w:jc w:val="left"/>
              <w:rPr>
                <w:rFonts w:ascii="Times New Roman" w:hAnsi="Times New Roman" w:eastAsia="宋体"/>
              </w:rPr>
            </w:pPr>
            <w:r>
              <w:rPr>
                <w:rFonts w:ascii="宋体" w:hAnsi="宋体" w:eastAsia="宋体"/>
                <w:sz w:val="21"/>
              </w:rPr>
              <w:t>建立AI节点、城市水循环、水量水质守恒和参数证据库</w:t>
            </w:r>
          </w:p>
        </w:tc>
        <w:tc>
          <w:tcPr>
            <w:tcW w:w="2267" w:type="dxa"/>
          </w:tcPr>
          <w:p w14:paraId="7373FF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AI如何进入城市水流网络</w:t>
            </w:r>
          </w:p>
        </w:tc>
        <w:tc>
          <w:tcPr>
            <w:tcW w:w="2270" w:type="dxa"/>
          </w:tcPr>
          <w:p w14:paraId="471264C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二、代谢响应</w:t>
            </w:r>
          </w:p>
        </w:tc>
        <w:tc>
          <w:tcPr>
            <w:tcW w:w="2267" w:type="dxa"/>
          </w:tcPr>
          <w:p w14:paraId="3030DEF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容量梯度、冷却/水源对照、AI与普通工业对照</w:t>
            </w:r>
          </w:p>
        </w:tc>
        <w:tc>
          <w:tcPr>
            <w:tcW w:w="2267" w:type="dxa"/>
          </w:tcPr>
          <w:p w14:paraId="2253B6B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何时由规模效应转为结构重构</w:t>
            </w:r>
          </w:p>
        </w:tc>
        <w:tc>
          <w:tcPr>
            <w:tcW w:w="2270" w:type="dxa"/>
          </w:tcPr>
          <w:p w14:paraId="434A3E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三、承载边界</w:t>
            </w:r>
          </w:p>
        </w:tc>
        <w:tc>
          <w:tcPr>
            <w:tcW w:w="2267" w:type="dxa"/>
          </w:tcPr>
          <w:p w14:paraId="465881E0">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年均，日，小时、复合气候、CAWCC求解</w:t>
            </w:r>
          </w:p>
        </w:tc>
        <w:tc>
          <w:tcPr>
            <w:tcW w:w="2267" w:type="dxa"/>
          </w:tcPr>
          <w:p w14:paraId="4EC1BE6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平均与峰值边界为何不同</w:t>
            </w:r>
          </w:p>
        </w:tc>
        <w:tc>
          <w:tcPr>
            <w:tcW w:w="2270" w:type="dxa"/>
          </w:tcPr>
          <w:p w14:paraId="02621CA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四、瓶颈与干预</w:t>
            </w:r>
          </w:p>
        </w:tc>
        <w:tc>
          <w:tcPr>
            <w:tcW w:w="2267" w:type="dxa"/>
          </w:tcPr>
          <w:p w14:paraId="6AA3F71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约束转换、再生水边际收益、负担转移</w:t>
            </w:r>
          </w:p>
        </w:tc>
        <w:tc>
          <w:tcPr>
            <w:tcW w:w="2267" w:type="dxa"/>
          </w:tcPr>
          <w:p w14:paraId="26E4A2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什么措施在什么条件下有效</w:t>
            </w:r>
          </w:p>
        </w:tc>
        <w:tc>
          <w:tcPr>
            <w:tcW w:w="2270" w:type="dxa"/>
          </w:tcPr>
          <w:p w14:paraId="380A044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瓶颈图谱和规划建议</w:t>
            </w:r>
          </w:p>
        </w:tc>
      </w:tr>
    </w:tbl>
    <w:p w14:paraId="2C7C8C6C">
      <w:pPr>
        <w:spacing w:before="0" w:after="0" w:line="360" w:lineRule="auto"/>
        <w:ind w:firstLine="420"/>
      </w:pPr>
      <w:r>
        <w:rPr>
          <w:rFonts w:ascii="Times New Roman" w:hAnsi="Times New Roman" w:eastAsia="宋体"/>
          <w:sz w:val="24"/>
        </w:rPr>
        <w:t>研究一：AI，城市水系统耦合机制。明确AI设施在城市水网络中的节点位置、边界和水量水质路径，建立最小闭环并完成验证。该研究解决“AI负荷如何转化为Withdrawal、Consumption和Return Flow”的基础问题，为后续所有边界分析提供统一分母和守恒基础。</w:t>
      </w:r>
    </w:p>
    <w:p w14:paraId="26340C21">
      <w:pPr>
        <w:spacing w:before="0" w:after="0" w:line="360" w:lineRule="auto"/>
        <w:ind w:firstLine="420"/>
      </w:pPr>
      <w:r>
        <w:rPr>
          <w:rFonts w:ascii="Times New Roman" w:hAnsi="Times New Roman" w:eastAsia="宋体" w:cs="Times New Roman"/>
          <w:b w:val="0"/>
          <w:color w:val="000000"/>
          <w:sz w:val="24"/>
        </w:rP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033930A">
      <w:pPr>
        <w:spacing w:before="0" w:after="0" w:line="360" w:lineRule="auto"/>
        <w:ind w:firstLine="420"/>
      </w:pPr>
      <w:r>
        <w:rPr>
          <w:rFonts w:ascii="Times New Roman" w:hAnsi="Times New Roman" w:eastAsia="宋体" w:cs="Times New Roman"/>
          <w:b w:val="0"/>
          <w:color w:val="000000"/>
          <w:sz w:val="24"/>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23B23711">
      <w:pPr>
        <w:spacing w:before="0" w:after="0" w:line="360" w:lineRule="auto"/>
        <w:ind w:firstLine="420"/>
      </w:pPr>
      <w:r>
        <w:rPr>
          <w:rFonts w:ascii="Times New Roman" w:hAnsi="Times New Roman" w:eastAsia="宋体"/>
          <w:sz w:val="24"/>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5E48AD81">
      <w:r>
        <w:t>本研究包含三类互补比较。第一类为纵向容量比较：在同一城市系统状态下连续提高 AI IT 容量，识别代谢结构变化、承载边界及主导瓶颈。第二类为横向系统状态比较：在相同或可比 AI 容量条件下比较不同水资源禀赋、设施裕度、再生水配置和气候压力状态，解释城市条件如何改变 AI 水系统承载能力及瓶颈类型。第三类为反事实干预比较：在同一城市状态和 AI 负荷条件下分别改变给水、污水、再生水处理、输配、储存和冷却条件，比较各类措施对 CAWCC 和峰值风险的影响，并识别边际收益递减与瓶颈迁移。三类比较贯穿实验设计、结果章节与论文结构。</w:t>
      </w:r>
    </w:p>
    <w:p w14:paraId="40D93AA6">
      <w:pPr>
        <w:pStyle w:val="22"/>
        <w:pageBreakBefore w:val="0"/>
        <w:ind w:firstLine="0" w:firstLineChars="0"/>
        <w:outlineLvl w:val="1"/>
      </w:pPr>
      <w:bookmarkStart w:id="23" w:name="_Toc770"/>
      <w:r>
        <w:rPr>
          <w:rFonts w:ascii="Times New Roman" w:hAnsi="Times New Roman" w:eastAsia="黑体" w:cs="Times New Roman"/>
          <w:b/>
          <w:color w:val="000000"/>
          <w:sz w:val="28"/>
        </w:rPr>
        <w:t>3.3 总体技术路线</w:t>
      </w:r>
      <w:bookmarkEnd w:id="23"/>
    </w:p>
    <w:p w14:paraId="3E6BE353">
      <w:r>
        <w:t>总体技术路线按“模型建立—纵向实验—横向实验—干预实验”四个层次组织。总体流程遵循“证据审计与参数字典建立→系统边界及状态变量定义→AI 热—水过程与城市水系统水量闭合→参数空间与典型系统状态生成→纵向与横向实验→多时间尺度 CAWCC 求解→瓶颈识别与结构化干预→敏感性与稳健性检验→机制归纳”的顺序，坚持“先保证物理闭合，再开展机制实验；先识别核心边界，再增加扩展分析”，技术路线图按上述四层结构绘制。</w:t>
      </w:r>
    </w:p>
    <w:p w14:paraId="75A31BB4">
      <w:r>
        <w:t>第一层为模型建立。在证据审计与参数字典基础上定义系统边界与状态变量，耦合 AI 热—水过程与城市供排水系统，完成水量闭合，并通过单元测试、守恒测试和极限行为检验形成可复用的 AI-UWM 模型平台。模型内部保持“过程层—城市系统层—边界分析层”结构：过程层将 AI IT 容量和实际负载转换为水量、水质和时间序列负荷；城市系统层连接外部水源、给水处理、配水、传统用户、AI 节点、污水收集处理、再生水深度处理、储存、输配和最终排放，并在每一时间步执行水量守恒、设施能力和服务优先级约束；边界分析层以城市状态、技术架构、气候压力和管理规则为条件，连续扫描 AI IT 容量，计算代谢结构指标、服务可靠性、剩余裕度和 CAWCC。</w:t>
      </w:r>
    </w:p>
    <w:p w14:paraId="289AF900">
      <w:r>
        <w:t>第二层为纵向容量梯度实验。固定城市系统状态、冷却技术和供水分配规则，仅连续提高 AI IT 容量，依次输出代谢结构指标、CAWCC 与主导瓶颈，回答“同一城市随着 AI 扩张会发生什么”，具体设计见 3.7.1.1。</w:t>
      </w:r>
    </w:p>
    <w:p w14:paraId="7F221557">
      <w:r>
        <w:t>第三层为横向系统状态实验。固定 AI 容量或采用统一容量梯度，在 S0 均衡基准、S1 水源充足—给水处理受限、S2 淡水受限—再生水较强、S3 总量充足—局部输配受限四类结构状态与 G0—G3 外部压力情景的组合之间比较 CAWCC、淡水依赖、峰值风险和瓶颈类型，回答“为什么不同城市系统状态的结果不同”，状态与情景矩阵见 3.15。</w:t>
      </w:r>
    </w:p>
    <w:p w14:paraId="5D20E77B">
      <w:r>
        <w:t>第四层为干预实验。在已识别瓶颈的代表性状态上，以绝对物理增量对给水、污水、再生水处理与输配、储存和冷却条件实施逐项干预，重新计算 CAWCC，得到物理边际收益、干预有效区间与瓶颈迁移路径，回答“出现问题后应该优先改哪里”，设计见 3.16。各层结果统一进入敏感性、不确定性与稳健性检验，全过程保留输入参数、模型版本、随机种子、约束状态和输出指标，使“研究问题—模型过程—模拟实验—边界结果—机制解释”之间形成可追溯的证据链。</w:t>
      </w:r>
    </w:p>
    <w:p w14:paraId="21C6A845">
      <w:pPr>
        <w:pStyle w:val="22"/>
        <w:pageBreakBefore w:val="0"/>
        <w:ind w:firstLine="0" w:firstLineChars="0"/>
        <w:outlineLvl w:val="1"/>
      </w:pPr>
      <w:bookmarkStart w:id="24" w:name="_Toc27201"/>
      <w:r>
        <w:rPr>
          <w:rFonts w:ascii="Times New Roman" w:hAnsi="Times New Roman" w:eastAsia="黑体" w:cs="Times New Roman"/>
          <w:b/>
          <w:color w:val="000000"/>
          <w:sz w:val="28"/>
        </w:rPr>
        <w:t>3.4 城市水系统边界与守恒关系</w:t>
      </w:r>
      <w:bookmarkEnd w:id="24"/>
    </w:p>
    <w:p w14:paraId="0C71D5C1">
      <w:pPr>
        <w:spacing w:before="0" w:after="0" w:line="360" w:lineRule="auto"/>
        <w:ind w:firstLine="420"/>
      </w:pPr>
      <w:r>
        <w:rPr>
          <w:rFonts w:ascii="Times New Roman" w:hAnsi="Times New Roman" w:eastAsia="宋体" w:cs="Times New Roman"/>
          <w:b w:val="0"/>
          <w:color w:val="000000"/>
          <w:sz w:val="24"/>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236B1900">
      <w:pPr>
        <w:pStyle w:val="22"/>
        <w:pageBreakBefore w:val="0"/>
        <w:ind w:firstLine="0" w:firstLineChars="0"/>
        <w:outlineLvl w:val="1"/>
      </w:pPr>
      <w:bookmarkStart w:id="25" w:name="_Toc30475"/>
      <w:r>
        <w:rPr>
          <w:rFonts w:ascii="Times New Roman" w:hAnsi="Times New Roman" w:eastAsia="黑体" w:cs="Times New Roman"/>
          <w:b/>
          <w:color w:val="000000"/>
          <w:sz w:val="28"/>
        </w:rPr>
        <w:t>3.5 AI设施过程模型</w:t>
      </w:r>
      <w:bookmarkEnd w:id="25"/>
    </w:p>
    <w:p w14:paraId="0B355A8A">
      <w:pPr>
        <w:spacing w:before="0" w:after="0" w:line="360" w:lineRule="auto"/>
        <w:ind w:firstLine="420"/>
      </w:pPr>
      <w:r>
        <w:rPr>
          <w:rFonts w:ascii="Times New Roman" w:hAnsi="Times New Roman" w:eastAsia="宋体" w:cs="Times New Roman"/>
          <w:b w:val="0"/>
          <w:color w:val="000000"/>
          <w:sz w:val="24"/>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7B4D0A68">
      <w:pPr>
        <w:spacing w:before="0" w:after="0" w:line="360" w:lineRule="auto"/>
        <w:ind w:firstLine="420"/>
      </w:pPr>
      <w:r>
        <w:rPr>
          <w:rFonts w:ascii="Times New Roman" w:hAnsi="Times New Roman" w:eastAsia="宋体" w:cs="Times New Roman"/>
          <w:b w:val="0"/>
          <w:color w:val="000000"/>
          <w:sz w:val="24"/>
        </w:rP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4B0C4CA1">
      <w:pPr>
        <w:pStyle w:val="22"/>
        <w:pageBreakBefore w:val="0"/>
        <w:ind w:firstLine="0" w:firstLineChars="0"/>
        <w:outlineLvl w:val="1"/>
      </w:pPr>
      <w:bookmarkStart w:id="26" w:name="_Toc12490"/>
      <w:r>
        <w:rPr>
          <w:rFonts w:ascii="Times New Roman" w:hAnsi="Times New Roman" w:eastAsia="黑体" w:cs="Times New Roman"/>
          <w:b/>
          <w:color w:val="000000"/>
          <w:sz w:val="28"/>
        </w:rPr>
        <w:t>3.6 水源、再生水与分配机制</w:t>
      </w:r>
      <w:bookmarkEnd w:id="26"/>
    </w:p>
    <w:p w14:paraId="7059D83B">
      <w:r>
        <w:t>AI 目标再生水份额只是配置意图，实际可供量受污水源量、深度处理能力、再生水储量、输配能力和既有用户需求共同决定。满足居民基本服务和关键公共服务后，剩余可供水量按情景规则分配给其他用户与 AI。模型分别记录目标再生水份额、实际再生水供应、淡水补足量和未满足需求，防止用“目标比例”替代真实供水。</w:t>
      </w:r>
    </w:p>
    <w:p w14:paraId="72BCF8ED">
      <w:r>
        <w:t>给水处理、排水服务和接入能力的参数将结合当地设施资料，并参照供排水设计标准明确工程口径[78,79]；数据中心 WUE 按照水资源使用效率标准统一统计边界[77]。</w:t>
      </w:r>
    </w:p>
    <w:p w14:paraId="72DB9575">
      <w:pPr>
        <w:pStyle w:val="23"/>
      </w:pPr>
      <w:r>
        <w:t>3.6.1 实际可供水量计算</w:t>
      </w:r>
    </w:p>
    <w:p w14:paraId="674AE526">
      <w:r>
        <w:t>AI 可获得的再生水不直接等于规划目标再生水比例，而由污水可回收源量、再生水深度处理能力、储存能力、输配能力及既有再生水用户需求共同决定。定义时刻 t 的最大可供再生水量为：</w:t>
      </w:r>
    </w:p>
    <w:p w14:paraId="393D07F6">
      <w:r>
        <w:t>W_source^rem(t) = W_source^total(t) − W_source^existing(t)</w:t>
      </w:r>
    </w:p>
    <w:p w14:paraId="7F0C6C06">
      <w:r>
        <w:t>K_treat^rem(t) = K_treat^total(t) − L_treat^existing(t)</w:t>
      </w:r>
    </w:p>
    <w:p w14:paraId="092C3A6C">
      <w:r>
        <w:t>K_transfer^rem(t) = K_transfer^total(t) − L_transfer^existing(t)</w:t>
      </w:r>
    </w:p>
    <w:p w14:paraId="4F863C84">
      <w:r>
        <w:t>W_r^avail(t) = max( 0, min( W_source^rem(t), K_treat^rem(t), K_transfer^rem(t), K_storage^avail(t) ) )</w:t>
      </w:r>
    </w:p>
    <w:p w14:paraId="11C9DC5B">
      <w:r>
        <w:t>其中 W_source^total(t) 为可进入再生水系统的有效污水源量，W_source^existing(t) 为既有用户已占用的源量；K_treat^total(t)、K_transfer^total(t) 分别为再生水处理与输配总能力，L_treat^existing(t)、L_transfer^existing(t) 为既有用户占用的相应负荷；K_storage^avail(t) 为可调用储量。由此，AI 能获得的再生水量由整条再生水链条中剩余能力最小的环节决定，与 3.8 的主导瓶颈逻辑保持一致。淡水可供量在满足居民基本生活、关键公共服务和其他不可削减需求后计算：</w:t>
      </w:r>
    </w:p>
    <w:p w14:paraId="2E0ECC6E">
      <w:r>
        <w:t>W_f^avail(t) = W_f^total(t) − W_basic(t) − W_priority(t)</w:t>
      </w:r>
    </w:p>
    <w:p w14:paraId="7856E001">
      <w:r>
        <w:t>其中 W_f^total(t) 为情景总淡水可供量，W_basic(t) 为居民基本生活需水，W_priority(t) 为关键公共服务和其他不可削减需求。因此，AI 实际使用的淡水和再生水不是预先固定的结果，而是在资源与设施约束下按照明确的水源分配规则计算得到的模型输出。</w:t>
      </w:r>
    </w:p>
    <w:p w14:paraId="512B08E6">
      <w:pPr>
        <w:pStyle w:val="23"/>
      </w:pPr>
      <w:r>
        <w:t>3.6.2 AI 水源分配规则</w:t>
      </w:r>
    </w:p>
    <w:p w14:paraId="25C2766E">
      <w:r>
        <w:t>供水分配规则决定淡水和再生水在 AI 与既有用户之间的使用次序，直接决定淡水依赖率等结构指标究竟是模型输出还是情景设定。为避免把规则设定的影响误读为系统行为，研究设置三种并列的供水分配情景：P1 再生水优先、P2 目标比例、P3 淡水优先。核心机制分析优先在有政策证据支持的基准规则下进行；若无明确政策证据，则以 P2 目标比例情景作为核心分析情景，P1 再生水优先和 P3 淡水优先作为两端供水分配规则情景，用于检验结构指标、CAWCC 和瓶颈类型对供水政策规则的稳健性。三种情景均以 3.6.1 的可用量计算为基础。</w:t>
      </w:r>
    </w:p>
    <w:p w14:paraId="33E404B7">
      <w:r>
        <w:rPr>
          <w:b/>
        </w:rPr>
        <w:t>P1 再生水优先情景：</w:t>
      </w:r>
      <w:r>
        <w:t>在满足水质和输配条件的前提下，AI 冷却补水优先使用可获得的再生水，不足部分在淡水剩余能力范围内由淡水补足：</w:t>
      </w:r>
    </w:p>
    <w:p w14:paraId="35A6AC5B">
      <w:r>
        <w:t>W_r^AI(t) = min( D_AI(t), W_r^avail(t) )</w:t>
      </w:r>
    </w:p>
    <w:p w14:paraId="1335F7D4">
      <w:r>
        <w:t>D_remain(t) = D_AI(t) − W_r^AI(t)</w:t>
      </w:r>
    </w:p>
    <w:p w14:paraId="1E79F04F">
      <w:r>
        <w:t>W_f^AI(t) = min( D_remain(t), W_f^avail(t) )</w:t>
      </w:r>
    </w:p>
    <w:p w14:paraId="04163E50">
      <w:r>
        <w:t>U_AI(t) = D_AI(t) − W_r^AI(t) − W_f^AI(t)</w:t>
      </w:r>
    </w:p>
    <w:p w14:paraId="04B389FD">
      <w:r>
        <w:t>其中 D_AI(t) 为 AI 时刻 t 的总补水需求，D_remain(t) 为再生水供水后的剩余需求，U_AI(t) 为未满足需求；仅当 U_AI(t) = 0 时 AI 补水需求被完全满足。</w:t>
      </w:r>
    </w:p>
    <w:p w14:paraId="3939366E">
      <w:r>
        <w:rPr>
          <w:b/>
        </w:rPr>
        <w:t>P2 目标比例情景：</w:t>
      </w:r>
      <w:r>
        <w:t>设 AI 规划目标再生水比例为 r_target。该情景用于模拟具有明确再生水利用比例要求的规划政策，目标再生水需求与实际再生水供应分别为：</w:t>
      </w:r>
    </w:p>
    <w:p w14:paraId="7F53905D">
      <w:r>
        <w:t>W_r^target(t) = r_target × D_AI(t)</w:t>
      </w:r>
    </w:p>
    <w:p w14:paraId="7108155C">
      <w:r>
        <w:t>W_r^AI(t) = min( W_r^target(t), W_r^avail(t) )</w:t>
      </w:r>
    </w:p>
    <w:p w14:paraId="39A1321D">
      <w:r>
        <w:t>D_remain(t) = D_AI(t) − W_r^AI(t)</w:t>
      </w:r>
    </w:p>
    <w:p w14:paraId="50CB3EBC">
      <w:r>
        <w:t>W_f^AI(t) = min( D_remain(t), W_f^avail(t) )</w:t>
      </w:r>
    </w:p>
    <w:p w14:paraId="7AA3B09A">
      <w:r>
        <w:t>U_AI(t) = D_AI(t) − W_r^AI(t) − W_f^AI(t)</w:t>
      </w:r>
    </w:p>
    <w:p w14:paraId="5B0D90A2">
      <w:r>
        <w:rPr>
          <w:b/>
        </w:rPr>
        <w:t>P3 淡水优先情景：</w:t>
      </w:r>
      <w:r>
        <w:rPr>
          <w:b w:val="0"/>
        </w:rPr>
        <w:t>在淡水剩余能力范围内优先满足 AI 补水需求，仅当淡水剩余能力不足时调用再生水：</w:t>
      </w:r>
    </w:p>
    <w:p w14:paraId="5890C17A">
      <w:r>
        <w:t>W_f^AI(t) = min( D_AI(t), W_f^avail(t) )</w:t>
      </w:r>
    </w:p>
    <w:p w14:paraId="509FAFEC">
      <w:r>
        <w:t>D_remain(t) = D_AI(t) − W_f^AI(t)</w:t>
      </w:r>
    </w:p>
    <w:p w14:paraId="57113BE9">
      <w:r>
        <w:t>W_r^AI(t) = min( D_remain(t), W_r^avail(t) )</w:t>
      </w:r>
    </w:p>
    <w:p w14:paraId="0A041F9E">
      <w:r>
        <w:t>U_AI(t) = D_AI(t) − W_f^AI(t) − W_r^AI(t)</w:t>
      </w:r>
    </w:p>
    <w:p w14:paraId="2CA4D009">
      <w:r>
        <w:t>在三种供水分配情景下，若淡水和再生水可用量之和仍不能满足 AI 补水需求，则 U_AI(t) &gt; 0，该状态作为 CAWCC 约束集合中的“AI 供水满足约束”之一；CAWCC 的最终判定仍按照 3.8 所定义的完整约束集合进行，即当水源、给水、局部接入、污水、再生水、水质、AI 供水满足或基本服务等任一核心约束首次失效时，即达到相应条件下的承载边界。纵向容量梯度实验在每一分配情景内独立进行；横向比较与干预实验在核心分析情景下进行，并报告 P1、P3 两端供水分配规则下结论的稳健性。</w:t>
      </w:r>
    </w:p>
    <w:p w14:paraId="02B5BD9F">
      <w:pPr>
        <w:pStyle w:val="22"/>
        <w:pageBreakBefore w:val="0"/>
        <w:ind w:firstLine="0" w:firstLineChars="0"/>
        <w:outlineLvl w:val="1"/>
      </w:pPr>
      <w:bookmarkStart w:id="27" w:name="_Toc11300"/>
      <w:r>
        <w:rPr>
          <w:rFonts w:ascii="Times New Roman" w:hAnsi="Times New Roman" w:eastAsia="黑体" w:cs="Times New Roman"/>
          <w:b/>
          <w:color w:val="000000"/>
          <w:sz w:val="28"/>
        </w:rPr>
        <w:t>3.7 代谢指标与对照设计</w:t>
      </w:r>
      <w:bookmarkEnd w:id="27"/>
    </w:p>
    <w:p w14:paraId="060F00DD">
      <w:pPr>
        <w:spacing w:before="0" w:after="0" w:line="360" w:lineRule="auto"/>
        <w:ind w:firstLine="420"/>
      </w:pPr>
      <w:r>
        <w:rPr>
          <w:rFonts w:ascii="Times New Roman" w:hAnsi="Times New Roman" w:eastAsia="宋体" w:cs="Times New Roman"/>
          <w:b w:val="0"/>
          <w:color w:val="000000"/>
          <w:sz w:val="24"/>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04E37A30">
      <w:pPr>
        <w:pStyle w:val="23"/>
        <w:ind w:firstLine="0" w:firstLineChars="0"/>
        <w:outlineLvl w:val="2"/>
      </w:pPr>
      <w:bookmarkStart w:id="28" w:name="_Toc9600"/>
      <w:r>
        <w:rPr>
          <w:rFonts w:ascii="Times New Roman" w:hAnsi="Times New Roman"/>
        </w:rPr>
        <w:t>3.7.1 实验矩阵与对照设计</w:t>
      </w:r>
      <w:bookmarkEnd w:id="28"/>
    </w:p>
    <w:p w14:paraId="46EC1A6D">
      <w:r>
        <w:t>实验体系分为纵向容量梯度实验、横向系统状态实验和控制对照实验三类，共同遵循“每一步只改变一个目标条件”的对照原则；技术干预实验作为第三类反事实比较，其具体设计在 3.16 中展开。</w:t>
      </w:r>
    </w:p>
    <w:p w14:paraId="0801EC38">
      <w:r>
        <w:rPr>
          <w:b/>
        </w:rPr>
        <w:t>3.7.1.1 纵向容量梯度实验</w:t>
      </w:r>
    </w:p>
    <w:p w14:paraId="381E9BF6">
      <w:r>
        <w:t>纵向容量梯度实验用于回答“同一城市系统随着 AI 扩张会发生什么”。选定城市系统状态后，固定外部水源条件、给水处理能力、污水处理能力、再生水处理能力、再生水输配能力、传统用户需求、服务优先级、气候状态、冷却技术和供水分配规则，仅使 AI IT 容量沿 C_0 = 0, C_1, C_2, …, C_n 逐级增加，逐级计算 AI 取水量、淡水依赖率、再生水利用率、耗水量、回流量、各子系统负荷率、CAWCC 和主导瓶颈。容量扫描先以较粗网格定位变化区间，再在临界区间局部加密。纵向实验主要回答三个问题：AI 扩张是否只表现为水量规模增加；在什么容量区间开始出现水源结构和内部循环变化；哪一个资源或设施约束首先达到失效条件。</w:t>
      </w:r>
    </w:p>
    <w:p w14:paraId="1EC8E867">
      <w:r>
        <w:rPr>
          <w:b/>
        </w:rPr>
        <w:t>3.7.1.2 横向城市系统状态实验</w:t>
      </w:r>
    </w:p>
    <w:p w14:paraId="5B35EF99">
      <w:r>
        <w:t>横向系统状态实验用于回答“相同 AI 规模为什么在不同城市系统状态下产生不同的水系统压力和承载边界”。本研究不以真实城市排名为目标，而构造具有明确物理含义的参数化城市状态，并按两层组织：城市系统结构状态 S（S0—S3，表3-4）刻画水源、给水、污水、再生水与局部输配的相对余量；外部压力情景 G（G0—G3，表3-5）刻画高温、干旱与需求峰值等外部条件，可叠加到任一结构状态上。沿 AI 容量增加方向的比较属于纵向比较，相同 AI 压力下跨结构状态的比较属于横向比较，两者在技术路线与结果章节中始终分开报告。</w:t>
      </w:r>
    </w:p>
    <w:p w14:paraId="3503434A">
      <w:r>
        <w:rPr>
          <w:b/>
        </w:rPr>
        <w:t>S0 均衡基准型：</w:t>
      </w:r>
      <w:r>
        <w:t>各环节均具有中等余量，作为全部横向比较的统一基准。</w:t>
      </w:r>
    </w:p>
    <w:p w14:paraId="4BDCEDB8">
      <w:r>
        <w:rPr>
          <w:b/>
        </w:rPr>
        <w:t>S1 水源充足—给水处理受限型：</w:t>
      </w:r>
      <w:r>
        <w:t>外部水源余量较高，给水处理余量较低，污水、再生水与局部输配余量中等。主要检验资源有水但水厂处理不过来时，AI 是否较早达到承载边界。</w:t>
      </w:r>
    </w:p>
    <w:p w14:paraId="3C96B24D">
      <w:r>
        <w:rPr>
          <w:b/>
        </w:rPr>
        <w:t>S2 淡水受限—再生水较强型：</w:t>
      </w:r>
      <w:r>
        <w:t>淡水剩余量较低，再生水源量、处理和输配条件较好。主要检验较强的再生水系统能否降低淡水约束并提高 CAWCC。</w:t>
      </w:r>
    </w:p>
    <w:p w14:paraId="4DA4EFA6">
      <w:r>
        <w:rPr>
          <w:b/>
        </w:rPr>
        <w:t>S3 总量充足—局部输配受限型：</w:t>
      </w:r>
      <w:r>
        <w:t>水源、给水处理、污水和再生水处理余量均较高，局部接入或再生水输配余量较低。主要检验全市有水有厂但园区输送不到位时，局部管网约束是否成为实际主导瓶颈。</w:t>
      </w:r>
    </w:p>
    <w:p w14:paraId="20267C49">
      <w:r>
        <w:t>G0—G3 作为第二层情景叠加到任一结构状态上：G0 常规气候，G1 高温，G2 干旱，G3 高温、干旱叠加城市需求峰值。同一结构状态在不同压力情景下的 CAWCC 差异直接回答“气候压力使承载边界提前多少”，避免把高温干旱误设为与 S1—S3 并列的城市类型。</w:t>
      </w:r>
    </w:p>
    <w:p w14:paraId="47E82D6D">
      <w:r>
        <w:t>横向比较采用“同一参考城市规模”口径：S0—S3 保持相同的传统用户基准需求规模、AI 负荷定义和城市总体量级，通过调整水源可供量、给水/污水处理有效能力、再生水处理与输配能力及局部接入能力，使各系统形成预设的高、中、低相对余量。由于城市规模和传统需求基准一致，可在同一 AI 容量（如 C_AI = 1000 MW）下进行结构状态比较，比较淡水依赖、再生水利用、峰值压力、CAWCC 和主导瓶颈；若后续引入不同规模的城市状态，则改用无量纲 AI 压力 λ_AI = D_AI / W_city,baseline（AI 设计补水需求与城市基准供水规模之比）进行比较，禁止在不同规模状态下直接比较同一 MW 值。</w:t>
      </w:r>
    </w:p>
    <w:p w14:paraId="0A5B419C">
      <w:r>
        <w:rPr>
          <w:b/>
        </w:rPr>
        <w:t>3.7.1.3 控制对照实验</w:t>
      </w:r>
    </w:p>
    <w:p w14:paraId="0B2B7EE1">
      <w:r>
        <w:t>为区分一般高密度工业用水效应与 AI 连续负荷效应，设置两类普通工业冷却对照：第一类保持年度总用水量与 AI 情景接近，比较不同负荷时序造成的峰值压力差异；第二类保持峰值热负荷或局部接入规模接近，比较负荷连续性与气候响应差异。各对照均保持城市水系统状态、水源政策和设施能力一致，不要求单一工业对照同时满足全部等效条件。</w:t>
      </w:r>
    </w:p>
    <w:p w14:paraId="554C6C0F">
      <w:r>
        <w:t>多时间尺度与复合压力实验在相同城市状态和近似相同年度总负荷条件下，分别采用年均、连续日尺度和代表性极端周小时尺度输入；先分别施加高温、干旱水源折减和传统城市需求峰值，再构造保持时间相关关系的组合压力情景，比较各时间尺度下的 CAWCC、峰值设施负荷、失效时长和服务可靠性，计算时间聚合造成的边界提前量。</w:t>
      </w:r>
    </w:p>
    <w:p w14:paraId="2283D0C2">
      <w:pPr>
        <w:pStyle w:val="23"/>
        <w:ind w:firstLine="0" w:firstLineChars="0"/>
        <w:outlineLvl w:val="2"/>
      </w:pPr>
      <w:bookmarkStart w:id="29" w:name="_Toc1952"/>
      <w:r>
        <w:rPr>
          <w:rFonts w:ascii="Times New Roman" w:hAnsi="Times New Roman"/>
        </w:rPr>
        <w:t>3.7.2 输出指标与统计分析</w:t>
      </w:r>
      <w:bookmarkEnd w:id="29"/>
    </w:p>
    <w:p w14:paraId="1DD75889">
      <w:r>
        <w:t>模型输出分为规模指标、结构指标、承载指标和证据指标四类。规模指标包括城市总取水、AI 边际取水、不可恢复耗水、回流量、污水处理量和再生水供给量；结构指标包括水源份额、淡水依赖率、再生水实际供应份额、消耗率、回流率和内部循环率；承载指标包括 CAWCC、各子系统归一化剩余裕度、首次失效容量、最终失效容量、失效持续时间、恢复时间和时间尺度边界提前量；证据指标包括敏感性排序、不确定性区间以及替代压力剖面和替代结构规则下的方向稳定比例。</w:t>
      </w:r>
    </w:p>
    <w:p w14:paraId="4EE465D9">
      <w:r>
        <w:t>为使水源结构指标可解释、可比较，正式定义 AI 淡水依赖率与再生水实际利用率：</w:t>
      </w:r>
    </w:p>
    <w:p w14:paraId="384F5BCA">
      <w:r>
        <w:t>FDR = W_f^AI / ( W_f^AI + W_r^AI )</w:t>
      </w:r>
    </w:p>
    <w:p w14:paraId="539C2B99">
      <w:r>
        <w:t>RWR = W_r^AI / ( W_f^AI + W_r^AI )</w:t>
      </w:r>
    </w:p>
    <w:p w14:paraId="6F01AA16">
      <w:r>
        <w:t>FDR + RWR = 1</w:t>
      </w:r>
    </w:p>
    <w:p w14:paraId="7E462859">
      <w:r>
        <w:t>其中 W_f^AI 与 W_r^AI 分别为 AI 获得的淡水补水量与再生水补水量，FDR 表征 AI 补水结构中的淡水依赖程度，不等同于淡水不可恢复消耗比例；AI 的 Consumption 另由蒸发、漂水及其他不可恢复损失账户计算。在结果解释中，淡水依赖率的变化必须结合供水分配规则（3.6.2）和各类水源约束共同解释，不能仅根据 AI 容量变化作因果推断：淡水依赖率下降既可能来自再生水系统的物理充裕，也可能只是再生水优先规则下的必然结果，两类原因必须通过 P1—P3 情景对照加以区分。</w:t>
      </w:r>
    </w:p>
    <w:p w14:paraId="277F74AE">
      <w:r>
        <w:t>为识别“规模增加”和“结构重构”的差异，首先将水源、消耗、回流和内部循环等互斥或可比较路径组成结构指标向量，并计算其相对于低 AI 容量基准状态的结构距离。随后对容量—结构指标曲线实施分段回归或变化点识别，在粗网格发现可能转折后进一步加密容量步长。只有当结构距离及至少一个关键路径比例出现持续变化，并且该变化在替代压力剖面或局部解除单一容量约束后仍能保持时，才将其认定为结构重构。</w:t>
      </w:r>
    </w:p>
    <w:p w14:paraId="176304FB">
      <w:r>
        <w:t>时间尺度效应以</w:t>
      </w:r>
    </w:p>
    <w:p w14:paraId="073160A8">
      <w:r>
        <w:t>ΔC_time = CAWCC_annual − CAWCC_peak</w:t>
      </w:r>
    </w:p>
    <w:p w14:paraId="5BCCFCA3">
      <w:r>
        <w:t>表示，并同时报告其相对于年均 CAWCC 的比例，以避免不同规模系统之间不能直接比较。若可行域存在非单调性，则报告完整可行区间、首次失效容量和最终失效容量，不以单一最大容量代替完整边界信息。</w:t>
      </w:r>
    </w:p>
    <w:p w14:paraId="6274CC47">
      <w:pPr>
        <w:pStyle w:val="22"/>
        <w:pageBreakBefore w:val="0"/>
        <w:ind w:firstLine="0" w:firstLineChars="0"/>
        <w:outlineLvl w:val="1"/>
      </w:pPr>
      <w:bookmarkStart w:id="30" w:name="_Toc1366"/>
      <w:r>
        <w:rPr>
          <w:rFonts w:ascii="Times New Roman" w:hAnsi="Times New Roman" w:eastAsia="黑体" w:cs="Times New Roman"/>
          <w:b/>
          <w:color w:val="000000"/>
          <w:sz w:val="28"/>
        </w:rPr>
        <w:t>3.8 条件化承载边界求解</w:t>
      </w:r>
      <w:bookmarkEnd w:id="30"/>
    </w:p>
    <w:p w14:paraId="35F8724E">
      <w:r>
        <w:t>条件化 AI 水系统承载容量 CAWCC 定义为：在给定城市水系统状态、冷却技术、水源配置、气候压力、服务优先级和风险容忍条件下，同时满足全部核心资源、设施、水质和基本服务约束时可支持的最大 AI IT 容量。设 AI IT 容量为 C，第 j 项约束的状态函数为 g_j(C)，当 g_j(C) ≤ 0 时视为满足该项约束，则：</w:t>
      </w:r>
    </w:p>
    <w:p w14:paraId="7D034558">
      <w:r>
        <w:t>CAWCC = sup { C : g_j(C) ≤ 0, ∀j, R(C) ≥ R_min }</w:t>
      </w:r>
    </w:p>
    <w:p w14:paraId="2454450E">
      <w:r>
        <w:t>其中 R(C) 为基本服务可靠性，R_min 为预先给定的最低服务要求。不同约束的阈值不在模型中任意设定，而应来源于设计能力、工程标准、公开运行资料或明确的情景假设，并在参数证据表中记录其来源和适用条件。</w:t>
      </w:r>
    </w:p>
    <w:p w14:paraId="296662D2">
      <w:r>
        <w:t>求解时首先采用容量网格扫描，记录每一容量水平下各约束的状态及剩余裕度，并检验可行域是否单调。当可行域单调时，在首个失效区间附近缩小容量步长并细化求解；当存在反馈导致的非单调可行域时，不强制使用单一最大值表述，而同时报告全部可行区间、首次失效容量和最终失效容量。所有 CAWCC 结果必须与对应的城市状态、技术架构、水源政策、气候情景、基本服务要求及风险容忍条件同时报告。</w:t>
      </w:r>
    </w:p>
    <w:p w14:paraId="144D3389">
      <w:r>
        <w:t>为使“谁先卡住”成为模型正式输出而非主观判断，对具有明确容量上限的约束 j 定义归一化剩余裕度：</w:t>
      </w:r>
    </w:p>
    <w:p w14:paraId="21412FDA">
      <w:r>
        <w:t>M_j(C) = ( K_j − L_j(C) ) / K_j</w:t>
      </w:r>
    </w:p>
    <w:p w14:paraId="6505A690">
      <w:r>
        <w:t>其中 K_j 为该资源或设施的有效能力，L_j(C) 为 AI IT 容量为 C 时该环节的实际负荷；M_j &gt; 0 表示尚有余量，M_j = 0 表示达到边界，M_j &lt; 0 表示该约束失效。分别求每一约束首次达到边界的临界 AI 容量 C_j*，主导瓶颈即为 argmin_j C_j* 所对应的约束；若两个或多个约束的临界容量差异不超过预设数值容差 δ_C（δ_C 根据边界加密求解的数值分辨率确定，并在模型配置中固定），则记为共同主导瓶颈。例如某系统状态下 C_water* = 1600 MW、C_WTP* = 1200 MW、C_WWTP* = 1800 MW、C_reclaimed* = 1400 MW，则 CAWCC = 1200 MW，主导瓶颈为给水处理能力。</w:t>
      </w:r>
    </w:p>
    <w:p w14:paraId="747F165D">
      <w:r>
        <w:t>表3-2 CAWCC 核心约束及失效判据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B807387">
            <w:r>
              <w:rPr>
                <w:b/>
              </w:rPr>
              <w:t>约束类别</w:t>
            </w:r>
          </w:p>
        </w:tc>
        <w:tc>
          <w:tcPr>
            <w:tcW w:w="3025" w:type="dxa"/>
          </w:tcPr>
          <w:p w14:paraId="39AB786F">
            <w:r>
              <w:rPr>
                <w:b/>
              </w:rPr>
              <w:t>主要状态量</w:t>
            </w:r>
          </w:p>
        </w:tc>
        <w:tc>
          <w:tcPr>
            <w:tcW w:w="3025" w:type="dxa"/>
          </w:tcPr>
          <w:p w14:paraId="673DD415">
            <w:r>
              <w:rPr>
                <w:b/>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70164F5">
            <w:r>
              <w:t>外部水源</w:t>
            </w:r>
          </w:p>
        </w:tc>
        <w:tc>
          <w:tcPr>
            <w:tcW w:w="3025" w:type="dxa"/>
          </w:tcPr>
          <w:p w14:paraId="228BE053">
            <w:r>
              <w:t>总取水需求、可供水量</w:t>
            </w:r>
          </w:p>
        </w:tc>
        <w:tc>
          <w:tcPr>
            <w:tcW w:w="3025" w:type="dxa"/>
          </w:tcPr>
          <w:p w14:paraId="64174A85">
            <w: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303525FB">
            <w:r>
              <w:t>给水处理</w:t>
            </w:r>
          </w:p>
        </w:tc>
        <w:tc>
          <w:tcPr>
            <w:tcW w:w="3025" w:type="dxa"/>
          </w:tcPr>
          <w:p w14:paraId="561891AC">
            <w:r>
              <w:t>日/小时处理负荷</w:t>
            </w:r>
          </w:p>
        </w:tc>
        <w:tc>
          <w:tcPr>
            <w:tcW w:w="3025" w:type="dxa"/>
          </w:tcPr>
          <w:p w14:paraId="76360E7A">
            <w: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34E59AE">
            <w:r>
              <w:t>局部接入</w:t>
            </w:r>
          </w:p>
        </w:tc>
        <w:tc>
          <w:tcPr>
            <w:tcW w:w="3025" w:type="dxa"/>
          </w:tcPr>
          <w:p w14:paraId="5ACD664B">
            <w:r>
              <w:t>AI 峰值供水流量</w:t>
            </w:r>
          </w:p>
        </w:tc>
        <w:tc>
          <w:tcPr>
            <w:tcW w:w="3025" w:type="dxa"/>
          </w:tcPr>
          <w:p w14:paraId="441492AE">
            <w: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39C774E">
            <w:r>
              <w:t>污水处理</w:t>
            </w:r>
          </w:p>
        </w:tc>
        <w:tc>
          <w:tcPr>
            <w:tcW w:w="3025" w:type="dxa"/>
          </w:tcPr>
          <w:p w14:paraId="1EE873D3">
            <w:r>
              <w:t>入厂污水量及峰值</w:t>
            </w:r>
          </w:p>
        </w:tc>
        <w:tc>
          <w:tcPr>
            <w:tcW w:w="3025" w:type="dxa"/>
          </w:tcPr>
          <w:p w14:paraId="0E876AF3">
            <w: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D3101DC">
            <w:r>
              <w:t>再生水源量</w:t>
            </w:r>
          </w:p>
        </w:tc>
        <w:tc>
          <w:tcPr>
            <w:tcW w:w="3025" w:type="dxa"/>
          </w:tcPr>
          <w:p w14:paraId="59A7AAA8">
            <w:r>
              <w:t>可回收污水量</w:t>
            </w:r>
          </w:p>
        </w:tc>
        <w:tc>
          <w:tcPr>
            <w:tcW w:w="3025" w:type="dxa"/>
          </w:tcPr>
          <w:p w14:paraId="62D13FAD">
            <w: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D3CB56E">
            <w:r>
              <w:t>再生水处理</w:t>
            </w:r>
          </w:p>
        </w:tc>
        <w:tc>
          <w:tcPr>
            <w:tcW w:w="3025" w:type="dxa"/>
          </w:tcPr>
          <w:p w14:paraId="7B33008C">
            <w:r>
              <w:t>深度处理负荷</w:t>
            </w:r>
          </w:p>
        </w:tc>
        <w:tc>
          <w:tcPr>
            <w:tcW w:w="3025" w:type="dxa"/>
          </w:tcPr>
          <w:p w14:paraId="222E89C3">
            <w: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A2267C1">
            <w:r>
              <w:t>再生水输配</w:t>
            </w:r>
          </w:p>
        </w:tc>
        <w:tc>
          <w:tcPr>
            <w:tcW w:w="3025" w:type="dxa"/>
          </w:tcPr>
          <w:p w14:paraId="692473B1">
            <w:r>
              <w:t>峰值输送量</w:t>
            </w:r>
          </w:p>
        </w:tc>
        <w:tc>
          <w:tcPr>
            <w:tcW w:w="3025" w:type="dxa"/>
          </w:tcPr>
          <w:p w14:paraId="3D4EB126">
            <w:r>
              <w:t>不超过有效输配能力</w:t>
            </w:r>
          </w:p>
        </w:tc>
      </w:tr>
      <w:tr w14:paraId="2CBA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7FB55AD9">
            <w:r>
              <w:t>水质</w:t>
            </w:r>
          </w:p>
        </w:tc>
        <w:tc>
          <w:tcPr>
            <w:tcW w:w="3025" w:type="dxa"/>
          </w:tcPr>
          <w:p w14:paraId="308C5511">
            <w:r>
              <w:t>TDS、温度及必要水质指标</w:t>
            </w:r>
          </w:p>
        </w:tc>
        <w:tc>
          <w:tcPr>
            <w:tcW w:w="3025" w:type="dxa"/>
          </w:tcPr>
          <w:p w14:paraId="283DF95F">
            <w:r>
              <w:t>不超过对应接纳或回用阈值</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22C0D1A5">
            <w:r>
              <w:t>基本服务</w:t>
            </w:r>
          </w:p>
        </w:tc>
        <w:tc>
          <w:tcPr>
            <w:tcW w:w="3025" w:type="dxa"/>
          </w:tcPr>
          <w:p w14:paraId="60043825">
            <w:r>
              <w:t>居民及关键公共服务满足率</w:t>
            </w:r>
          </w:p>
        </w:tc>
        <w:tc>
          <w:tcPr>
            <w:tcW w:w="3025" w:type="dxa"/>
          </w:tcPr>
          <w:p w14:paraId="46F58E1A">
            <w:r>
              <w:t>不低于预设最低服务要求</w:t>
            </w:r>
          </w:p>
        </w:tc>
      </w:tr>
    </w:tbl>
    <w:p w14:paraId="1C8A141D">
      <w:pPr>
        <w:pStyle w:val="22"/>
        <w:pageBreakBefore w:val="0"/>
        <w:ind w:firstLine="0" w:firstLineChars="0"/>
        <w:outlineLvl w:val="1"/>
      </w:pPr>
      <w:bookmarkStart w:id="31" w:name="_Toc13285"/>
      <w:r>
        <w:rPr>
          <w:rFonts w:ascii="Times New Roman" w:hAnsi="Times New Roman" w:eastAsia="黑体" w:cs="Times New Roman"/>
          <w:b/>
          <w:color w:val="000000"/>
          <w:sz w:val="28"/>
        </w:rPr>
        <w:t>3.9 时间尺度、可靠性与复合压力</w:t>
      </w:r>
      <w:bookmarkEnd w:id="31"/>
    </w:p>
    <w:p w14:paraId="6881E35B">
      <w:pPr>
        <w:spacing w:before="0" w:after="0" w:line="360" w:lineRule="auto"/>
        <w:ind w:firstLine="420"/>
      </w:pPr>
      <w:r>
        <w:rPr>
          <w:rFonts w:ascii="Times New Roman" w:hAnsi="Times New Roman" w:eastAsia="宋体" w:cs="Times New Roman"/>
          <w:b w:val="0"/>
          <w:color w:val="000000"/>
          <w:sz w:val="24"/>
        </w:rPr>
        <w:t>研究将结合CMIP6试验框架和IPCC物理科学评估选择气候情景</w:t>
      </w:r>
      <w:r>
        <w:rPr>
          <w:rFonts w:ascii="Times New Roman" w:hAnsi="Times New Roman" w:eastAsia="宋体" w:cs="Times New Roman"/>
          <w:b w:val="0"/>
          <w:color w:val="000000"/>
          <w:sz w:val="24"/>
          <w:vertAlign w:val="superscript"/>
        </w:rPr>
        <w:t>[80,81]</w:t>
      </w:r>
      <w:r>
        <w:rPr>
          <w:rFonts w:ascii="宋体" w:hAnsi="宋体" w:eastAsia="宋体" w:cs="Times New Roman"/>
          <w:b w:val="0"/>
          <w:color w:val="000000"/>
          <w:sz w:val="24"/>
        </w:rPr>
        <w:t>，依据复合事件研究保留高温、干旱与需求峰值的依赖关系</w:t>
      </w:r>
      <w:r>
        <w:rPr>
          <w:rFonts w:ascii="Times New Roman" w:hAnsi="Times New Roman" w:eastAsia="宋体" w:cs="Times New Roman"/>
          <w:b w:val="0"/>
          <w:color w:val="000000"/>
          <w:sz w:val="24"/>
          <w:vertAlign w:val="superscript"/>
        </w:rPr>
        <w:t>[82]</w:t>
      </w:r>
      <w:r>
        <w:rPr>
          <w:rFonts w:ascii="宋体" w:hAnsi="宋体" w:eastAsia="宋体" w:cs="Times New Roman"/>
          <w:b w:val="0"/>
          <w:color w:val="000000"/>
          <w:sz w:val="24"/>
        </w:rPr>
        <w:t>。年均分析用于获得长期规模关系，日尺度分析用于识别季节和需求峰值，小时校核用于检验极端周内的短时失稳。高温、干旱和传统需求峰值分别构造单因素与组合压力，保留它们的时间相关结构，形成与单因素压力可比较的组合情景。可靠性以基本服务满足的时间比例表示，恢复性关注失效后的恢复速度，脆弱性以缺水量和持续时间刻画。年均边界与峰值边界之差用于量化时间聚合造成的边界提前。</w:t>
      </w:r>
    </w:p>
    <w:p w14:paraId="7723C84D">
      <w:pPr>
        <w:pStyle w:val="22"/>
        <w:pageBreakBefore w:val="0"/>
        <w:ind w:firstLine="0" w:firstLineChars="0"/>
        <w:outlineLvl w:val="1"/>
      </w:pPr>
      <w:bookmarkStart w:id="32" w:name="_Toc13647"/>
      <w:r>
        <w:rPr>
          <w:rFonts w:ascii="Times New Roman" w:hAnsi="Times New Roman" w:eastAsia="黑体" w:cs="Times New Roman"/>
          <w:b/>
          <w:color w:val="000000"/>
          <w:sz w:val="28"/>
        </w:rPr>
        <w:t>3.10 不确定性与敏感性分析</w:t>
      </w:r>
      <w:bookmarkEnd w:id="32"/>
    </w:p>
    <w:p w14:paraId="40E80587">
      <w:r>
        <w:t>不确定性分析重点回答三个问题：哪些参数决定代谢结构转折和 CAWCC，参数之间的相关关系是否改变敏感性排序，以及主要结论在不同参数和压力剖面下是否稳定。负载率、PUE、浓缩倍数 CoC、污水回流率、再生水回收率、关键设施有效能力和必要水质阈值采用有工程依据的区间或条件分布表达；气候压力、水源政策和设施扩容时点采用离散情景集合表达。</w:t>
      </w:r>
    </w:p>
    <w:p w14:paraId="6D92BC47">
      <w:r>
        <w:t>敏感性分析采用两阶段方法。第一阶段对全部候选连续参数实施 Morris 筛选，识别对 C*、CAWCC 和边界提前量影响最大的少数参数，并剔除低影响变量。第二阶段仅针对筛选出的核心参数开展定量归因：当输入参数可以近似视为相互独立时采用 Sobol 方差分解；当核心参数之间存在不可忽略的统计相关关系时采用 Shapley effects。Sobol 和 Shapley 不作为必须同时完成的两套方法，而根据最终参数结构选择其中适用的一种，以保证敏感性分析服务于科学问题而非增加方法复杂度。</w:t>
      </w:r>
    </w:p>
    <w:p w14:paraId="4B9A458F">
      <w:r>
        <w:t>除参数敏感性外，对主要结论至少实施两类结构稳健性检验：一是改变高温、干旱和需求峰值的时间排列或压力剖面；二是替换关键冷却关系或约束优先规则。仅当核心结论在合理扰动下保持方向一致时，才作为论文主要结论。</w:t>
      </w:r>
    </w:p>
    <w:p w14:paraId="69A6066A">
      <w:pPr>
        <w:pStyle w:val="22"/>
        <w:pageBreakBefore w:val="0"/>
        <w:ind w:firstLine="0" w:firstLineChars="0"/>
        <w:outlineLvl w:val="1"/>
      </w:pPr>
      <w:bookmarkStart w:id="33" w:name="_Toc15679"/>
      <w:r>
        <w:rPr>
          <w:rFonts w:ascii="Times New Roman" w:hAnsi="Times New Roman" w:eastAsia="黑体" w:cs="Times New Roman"/>
          <w:b/>
          <w:color w:val="000000"/>
          <w:sz w:val="28"/>
        </w:rPr>
        <w:t>3.11 数据方案与案例策略</w:t>
      </w:r>
      <w:bookmarkEnd w:id="33"/>
    </w:p>
    <w:p w14:paraId="32F780BE">
      <w:r>
        <w:t>表3-3 分层数据方案与证据用途</w:t>
      </w:r>
    </w:p>
    <w:tbl>
      <w:tblPr>
        <w:tblStyle w:val="13"/>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数据层级</w:t>
            </w:r>
          </w:p>
        </w:tc>
        <w:tc>
          <w:tcPr>
            <w:tcW w:w="2267" w:type="dxa"/>
          </w:tcPr>
          <w:p w14:paraId="1E5EE68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数据内容</w:t>
            </w:r>
          </w:p>
        </w:tc>
        <w:tc>
          <w:tcPr>
            <w:tcW w:w="2267" w:type="dxa"/>
          </w:tcPr>
          <w:p w14:paraId="5D8EE9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获取与使用方式</w:t>
            </w:r>
          </w:p>
        </w:tc>
        <w:tc>
          <w:tcPr>
            <w:tcW w:w="2270" w:type="dxa"/>
          </w:tcPr>
          <w:p w14:paraId="5BE705B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44ED5BD1">
            <w:pPr>
              <w:spacing w:line="276" w:lineRule="auto"/>
            </w:pPr>
            <w:r>
              <w:rPr>
                <w:rFonts w:ascii="宋体" w:hAnsi="宋体" w:eastAsia="宋体"/>
                <w:sz w:val="21"/>
              </w:rPr>
              <w:t>参数化系统输入</w:t>
            </w:r>
          </w:p>
        </w:tc>
        <w:tc>
          <w:tcPr>
            <w:tcW w:w="2267" w:type="dxa"/>
          </w:tcPr>
          <w:p w14:paraId="6DAC62C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连续日尺度供水、污水、再生水、气象及设施能力</w:t>
            </w:r>
          </w:p>
        </w:tc>
        <w:tc>
          <w:tcPr>
            <w:tcW w:w="2267" w:type="dxa"/>
          </w:tcPr>
          <w:p w14:paraId="164AA1BF">
            <w:pPr>
              <w:spacing w:line="276" w:lineRule="auto"/>
            </w:pPr>
            <w:r>
              <w:rPr>
                <w:rFonts w:ascii="宋体" w:hAnsi="宋体" w:eastAsia="宋体"/>
                <w:sz w:val="21"/>
              </w:rPr>
              <w:t>公开统计、年报、公开统计、标准和工程文献；用于构造参数域和情景剖面</w:t>
            </w:r>
          </w:p>
        </w:tc>
        <w:tc>
          <w:tcPr>
            <w:tcW w:w="2270" w:type="dxa"/>
          </w:tcPr>
          <w:p w14:paraId="0091C42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约束参数域范围与峰值压力情景</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D486B8C">
            <w:pPr>
              <w:spacing w:line="276" w:lineRule="auto"/>
            </w:pPr>
            <w:r>
              <w:rPr>
                <w:rFonts w:ascii="宋体" w:hAnsi="宋体" w:eastAsia="宋体"/>
                <w:sz w:val="21"/>
              </w:rPr>
              <w:t>参数范围校核</w:t>
            </w:r>
          </w:p>
        </w:tc>
        <w:tc>
          <w:tcPr>
            <w:tcW w:w="2267" w:type="dxa"/>
          </w:tcPr>
          <w:p w14:paraId="77456FA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水资源禀赋、热环境、供排水能力、再生水利用和典型运行指标</w:t>
            </w:r>
          </w:p>
        </w:tc>
        <w:tc>
          <w:tcPr>
            <w:tcW w:w="2267" w:type="dxa"/>
          </w:tcPr>
          <w:p w14:paraId="3B2CCF48">
            <w:pPr>
              <w:spacing w:line="276" w:lineRule="auto"/>
            </w:pPr>
            <w:r>
              <w:rPr>
                <w:rFonts w:ascii="宋体" w:hAnsi="宋体" w:eastAsia="宋体"/>
                <w:sz w:val="21"/>
              </w:rPr>
              <w:t>公开资料和可比统计；用于检验参数范围与机制方向</w:t>
            </w:r>
          </w:p>
        </w:tc>
        <w:tc>
          <w:tcPr>
            <w:tcW w:w="2270" w:type="dxa"/>
          </w:tcPr>
          <w:p w14:paraId="176C408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工程与文献</w:t>
            </w:r>
          </w:p>
        </w:tc>
        <w:tc>
          <w:tcPr>
            <w:tcW w:w="2267" w:type="dxa"/>
          </w:tcPr>
          <w:p w14:paraId="23F154C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冷却架构、PUE、CoC、蒸发排污、水质和处理能耗</w:t>
            </w:r>
          </w:p>
        </w:tc>
        <w:tc>
          <w:tcPr>
            <w:tcW w:w="2267" w:type="dxa"/>
          </w:tcPr>
          <w:p w14:paraId="05CFC2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标准、工程文献、公开Benchmark</w:t>
            </w:r>
          </w:p>
        </w:tc>
        <w:tc>
          <w:tcPr>
            <w:tcW w:w="2270" w:type="dxa"/>
          </w:tcPr>
          <w:p w14:paraId="7188E11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敏感数据</w:t>
            </w:r>
          </w:p>
        </w:tc>
        <w:tc>
          <w:tcPr>
            <w:tcW w:w="2267" w:type="dxa"/>
          </w:tcPr>
          <w:p w14:paraId="7FB0C33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企业逐小时负载、用水、水质和局部接入</w:t>
            </w:r>
          </w:p>
        </w:tc>
        <w:tc>
          <w:tcPr>
            <w:tcW w:w="2267" w:type="dxa"/>
          </w:tcPr>
          <w:p w14:paraId="5155EB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若可获得则用于校核；否则使用区间与替代剖面</w:t>
            </w:r>
          </w:p>
        </w:tc>
        <w:tc>
          <w:tcPr>
            <w:tcW w:w="2270" w:type="dxa"/>
          </w:tcPr>
          <w:p w14:paraId="4183AF9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不作为模型成立的单一前提</w:t>
            </w:r>
          </w:p>
        </w:tc>
      </w:tr>
    </w:tbl>
    <w:p w14:paraId="61C6B685">
      <w:r>
        <w:t>为增强参数化模拟与真实城市系统之间的联系，本研究选取至少一个公开水务资料相对完整的城市作为外部锚定案例。锚定案例不用于反演或宣称该城市的精确 AI 承载容量，而用于检验模型输入和典型情景的量级及方向是否合理。重点核对年度与季节供水规模、供水和污水处理能力、传统用户需水变化、污水回流比例、再生水利用比例以及典型气象条件。若公开资料不足以支持逐小时校准，则保持模型的参数化定位，并明确区分“实测或公开统计参数”“工程文献参数”和“情景假设参数”。跨城市或跨状态结论仅使用无量纲裕度、结构指标和机制方向进行比较，不将参数化系统的绝对 CAWCC 直接解释为某一城市的规划许可容量。</w:t>
      </w:r>
    </w:p>
    <w:p w14:paraId="5DA754DB">
      <w:r>
        <w:t>在上述锚定基础上，本研究采用“真实城市参数锚定 + 参数化城市状态比较”的双轨案例策略。真实城市案例的作用是验证“参数像不像现实”，即对供水规模、给水和污水处理能力、再生水利用比例、传统需求及气象条件进行量级校核；参数化城市状态的作用是回答“什么条件导致什么结果”，即在 S0—S3 结构状态与 G0—G3 压力情景上开展横向比较（3.7.1.2、3.15）。两类案例分工明确、不相互替代：前者保证参数范围的现实合理性，后者支撑机制识别及适用参数域刻画。</w:t>
      </w:r>
    </w:p>
    <w:p w14:paraId="2321CBE0">
      <w:pPr>
        <w:pStyle w:val="22"/>
        <w:pageBreakBefore w:val="0"/>
        <w:ind w:firstLine="0" w:firstLineChars="0"/>
        <w:outlineLvl w:val="1"/>
      </w:pPr>
      <w:bookmarkStart w:id="34" w:name="_Toc9879"/>
      <w:r>
        <w:rPr>
          <w:rFonts w:ascii="Times New Roman" w:hAnsi="Times New Roman" w:eastAsia="黑体" w:cs="Times New Roman"/>
          <w:b/>
          <w:color w:val="000000"/>
          <w:sz w:val="28"/>
        </w:rPr>
        <w:t>3.12 模型验证与证据等级</w:t>
      </w:r>
      <w:bookmarkEnd w:id="34"/>
    </w:p>
    <w:p w14:paraId="6E266394">
      <w:r>
        <w:t>模型验证采用六个层次。第一层为代码和守恒验证，包括单元测试、水量守恒、储量变化、内部回用不重复计量及边界条件测试；第二层为工程过程基准验证，将冷却补水、蒸发、排污及再生水处理等关键过程与标准、工程文献或公开 Benchmark 的合理范围比较；第三层为极限行为检验，包括 AI 容量趋近于零、设施能力极大、水源极度受限以及完全取消湿式排热等边界情景，检查模型响应方向是否符合物理预期；第四层为参数证据审计，对每个重要参数记录来源、年份、适用工况、取值范围和证据等级；第五层为外部锚定检验，将至少一个公开资料较完整城市的供水、污水、再生水和气象统计特征与参数化模型的量级和响应方向进行比较；第六层为结构稳健性检验，通过替换冷却关系、压力剖面和约束优先级判断核心机制结论是否依赖单一模型设定。</w:t>
      </w:r>
    </w:p>
    <w:p w14:paraId="63960D1E">
      <w:r>
        <w:t>研究不以获得特定企业逐小时运行数据作为模型成立的前提，也不以特定城市时间序列拟合精度作为主要评价指标。模型的主要证据目标是证明：物理过程闭合、工程量级合理、边界行为正确、参数来源可追溯，并且代谢结构转折、时间尺度边界提前和瓶颈迁移等主要机制在合理的参数扰动和结构替代下保持稳定。外部城市数据主要用于参数范围和机制方向锚定，不据此宣称模型已经完成针对具体城市的预测性校准。</w:t>
      </w:r>
    </w:p>
    <w:p w14:paraId="344B622B">
      <w:pPr>
        <w:spacing w:before="0" w:after="0" w:line="360" w:lineRule="auto"/>
        <w:ind w:firstLine="420"/>
      </w:pPr>
      <w:r>
        <w:rPr>
          <w:rFonts w:ascii="Times New Roman" w:hAnsi="Times New Roman"/>
          <w:sz w:val="24"/>
        </w:rPr>
        <w:t>对每一个约束记录剩余裕度、首次达到阈值的容量、持续失效时长和恢复条件。若增加某项设施能力后原约束得到缓解但另一约束迅速接近阈值，则识别为瓶颈迁移，而不是简单地报告容量增加。干预实验包括水源扩充、给水处理扩充、污水处理扩充、再生水深度处理、再生水输配、储存、冷却技术替换和负荷时序平滑。以单位干预带来的CAWCC提升和峰值压力下降衡量边际收益，并报告干预可能造成的能耗、成本或水质管理代价。</w:t>
      </w:r>
    </w:p>
    <w:p w14:paraId="0E6BF485">
      <w:pPr>
        <w:pStyle w:val="22"/>
        <w:pageBreakBefore w:val="0"/>
        <w:ind w:firstLine="0" w:firstLineChars="0"/>
        <w:outlineLvl w:val="1"/>
      </w:pPr>
      <w:bookmarkStart w:id="35" w:name="_Toc13835"/>
      <w:r>
        <w:rPr>
          <w:rFonts w:ascii="Times New Roman" w:hAnsi="Times New Roman" w:eastAsia="黑体" w:cs="Times New Roman"/>
          <w:b/>
          <w:color w:val="000000"/>
          <w:sz w:val="28"/>
        </w:rPr>
        <w:t>3.13 研究任务安排与优先级</w:t>
      </w:r>
      <w:bookmarkEnd w:id="35"/>
    </w:p>
    <w:p w14:paraId="027AA04F">
      <w:r>
        <w:t>硕士论文按照“核心闭合—核心实验—扩展分析”三个层级控制研究范围。</w:t>
      </w:r>
    </w:p>
    <w:p w14:paraId="37D835DF">
      <w:r>
        <w:t>第一层为必须完成的核心任务，包括 AI-UWM 水量物理闭合、AI 容量梯度下的代谢响应、年均—日尺度—极端周小时尺度 CAWCC 比较，以及水源—给水—污水—再生水—接入约束之间的主导瓶颈识别与迁移分析。上述任务分别对应模型可信性、H1、H2 和 H3，是论文形成完整科学闭环的最低要求。</w:t>
      </w:r>
    </w:p>
    <w:p w14:paraId="4E1754F5">
      <w:r>
        <w:t>第二层为在核心结果稳定后开展的增强任务，包括再生水扩容边际收益分析以及主要参数的不确定性和敏感性分析。该部分用于提高机制解释和结果稳健性，但不得反向扩大核心模型范围。</w:t>
      </w:r>
    </w:p>
    <w:p w14:paraId="4B64D983">
      <w:r>
        <w:t>第三层为拓展任务，包括完整水质过程、水—能—碳综合比较及成本分析。这些内容不作为硕士论文必须完成的前提，仅在前两层任务已经形成稳定结果且时间与数据条件允许时开展。若拓展任务未完成，不影响论文围绕“代谢结构重构—时间尺度边界—瓶颈迁移”形成完整结论。</w:t>
      </w:r>
    </w:p>
    <w:p w14:paraId="409512A7">
      <w:pPr>
        <w:pStyle w:val="22"/>
        <w:ind w:firstLine="0" w:firstLineChars="0"/>
        <w:outlineLvl w:val="1"/>
      </w:pPr>
      <w:bookmarkStart w:id="36" w:name="_Toc30829"/>
      <w:r>
        <w:rPr>
          <w:rFonts w:ascii="Times New Roman" w:hAnsi="Times New Roman"/>
          <w:sz w:val="24"/>
        </w:rPr>
        <w:t>3.14 参数化输入与非物理组合控制</w:t>
      </w:r>
      <w:bookmarkEnd w:id="36"/>
    </w:p>
    <w:p w14:paraId="3396F9C2">
      <w:pPr>
        <w:spacing w:before="0" w:after="0" w:line="360" w:lineRule="auto"/>
        <w:ind w:firstLine="420"/>
      </w:pPr>
      <w:r>
        <w:rPr>
          <w:rFonts w:ascii="宋体" w:hAnsi="宋体" w:eastAsia="宋体"/>
          <w:sz w:val="24"/>
        </w:rPr>
        <w:t>参数化系统并不等于任意组合参数。研究首先设置硬约束：水源可供量、处理能力、储量和输配能力均为非负，实际再生水供应不超过污水源量、深度处理、储存和输配能力的共同上限，居民基本服务优先于可调度用户，厂内回用不重复计量。其次设置相关结构：高温与冷却需水、干旱与水源折减、负荷率与电耗、浓缩倍数与排污量之间保持工程上合理的方向关系。最后采用分层抽样或空间填充设计生成参数组合，避免由独立随机抽样产生难以解释的“非物理城市”。</w:t>
      </w:r>
    </w:p>
    <w:p w14:paraId="258ED413">
      <w:pPr>
        <w:pStyle w:val="22"/>
        <w:ind w:firstLine="0" w:firstLineChars="0"/>
        <w:outlineLvl w:val="1"/>
      </w:pPr>
      <w:bookmarkStart w:id="37" w:name="_Toc9592"/>
      <w:r>
        <w:rPr>
          <w:rFonts w:ascii="Times New Roman" w:hAnsi="Times New Roman"/>
          <w:sz w:val="24"/>
        </w:rPr>
        <w:t>3.15 典型情景与参数域</w:t>
      </w:r>
      <w:bookmarkEnd w:id="37"/>
    </w:p>
    <w:p w14:paraId="7341C840">
      <w:pPr>
        <w:spacing w:before="0" w:after="0" w:line="360" w:lineRule="auto"/>
        <w:ind w:firstLine="420"/>
      </w:pPr>
      <w:r>
        <w:rPr>
          <w:rFonts w:ascii="宋体" w:hAnsi="宋体" w:eastAsia="宋体"/>
          <w:sz w:val="24"/>
        </w:rPr>
        <w:t>典型情景包括水资源充足但设施余量不足、淡水受限但再生水充足、再生水源量充足但水质受限、污水处理能力不足、给水和局部接入能力不足、高温与干旱复合压力以及居民服务优先级提高等。每类情景均记录参数范围、约束状态和代表性指标，不以单一基准情景替代整个参数域。对于证据不足的参数，采用区间和条件分布，并在结果中报告敏感性排序，避免将假设值误作实测事实。</w:t>
      </w:r>
    </w:p>
    <w:p w14:paraId="21A28A27">
      <w:r>
        <w:t>为使横向实验的参数域可复现、可比较，将上述典型情景整理为两层情景矩阵：城市系统结构状态（表3-4）与外部压力情景（表3-5），共同构成 3.7.1.2 横向实验的对照状态。各余量采用高、中、低三级相对水平表示，不对应具体城市；其数值映射统一采用余量率 Margin = ( Capacity − BaselineLoad ) / Capacity，高、中、低对应的具体区间依据真实城市锚定资料、工程运行范围及文献统计确定，并在参数证据表中明确上下界，开题阶段仅以等级标签表达实验结构、正式模拟前完成数值映射。水质受限、服务优先级变化等其他情景作为补充情景叠加使用。</w:t>
      </w:r>
    </w:p>
    <w:p w14:paraId="56657CBD">
      <w:r>
        <w:t>表3-4 城市系统结构状态（S 层情景）</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00"/>
        <w:gridCol w:w="1280"/>
        <w:gridCol w:w="1280"/>
        <w:gridCol w:w="1280"/>
        <w:gridCol w:w="1280"/>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1E1DAAF5">
            <w:r>
              <w:rPr>
                <w:b/>
              </w:rPr>
              <w:t>结构状态</w:t>
            </w:r>
          </w:p>
        </w:tc>
        <w:tc>
          <w:tcPr>
            <w:tcW w:w="1280" w:type="dxa"/>
          </w:tcPr>
          <w:p w14:paraId="5E0D6468">
            <w:r>
              <w:rPr>
                <w:b/>
              </w:rPr>
              <w:t>水源余量</w:t>
            </w:r>
          </w:p>
        </w:tc>
        <w:tc>
          <w:tcPr>
            <w:tcW w:w="1280" w:type="dxa"/>
          </w:tcPr>
          <w:p w14:paraId="0008019F">
            <w:r>
              <w:rPr>
                <w:b/>
              </w:rPr>
              <w:t>给水余量</w:t>
            </w:r>
          </w:p>
        </w:tc>
        <w:tc>
          <w:tcPr>
            <w:tcW w:w="1280" w:type="dxa"/>
          </w:tcPr>
          <w:p w14:paraId="3C342D4C">
            <w:r>
              <w:rPr>
                <w:b/>
              </w:rPr>
              <w:t>污水余量</w:t>
            </w:r>
          </w:p>
        </w:tc>
        <w:tc>
          <w:tcPr>
            <w:tcW w:w="1280" w:type="dxa"/>
          </w:tcPr>
          <w:p w14:paraId="5E55AF18">
            <w:r>
              <w:rPr>
                <w:b/>
              </w:rPr>
              <w:t>再生水能力</w:t>
            </w:r>
          </w:p>
        </w:tc>
        <w:tc>
          <w:tcPr>
            <w:tcW w:w="1280" w:type="dxa"/>
          </w:tcPr>
          <w:p w14:paraId="0DE2FA4E">
            <w:r>
              <w:rPr>
                <w:b/>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018473D">
            <w:r>
              <w:t>S0 均衡基准型</w:t>
            </w:r>
          </w:p>
        </w:tc>
        <w:tc>
          <w:tcPr>
            <w:tcW w:w="1280" w:type="dxa"/>
          </w:tcPr>
          <w:p w14:paraId="72AE942B">
            <w:r>
              <w:t>中</w:t>
            </w:r>
          </w:p>
        </w:tc>
        <w:tc>
          <w:tcPr>
            <w:tcW w:w="1280" w:type="dxa"/>
          </w:tcPr>
          <w:p w14:paraId="351CD1F9">
            <w:r>
              <w:t>中</w:t>
            </w:r>
          </w:p>
        </w:tc>
        <w:tc>
          <w:tcPr>
            <w:tcW w:w="1280" w:type="dxa"/>
          </w:tcPr>
          <w:p w14:paraId="2B79253C">
            <w:r>
              <w:t>中</w:t>
            </w:r>
          </w:p>
        </w:tc>
        <w:tc>
          <w:tcPr>
            <w:tcW w:w="1280" w:type="dxa"/>
          </w:tcPr>
          <w:p w14:paraId="2A3DA7D8">
            <w:r>
              <w:t>中</w:t>
            </w:r>
          </w:p>
        </w:tc>
        <w:tc>
          <w:tcPr>
            <w:tcW w:w="1280" w:type="dxa"/>
          </w:tcPr>
          <w:p w14:paraId="0CFFD6B6">
            <w: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120AE10">
            <w:r>
              <w:t>S1 水源充足—给水处理受限</w:t>
            </w:r>
          </w:p>
        </w:tc>
        <w:tc>
          <w:tcPr>
            <w:tcW w:w="1280" w:type="dxa"/>
          </w:tcPr>
          <w:p w14:paraId="050E6935">
            <w:r>
              <w:t>高</w:t>
            </w:r>
          </w:p>
        </w:tc>
        <w:tc>
          <w:tcPr>
            <w:tcW w:w="1280" w:type="dxa"/>
          </w:tcPr>
          <w:p w14:paraId="60379ACF">
            <w:r>
              <w:t>低</w:t>
            </w:r>
          </w:p>
        </w:tc>
        <w:tc>
          <w:tcPr>
            <w:tcW w:w="1280" w:type="dxa"/>
          </w:tcPr>
          <w:p w14:paraId="0C3D4A93">
            <w:r>
              <w:t>中</w:t>
            </w:r>
          </w:p>
        </w:tc>
        <w:tc>
          <w:tcPr>
            <w:tcW w:w="1280" w:type="dxa"/>
          </w:tcPr>
          <w:p w14:paraId="6FCEC8F1">
            <w:r>
              <w:t>中</w:t>
            </w:r>
          </w:p>
        </w:tc>
        <w:tc>
          <w:tcPr>
            <w:tcW w:w="1280" w:type="dxa"/>
          </w:tcPr>
          <w:p w14:paraId="3A751E7E">
            <w: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2A08DBE9">
            <w:r>
              <w:t>S2 淡水受限—再生水较强</w:t>
            </w:r>
          </w:p>
        </w:tc>
        <w:tc>
          <w:tcPr>
            <w:tcW w:w="1280" w:type="dxa"/>
          </w:tcPr>
          <w:p w14:paraId="2CABFD42">
            <w:r>
              <w:t>低</w:t>
            </w:r>
          </w:p>
        </w:tc>
        <w:tc>
          <w:tcPr>
            <w:tcW w:w="1280" w:type="dxa"/>
          </w:tcPr>
          <w:p w14:paraId="2DD79D9D">
            <w:r>
              <w:t>中</w:t>
            </w:r>
          </w:p>
        </w:tc>
        <w:tc>
          <w:tcPr>
            <w:tcW w:w="1280" w:type="dxa"/>
          </w:tcPr>
          <w:p w14:paraId="6FDA7F9D">
            <w:r>
              <w:t>高</w:t>
            </w:r>
          </w:p>
        </w:tc>
        <w:tc>
          <w:tcPr>
            <w:tcW w:w="1280" w:type="dxa"/>
          </w:tcPr>
          <w:p w14:paraId="407837E1">
            <w:r>
              <w:t>高</w:t>
            </w:r>
          </w:p>
        </w:tc>
        <w:tc>
          <w:tcPr>
            <w:tcW w:w="1280" w:type="dxa"/>
          </w:tcPr>
          <w:p w14:paraId="4321F78F">
            <w: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3DD4026F">
            <w:r>
              <w:t>S3 总量充足—局部输配受限</w:t>
            </w:r>
          </w:p>
        </w:tc>
        <w:tc>
          <w:tcPr>
            <w:tcW w:w="1280" w:type="dxa"/>
          </w:tcPr>
          <w:p w14:paraId="784ABDBC">
            <w:r>
              <w:t>高</w:t>
            </w:r>
          </w:p>
        </w:tc>
        <w:tc>
          <w:tcPr>
            <w:tcW w:w="1280" w:type="dxa"/>
          </w:tcPr>
          <w:p w14:paraId="226B1517">
            <w:r>
              <w:t>高</w:t>
            </w:r>
          </w:p>
        </w:tc>
        <w:tc>
          <w:tcPr>
            <w:tcW w:w="1280" w:type="dxa"/>
          </w:tcPr>
          <w:p w14:paraId="62AAD06B">
            <w:r>
              <w:t>高</w:t>
            </w:r>
          </w:p>
        </w:tc>
        <w:tc>
          <w:tcPr>
            <w:tcW w:w="1280" w:type="dxa"/>
          </w:tcPr>
          <w:p w14:paraId="4CD60F0B">
            <w:r>
              <w:t>高</w:t>
            </w:r>
          </w:p>
        </w:tc>
        <w:tc>
          <w:tcPr>
            <w:tcW w:w="1280" w:type="dxa"/>
          </w:tcPr>
          <w:p w14:paraId="4000D070">
            <w:r>
              <w:t>低</w:t>
            </w:r>
          </w:p>
        </w:tc>
      </w:tr>
    </w:tbl>
    <w:p w14:paraId="740AA55E">
      <w:r>
        <w:t>表3-5 外部压力情景（G 层情景）</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09BC1AD">
            <w:r>
              <w:rPr>
                <w:b/>
              </w:rPr>
              <w:t>情景</w:t>
            </w:r>
          </w:p>
        </w:tc>
        <w:tc>
          <w:tcPr>
            <w:tcW w:w="2200" w:type="dxa"/>
          </w:tcPr>
          <w:p w14:paraId="740EED2C">
            <w:r>
              <w:rPr>
                <w:b/>
              </w:rPr>
              <w:t>温度</w:t>
            </w:r>
          </w:p>
        </w:tc>
        <w:tc>
          <w:tcPr>
            <w:tcW w:w="2200" w:type="dxa"/>
          </w:tcPr>
          <w:p w14:paraId="1E1ED919">
            <w:r>
              <w:rPr>
                <w:b/>
              </w:rPr>
              <w:t>水源可供量</w:t>
            </w:r>
          </w:p>
        </w:tc>
        <w:tc>
          <w:tcPr>
            <w:tcW w:w="2200" w:type="dxa"/>
          </w:tcPr>
          <w:p w14:paraId="72C6E523">
            <w:r>
              <w:rPr>
                <w:b/>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C6F460D">
            <w:r>
              <w:t>G0 常规</w:t>
            </w:r>
          </w:p>
        </w:tc>
        <w:tc>
          <w:tcPr>
            <w:tcW w:w="2200" w:type="dxa"/>
          </w:tcPr>
          <w:p w14:paraId="75B44C85">
            <w:r>
              <w:t>常规</w:t>
            </w:r>
          </w:p>
        </w:tc>
        <w:tc>
          <w:tcPr>
            <w:tcW w:w="2200" w:type="dxa"/>
          </w:tcPr>
          <w:p w14:paraId="1F0B5486">
            <w:r>
              <w:t>正常</w:t>
            </w:r>
          </w:p>
        </w:tc>
        <w:tc>
          <w:tcPr>
            <w:tcW w:w="2200" w:type="dxa"/>
          </w:tcPr>
          <w:p w14:paraId="249447D0">
            <w: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759B933">
            <w:r>
              <w:t>G1 高温</w:t>
            </w:r>
          </w:p>
        </w:tc>
        <w:tc>
          <w:tcPr>
            <w:tcW w:w="2200" w:type="dxa"/>
          </w:tcPr>
          <w:p w14:paraId="2A7D9FE6">
            <w:r>
              <w:t>高</w:t>
            </w:r>
          </w:p>
        </w:tc>
        <w:tc>
          <w:tcPr>
            <w:tcW w:w="2200" w:type="dxa"/>
          </w:tcPr>
          <w:p w14:paraId="26A0CE77">
            <w:r>
              <w:t>正常</w:t>
            </w:r>
          </w:p>
        </w:tc>
        <w:tc>
          <w:tcPr>
            <w:tcW w:w="2200" w:type="dxa"/>
          </w:tcPr>
          <w:p w14:paraId="683C9340">
            <w: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A13C76E">
            <w:r>
              <w:t>G2 干旱</w:t>
            </w:r>
          </w:p>
        </w:tc>
        <w:tc>
          <w:tcPr>
            <w:tcW w:w="2200" w:type="dxa"/>
          </w:tcPr>
          <w:p w14:paraId="04216D46">
            <w:r>
              <w:t>常规/偏高</w:t>
            </w:r>
          </w:p>
        </w:tc>
        <w:tc>
          <w:tcPr>
            <w:tcW w:w="2200" w:type="dxa"/>
          </w:tcPr>
          <w:p w14:paraId="3BA8677E">
            <w:r>
              <w:t>折减</w:t>
            </w:r>
          </w:p>
        </w:tc>
        <w:tc>
          <w:tcPr>
            <w:tcW w:w="2200" w:type="dxa"/>
          </w:tcPr>
          <w:p w14:paraId="2D4F290F">
            <w: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33A1C1F">
            <w:r>
              <w:t>G3 复合压力</w:t>
            </w:r>
          </w:p>
        </w:tc>
        <w:tc>
          <w:tcPr>
            <w:tcW w:w="2200" w:type="dxa"/>
          </w:tcPr>
          <w:p w14:paraId="5BD32EF9">
            <w:r>
              <w:t>高</w:t>
            </w:r>
          </w:p>
        </w:tc>
        <w:tc>
          <w:tcPr>
            <w:tcW w:w="2200" w:type="dxa"/>
          </w:tcPr>
          <w:p w14:paraId="72F650E4">
            <w:r>
              <w:t>折减</w:t>
            </w:r>
          </w:p>
        </w:tc>
        <w:tc>
          <w:tcPr>
            <w:tcW w:w="2200" w:type="dxa"/>
          </w:tcPr>
          <w:p w14:paraId="31874829">
            <w:r>
              <w:t>峰值</w:t>
            </w:r>
          </w:p>
        </w:tc>
      </w:tr>
    </w:tbl>
    <w:p w14:paraId="56413294">
      <w:pPr>
        <w:pStyle w:val="22"/>
        <w:ind w:firstLine="0" w:firstLineChars="0"/>
        <w:outlineLvl w:val="1"/>
        <w:rPr>
          <w:rFonts w:ascii="Times New Roman" w:hAnsi="Times New Roman"/>
          <w:sz w:val="24"/>
        </w:rPr>
      </w:pPr>
      <w:bookmarkStart w:id="38" w:name="_Toc11885"/>
      <w:r>
        <w:rPr>
          <w:rFonts w:ascii="Times New Roman" w:hAnsi="Times New Roman"/>
          <w:sz w:val="24"/>
        </w:rPr>
        <w:t>3.16 瓶颈识别与干预分析</w:t>
      </w:r>
      <w:bookmarkEnd w:id="38"/>
    </w:p>
    <w:p w14:paraId="30C5AA4B">
      <w:r>
        <w:t>干预比较首先回答“增加某一单位物理能力能够释放多少 AI 承载容量”，而不直接回答投资经济性最优问题。为避免不同设施按百分比扩容缺乏可比性，干预幅度一律采用绝对物理增量（如给水处理能力 +1 万 m³/d）或标准化能力增量表示。实验设计遵循“先找瓶颈、再干预”的顺序，分为三步。</w:t>
      </w:r>
    </w:p>
    <w:p w14:paraId="597AFB64">
      <w:r>
        <w:t>第一步，运行基准情景，得到 CAWCC_0，并按 3.8 的判据确定当前主导瓶颈（例如再生水处理能力）。</w:t>
      </w:r>
    </w:p>
    <w:p w14:paraId="78A05956">
      <w:r>
        <w:t>第二步，仅对当前主导瓶颈实施绝对增量序列（如再生水处理能力 +1、+2、+3 万 m³/d……），每步重新计算 CAWCC，得到物理边际收益：</w:t>
      </w:r>
    </w:p>
    <w:p w14:paraId="5C5743DF">
      <w:r>
        <w:t>MR_i = ΔCAWCC / ΔK_i</w:t>
      </w:r>
    </w:p>
    <w:p w14:paraId="5A5AEA50">
      <w:r>
        <w:t>其中 ΔK_i 为第 i 类设施的绝对能力增量。干预分为两类：A 类为连续设施能力干预，覆盖给水处理、污水处理、再生水深度处理和再生水输配扩容，可直接计算物理边际收益 MR_i，并进一步报告无量纲弹性 E_i = ( ΔCAWCC / CAWCC ) / ( ΔK_i / K_i )，便于不同设施之间横向比较；B 类为技术情景干预，覆盖湿式—干式—混合冷却替换、空气冷却、direct-to-chip、浸没式液冷、储水配置及负荷削峰等离散技术选项，直接报告 ΔCAWCC 与相对变化 ΔCAWCC / CAWCC_0，不与 A 类放入同一边际收益排名。两类干预每次原则上只改变一个目标条件；技术情景不与全部系统参数完全交叉组合，以控制实验规模。</w:t>
      </w:r>
    </w:p>
    <w:p w14:paraId="66442B11">
      <w:r>
        <w:t>第三步，观察边际收益变化：当对同一瓶颈继续扩容而 CAWCC 增量趋近于零时，检查各约束归一化剩余裕度 M_j，确认是否出现新约束（例如瓶颈由再生水处理迁移为再生水输配，再迁移为给水接入），由此得到瓶颈迁移路径和各类干预的有效区间。最终形成“城市系统状态—供水分配规则—AI 容量—主导瓶颈—有效干预”的条件对应关系，而不是“再生水扩容优于给水扩容”一类无条件排序。</w:t>
      </w:r>
    </w:p>
    <w:p w14:paraId="224EDDF0">
      <w:r>
        <w:t>为直接回答“扩给水还是扩再生水”，在两个典型城市状态下增加二维干预实验。考虑到再生水处理能力与再生水输配能力可能各自成为瓶颈，不将二者合并为单一纵轴，而分别构造两张响应面：响应面 A 以给水处理能力增量为横轴、再生水处理能力增量为纵轴；响应面 B 以给水处理能力增量为横轴、再生水输配能力增量为纵轴，逐格计算 CAWCC。响应面可直观区分三类区域：给水方向扩容有效而另一方向收益趋近于零，说明当前系统主要受给水约束；另一方向扩容有效而给水方向收益低，说明当前系统主要受淡水或再生水约束；两个方向继续扩容而 CAWCC 不再明显增加，说明瓶颈已迁移至第三环节。</w:t>
      </w:r>
    </w:p>
    <w:p w14:paraId="0721DFB2">
      <w:r>
        <w:t>若后续能够获得可靠的设施扩容成本数据，可进一步定义 ΔCAWCC / ΔCost_i，用以比较单位投资释放的 AI 承载容量。经济成本比较属于扩展分析，不作为核心论文成立的必要前提，以避免课题从水系统机制研究扩张为基础设施经济优化。</w:t>
      </w:r>
    </w:p>
    <w:p w14:paraId="0CD69868">
      <w:pPr>
        <w:pStyle w:val="22"/>
        <w:ind w:firstLine="0" w:firstLineChars="0"/>
        <w:outlineLvl w:val="1"/>
        <w:rPr>
          <w:rFonts w:ascii="Times New Roman" w:hAnsi="Times New Roman"/>
          <w:sz w:val="24"/>
        </w:rPr>
      </w:pPr>
    </w:p>
    <w:p w14:paraId="452A3B36">
      <w:pPr>
        <w:pStyle w:val="21"/>
        <w:pageBreakBefore/>
        <w:ind w:firstLine="0" w:firstLineChars="0"/>
        <w:outlineLvl w:val="0"/>
      </w:pPr>
      <w:bookmarkStart w:id="39" w:name="_Toc23871"/>
      <w:r>
        <w:rPr>
          <w:rFonts w:ascii="Times New Roman" w:hAnsi="Times New Roman" w:eastAsia="黑体" w:cs="Times New Roman"/>
          <w:b/>
          <w:color w:val="000000"/>
          <w:sz w:val="30"/>
        </w:rPr>
        <w:t>4 预期达到的目标</w:t>
      </w:r>
      <w:bookmarkEnd w:id="39"/>
    </w:p>
    <w:p w14:paraId="6966E2E1">
      <w:pPr>
        <w:pStyle w:val="22"/>
        <w:pageBreakBefore w:val="0"/>
        <w:ind w:firstLine="0" w:firstLineChars="0"/>
        <w:outlineLvl w:val="1"/>
      </w:pPr>
      <w:bookmarkStart w:id="40" w:name="_Toc17900"/>
      <w:r>
        <w:rPr>
          <w:rFonts w:ascii="Times New Roman" w:hAnsi="Times New Roman" w:eastAsia="黑体" w:cs="Times New Roman"/>
          <w:b/>
          <w:color w:val="000000"/>
          <w:sz w:val="28"/>
        </w:rPr>
        <w:t>4.1 预期科学认识</w:t>
      </w:r>
      <w:bookmarkEnd w:id="40"/>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rPr>
          <w:rFonts w:ascii="宋体" w:hAnsi="宋体" w:eastAsia="宋体" w:cs="Times New Roman"/>
          <w:b w:val="0"/>
          <w:color w:val="000000"/>
          <w:sz w:val="24"/>
        </w:rPr>
        <w:t>识别年均、日尺度和极端时段容量边界差异的控制因素，说明峰值重合和设施裕度在不同城市中的作用。</w:t>
      </w:r>
    </w:p>
    <w:p w14:paraId="685A141D">
      <w:pPr>
        <w:spacing w:before="0" w:after="0" w:line="360" w:lineRule="auto"/>
        <w:ind w:firstLine="420"/>
      </w:pPr>
      <w:r>
        <w:rPr>
          <w:rFonts w:ascii="宋体" w:hAnsi="宋体" w:eastAsia="宋体"/>
          <w:sz w:val="24"/>
        </w:rPr>
        <w:t>建立水源，给水，污水，再生水，接入约束的瓶颈转换条件，区分稳健主导区与竞争约束区。</w:t>
      </w:r>
    </w:p>
    <w:p w14:paraId="4B672CCD">
      <w:pPr>
        <w:spacing w:before="0" w:after="0" w:line="360" w:lineRule="auto"/>
        <w:ind w:firstLine="420"/>
      </w:pPr>
      <w:r>
        <w:rPr>
          <w:rFonts w:ascii="宋体" w:hAnsi="宋体" w:eastAsia="宋体" w:cs="Times New Roman"/>
          <w:b w:val="0"/>
          <w:color w:val="000000"/>
          <w:sz w:val="24"/>
        </w:rPr>
        <w:t>解释再生水扩容何时有效、何时受源量或水质等条件限制，并识别节水措施可能造成的能耗、碳排放或成本转移。</w:t>
      </w:r>
    </w:p>
    <w:p w14:paraId="6458820D">
      <w:pPr>
        <w:pStyle w:val="22"/>
        <w:pageBreakBefore w:val="0"/>
        <w:ind w:firstLine="0" w:firstLineChars="0"/>
        <w:outlineLvl w:val="1"/>
      </w:pPr>
      <w:bookmarkStart w:id="41" w:name="_Toc30187"/>
      <w:r>
        <w:rPr>
          <w:rFonts w:ascii="Times New Roman" w:hAnsi="Times New Roman" w:eastAsia="黑体" w:cs="Times New Roman"/>
          <w:b/>
          <w:color w:val="000000"/>
          <w:sz w:val="28"/>
        </w:rPr>
        <w:t>4.2 预期创新</w:t>
      </w:r>
      <w:bookmarkEnd w:id="41"/>
    </w:p>
    <w:p w14:paraId="6410D675">
      <w:r>
        <w:rPr>
          <w:b/>
        </w:rPr>
        <w:t>创新一（研究对象与系统接口）：</w:t>
      </w:r>
      <w:r>
        <w:rPr>
          <w:b w:val="0"/>
        </w:rPr>
        <w:t>将 AI 算力基础设施由独立设施水足迹核算对象转化为城市人工水系统中的显式过程节点，建立“IT 容量—实际负载—热排散—冷却补水—消耗与排污—污水处理—再生水回用”与城市供排水系统之间的水量闭合接口，使 AI 扩张能够在城市水循环整体边界内进行分析。</w:t>
      </w:r>
    </w:p>
    <w:p w14:paraId="00FE25D5">
      <w:r>
        <w:rPr>
          <w:b/>
        </w:rPr>
        <w:t>创新二（时间尺度机制）：</w:t>
      </w:r>
      <w:r>
        <w:rPr>
          <w:b w:val="0"/>
        </w:rPr>
        <w:t>在保持年度总负荷可比的条件下，将 AI 连续运行、气候敏感冷却和传统城市需水峰值纳入同一实验框架，比较年均、日尺度和极端周小时尺度下的条件化承载边界，识别时间聚合导致承载能力高估的条件及其控制因素。</w:t>
      </w:r>
    </w:p>
    <w:p w14:paraId="60CB0DDC">
      <w:r>
        <w:rPr>
          <w:b/>
        </w:rPr>
        <w:t>创新三（条件边界与瓶颈迁移）：</w:t>
      </w:r>
      <w:r>
        <w:rPr>
          <w:b w:val="0"/>
        </w:rPr>
        <w:t>将 AI 水系统承载能力表述为由水源、给水、局部接入、污水、再生水和必要水质条件共同决定的条件化可行边界，并通过约束临界容量和结构化干预实验识别主导瓶颈迁移以及再生水和设施扩容的边际收益转折，为不同城市系统状态下的算力布局与水务协同规划提供机制化解释。</w:t>
      </w:r>
    </w:p>
    <w:p w14:paraId="3979AD1A">
      <w:pPr>
        <w:pStyle w:val="22"/>
        <w:pageBreakBefore w:val="0"/>
        <w:ind w:firstLine="0" w:firstLineChars="0"/>
        <w:outlineLvl w:val="1"/>
      </w:pPr>
      <w:bookmarkStart w:id="42" w:name="_Toc2957"/>
      <w:commentRangeStart w:id="3"/>
      <w:r>
        <w:rPr>
          <w:rFonts w:ascii="Times New Roman" w:hAnsi="Times New Roman" w:eastAsia="黑体" w:cs="Times New Roman"/>
          <w:b/>
          <w:color w:val="000000"/>
          <w:sz w:val="28"/>
        </w:rPr>
        <w:t>4.3 预期成果</w:t>
      </w:r>
      <w:commentRangeEnd w:id="3"/>
      <w:bookmarkEnd w:id="42"/>
      <w:r>
        <w:commentReference w:id="3"/>
      </w:r>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形成经过代码验证、工程过程Benchmark、极限行为检验、结构稳健性检验和外部参数域校核的AI-UWM模型及版本化代码。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3D8CE7FC">
      <w:pPr>
        <w:pStyle w:val="22"/>
        <w:ind w:firstLine="0" w:firstLineChars="0"/>
        <w:outlineLvl w:val="1"/>
      </w:pPr>
      <w:bookmarkStart w:id="43" w:name="_Toc28342"/>
      <w:r>
        <w:rPr>
          <w:rFonts w:ascii="Times New Roman" w:hAnsi="Times New Roman"/>
          <w:sz w:val="24"/>
        </w:rPr>
        <w:t>4.4 成果评价指标</w:t>
      </w:r>
      <w:bookmarkEnd w:id="43"/>
    </w:p>
    <w:p w14:paraId="7434481A">
      <w:pPr>
        <w:spacing w:before="0" w:after="0" w:line="360" w:lineRule="auto"/>
        <w:ind w:firstLine="420"/>
      </w:pPr>
      <w:r>
        <w:rPr>
          <w:rFonts w:ascii="Times New Roman" w:hAnsi="Times New Roman"/>
          <w:sz w:val="24"/>
        </w:rPr>
        <w:t>模型成果以可重复运行和可审计为基本要求：完成水量、水质、储量和内部回用的守恒测试，形成参数证据表、情景配置文件和版本化运行脚本；科学成果至少形成三类可量化输出，即代谢结构重构阈值、年均与峰值CAWCC的边界提前量、以及水源—给水—污水—再生水—水质约束的瓶颈转换条件；应用成果形成不同系统状态下的响应面、适用参数域和干预边界。结论必须在替代参数、替代压力剖面和至少一种结构规则改变后保持方向一致，才作为主要结论。</w:t>
      </w:r>
    </w:p>
    <w:p w14:paraId="069E86D8">
      <w:pPr>
        <w:pStyle w:val="22"/>
        <w:ind w:firstLine="0" w:firstLineChars="0"/>
        <w:outlineLvl w:val="1"/>
      </w:pPr>
      <w:bookmarkStart w:id="44" w:name="_Toc23102"/>
      <w:r>
        <w:rPr>
          <w:rFonts w:ascii="Times New Roman" w:hAnsi="Times New Roman"/>
          <w:sz w:val="24"/>
        </w:rPr>
        <w:t>4.5 学术学位适配与研究贡献</w:t>
      </w:r>
      <w:bookmarkEnd w:id="44"/>
    </w:p>
    <w:p w14:paraId="527EB6BD">
      <w:pPr>
        <w:spacing w:before="0" w:after="0" w:line="360" w:lineRule="auto"/>
        <w:ind w:firstLine="420"/>
      </w:pPr>
      <w:r>
        <w:rPr>
          <w:rFonts w:ascii="Times New Roman" w:hAnsi="Times New Roman"/>
          <w:sz w:val="24"/>
        </w:rPr>
        <w:t>本研究以科学问题、可检验假设和机制解释为主线，符合学术学位对独立开展学术研究的要求。模型并非最终目的，而是统一实验平台；论文贡献集中在AI负荷如何改变人工水系统结构、为何产生时间尺度依赖承载边界以及瓶颈如何迁移三个认识层面。与此同时，CAWCC响应面、参数域和干预边界为算力布局和水务规划提供工程解释，使理论贡献与实践价值保持同一逻辑链。</w:t>
      </w:r>
    </w:p>
    <w:p w14:paraId="783AACDA">
      <w:pPr>
        <w:pStyle w:val="22"/>
        <w:ind w:firstLine="0" w:firstLineChars="0"/>
        <w:outlineLvl w:val="1"/>
      </w:pPr>
      <w:bookmarkStart w:id="45" w:name="_Toc5385"/>
      <w:r>
        <w:rPr>
          <w:rFonts w:ascii="Times New Roman" w:hAnsi="Times New Roman"/>
        </w:rPr>
        <w:t>4.6 主要结论的形成规则</w:t>
      </w:r>
      <w:bookmarkEnd w:id="45"/>
    </w:p>
    <w:p w14:paraId="2075438D">
      <w:pPr>
        <w:spacing w:line="360" w:lineRule="auto"/>
        <w:ind w:firstLine="420"/>
      </w:pPr>
      <w:r>
        <w:rPr>
          <w:rFonts w:ascii="宋体" w:hAnsi="宋体" w:eastAsia="宋体"/>
        </w:rPr>
        <w:t>论文只把经过三道筛选的结果列为主要结论。第一道筛选要求模型通过守恒、边界和过程基准测试；第二道筛选要求结果在重复抽样和至少两种压力剖面下方向一致；第三道筛选要求机制解释能够对应一个可识别的结构指标或约束状态转换。未通过筛选的结果作为敏感性发现或待验证假设单独报告。这样既保留模型探索能力，也避免把特定参数组合的现象夸大为一般规律。</w:t>
      </w:r>
    </w:p>
    <w:p w14:paraId="7ABD6B84">
      <w:r>
        <w:t>主要结论一律以条件化形式表述：在何种城市系统状态与供水分配规则下，何类约束最容易成为主导瓶颈；在该状态下，哪一类设施或技术干预能够最有效地提高 CAWCC；随着系统状态和 AI 容量变化，原有有效干预为何失效并向新的约束环节迁移。论文不以“再生水一定优于给水扩容”或“某类冷却技术一定最好”等无条件排序作为结论，此类判断仅在对应参数域和情景条件下成立。</w:t>
      </w:r>
    </w:p>
    <w:p w14:paraId="5C893B0C">
      <w:pPr>
        <w:pStyle w:val="21"/>
        <w:pageBreakBefore w:val="0"/>
        <w:ind w:firstLine="0" w:firstLineChars="0"/>
        <w:outlineLvl w:val="0"/>
      </w:pPr>
      <w:bookmarkStart w:id="58" w:name="_GoBack"/>
      <w:bookmarkEnd w:id="58"/>
      <w:bookmarkStart w:id="46" w:name="_Toc30513"/>
      <w:r>
        <w:rPr>
          <w:rFonts w:ascii="Times New Roman" w:hAnsi="Times New Roman" w:eastAsia="黑体" w:cs="Times New Roman"/>
          <w:b/>
          <w:color w:val="000000"/>
          <w:sz w:val="30"/>
        </w:rPr>
        <w:t>5 已完成的学术研究工作</w:t>
      </w:r>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BB2288C">
      <w:pPr>
        <w:spacing w:before="0" w:after="0" w:line="360" w:lineRule="auto"/>
        <w:ind w:firstLine="420"/>
      </w:pPr>
      <w:r>
        <w:rPr>
          <w:rFonts w:ascii="宋体" w:hAnsi="宋体" w:eastAsia="宋体"/>
          <w:sz w:val="24"/>
        </w:rPr>
        <w:t>现有研究积累形成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14:paraId="0B1A426C">
      <w:pPr>
        <w:pStyle w:val="21"/>
        <w:pageBreakBefore w:val="0"/>
        <w:ind w:firstLine="0" w:firstLineChars="0"/>
        <w:outlineLvl w:val="0"/>
      </w:pPr>
      <w:bookmarkStart w:id="47" w:name="_Toc14609"/>
      <w:r>
        <w:rPr>
          <w:rFonts w:ascii="Times New Roman" w:hAnsi="Times New Roman" w:eastAsia="黑体" w:cs="Times New Roman"/>
          <w:b/>
          <w:color w:val="000000"/>
          <w:sz w:val="30"/>
        </w:rPr>
        <w:t>6 进度安排</w:t>
      </w:r>
      <w:bookmarkEnd w:id="47"/>
    </w:p>
    <w:p w14:paraId="607ECEE0">
      <w:pPr>
        <w:spacing w:before="120" w:after="120" w:line="360" w:lineRule="auto"/>
        <w:ind w:firstLine="420"/>
      </w:pPr>
      <w:r>
        <w:rPr>
          <w:rFonts w:ascii="Times New Roman" w:hAnsi="Times New Roman" w:eastAsia="宋体" w:cs="Times New Roman"/>
          <w:b w:val="0"/>
          <w:color w:val="000000"/>
          <w:sz w:val="24"/>
        </w:rPr>
        <w:t>表6-1 研究阶段、主要工作与阶段产出</w:t>
      </w:r>
    </w:p>
    <w:tbl>
      <w:tblPr>
        <w:tblStyle w:val="13"/>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w:t>
            </w:r>
          </w:p>
        </w:tc>
        <w:tc>
          <w:tcPr>
            <w:tcW w:w="2267" w:type="dxa"/>
          </w:tcPr>
          <w:p w14:paraId="4999D5B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时间</w:t>
            </w:r>
          </w:p>
        </w:tc>
        <w:tc>
          <w:tcPr>
            <w:tcW w:w="2267" w:type="dxa"/>
          </w:tcPr>
          <w:p w14:paraId="14D57C1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主要工作</w:t>
            </w:r>
          </w:p>
        </w:tc>
        <w:tc>
          <w:tcPr>
            <w:tcW w:w="2270" w:type="dxa"/>
          </w:tcPr>
          <w:p w14:paraId="28CFA97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第一阶段</w:t>
            </w:r>
          </w:p>
        </w:tc>
        <w:tc>
          <w:tcPr>
            <w:tcW w:w="2267" w:type="dxa"/>
          </w:tcPr>
          <w:p w14:paraId="761470B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2026.0</w:t>
            </w:r>
            <w:r>
              <w:rPr>
                <w:rFonts w:hint="eastAsia"/>
                <w:sz w:val="21"/>
                <w:lang w:val="en-US" w:eastAsia="zh-CN"/>
              </w:rPr>
              <w:t>6</w:t>
            </w:r>
            <w:r>
              <w:rPr>
                <w:rFonts w:ascii="宋体" w:hAnsi="宋体" w:eastAsia="宋体"/>
                <w:sz w:val="21"/>
              </w:rPr>
              <w:t>，2027.06</w:t>
            </w:r>
          </w:p>
        </w:tc>
        <w:tc>
          <w:tcPr>
            <w:tcW w:w="2267" w:type="dxa"/>
          </w:tcPr>
          <w:p w14:paraId="0347188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数据审计、案例筛选、文献综述、最小闭环、单元测试</w:t>
            </w:r>
          </w:p>
        </w:tc>
        <w:tc>
          <w:tcPr>
            <w:tcW w:w="2270" w:type="dxa"/>
          </w:tcPr>
          <w:p w14:paraId="53F4D34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第二阶段</w:t>
            </w:r>
          </w:p>
        </w:tc>
        <w:tc>
          <w:tcPr>
            <w:tcW w:w="2267" w:type="dxa"/>
          </w:tcPr>
          <w:p w14:paraId="0290DC2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2027.07，2028.03</w:t>
            </w:r>
          </w:p>
        </w:tc>
        <w:tc>
          <w:tcPr>
            <w:tcW w:w="2267" w:type="dxa"/>
          </w:tcPr>
          <w:p w14:paraId="785FAECB">
            <w:pPr>
              <w:spacing w:line="276" w:lineRule="auto"/>
            </w:pPr>
            <w:r>
              <w:rPr>
                <w:rFonts w:ascii="宋体" w:hAnsi="宋体" w:eastAsia="宋体"/>
                <w:sz w:val="21"/>
              </w:rPr>
              <w:t>参数化系统输入校核、替代压力剖面检验、参数范围校核和对照实验</w:t>
            </w:r>
          </w:p>
        </w:tc>
        <w:tc>
          <w:tcPr>
            <w:tcW w:w="2270" w:type="dxa"/>
          </w:tcPr>
          <w:p w14:paraId="3B59D12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第三阶段</w:t>
            </w:r>
          </w:p>
        </w:tc>
        <w:tc>
          <w:tcPr>
            <w:tcW w:w="2267" w:type="dxa"/>
          </w:tcPr>
          <w:p w14:paraId="3E6EA77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2028.04，2028.12</w:t>
            </w:r>
          </w:p>
        </w:tc>
        <w:tc>
          <w:tcPr>
            <w:tcW w:w="2267" w:type="dxa"/>
          </w:tcPr>
          <w:p w14:paraId="2CE8E214">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年均，日，小时比较、高温干旱复合压力、CAWCC</w:t>
            </w:r>
          </w:p>
        </w:tc>
        <w:tc>
          <w:tcPr>
            <w:tcW w:w="2270" w:type="dxa"/>
          </w:tcPr>
          <w:p w14:paraId="7A1112E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第四阶段</w:t>
            </w:r>
          </w:p>
        </w:tc>
        <w:tc>
          <w:tcPr>
            <w:tcW w:w="2267" w:type="dxa"/>
          </w:tcPr>
          <w:p w14:paraId="42066DA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2029.01，2029.09</w:t>
            </w:r>
          </w:p>
        </w:tc>
        <w:tc>
          <w:tcPr>
            <w:tcW w:w="2267" w:type="dxa"/>
          </w:tcPr>
          <w:p w14:paraId="7FD01A7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不确定性、瓶颈转换、再生水和设施干预</w:t>
            </w:r>
          </w:p>
        </w:tc>
        <w:tc>
          <w:tcPr>
            <w:tcW w:w="2270" w:type="dxa"/>
          </w:tcPr>
          <w:p w14:paraId="7DD53A5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第五阶段</w:t>
            </w:r>
          </w:p>
        </w:tc>
        <w:tc>
          <w:tcPr>
            <w:tcW w:w="2267" w:type="dxa"/>
          </w:tcPr>
          <w:p w14:paraId="58F5542F">
            <w:pPr>
              <w:keepNext w:val="0"/>
              <w:spacing w:before="40" w:after="40" w:line="276" w:lineRule="auto"/>
              <w:ind w:left="0" w:right="0" w:firstLine="0"/>
              <w:jc w:val="left"/>
              <w:rPr>
                <w:rFonts w:ascii="Times New Roman" w:hAnsi="Times New Roman" w:eastAsia="宋体"/>
              </w:rPr>
            </w:pPr>
            <w:commentRangeStart w:id="4"/>
            <w:r>
              <w:rPr>
                <w:rFonts w:ascii="宋体" w:hAnsi="宋体" w:eastAsia="宋体"/>
                <w:sz w:val="21"/>
              </w:rPr>
              <w:t>2029.10，2030.06</w:t>
            </w:r>
            <w:commentRangeEnd w:id="4"/>
            <w:r>
              <w:commentReference w:id="4"/>
            </w:r>
          </w:p>
        </w:tc>
        <w:tc>
          <w:tcPr>
            <w:tcW w:w="2267" w:type="dxa"/>
          </w:tcPr>
          <w:p w14:paraId="23C6EEF4">
            <w:pPr>
              <w:keepNext w:val="0"/>
              <w:spacing w:before="40" w:after="40" w:line="276" w:lineRule="auto"/>
              <w:ind w:left="0" w:right="0" w:firstLine="0"/>
              <w:jc w:val="left"/>
              <w:rPr>
                <w:rFonts w:ascii="Times New Roman" w:hAnsi="Times New Roman" w:eastAsia="宋体"/>
              </w:rPr>
            </w:pPr>
            <w:r>
              <w:rPr>
                <w:rFonts w:ascii="宋体" w:hAnsi="宋体" w:eastAsia="宋体"/>
                <w:sz w:val="21"/>
              </w:rPr>
              <w:t>固定容量水，能，碳比较、论文整合、预答辩与送审</w:t>
            </w:r>
          </w:p>
        </w:tc>
        <w:tc>
          <w:tcPr>
            <w:tcW w:w="2270" w:type="dxa"/>
          </w:tcPr>
          <w:p w14:paraId="1E03C4FA">
            <w:pPr>
              <w:keepNext w:val="0"/>
              <w:spacing w:before="40" w:after="40" w:line="276" w:lineRule="auto"/>
              <w:ind w:left="0" w:right="0" w:firstLine="0"/>
              <w:jc w:val="left"/>
              <w:rPr>
                <w:rFonts w:ascii="Times New Roman" w:hAnsi="Times New Roman" w:eastAsia="宋体"/>
              </w:rPr>
            </w:pPr>
            <w:r>
              <w:rPr>
                <w:rFonts w:hint="eastAsia" w:ascii="宋体" w:hAnsi="宋体" w:eastAsia="宋体" w:cs="Times New Roman"/>
                <w:b w:val="0"/>
                <w:color w:val="000000"/>
                <w:sz w:val="21"/>
                <w:lang w:eastAsia="zh-CN"/>
              </w:rPr>
              <w:t>硕士</w:t>
            </w:r>
            <w:r>
              <w:rPr>
                <w:rFonts w:ascii="宋体" w:hAnsi="宋体" w:eastAsia="宋体" w:cs="Times New Roman"/>
                <w:b w:val="0"/>
                <w:color w:val="000000"/>
                <w:sz w:val="21"/>
              </w:rPr>
              <w:t>论文、代码和数据治理文档</w:t>
            </w:r>
          </w:p>
        </w:tc>
      </w:tr>
    </w:tbl>
    <w:p w14:paraId="06127B58">
      <w:pPr>
        <w:pStyle w:val="22"/>
        <w:ind w:firstLine="0" w:firstLineChars="0"/>
        <w:outlineLvl w:val="1"/>
      </w:pPr>
      <w:bookmarkStart w:id="48" w:name="_Toc6803"/>
      <w:r>
        <w:rPr>
          <w:rFonts w:ascii="Times New Roman" w:hAnsi="Times New Roman"/>
        </w:rPr>
        <w:t>6.1 阶段任务与交付物</w:t>
      </w:r>
      <w:bookmarkEnd w:id="48"/>
    </w:p>
    <w:p w14:paraId="3758409C">
      <w:r>
        <w:t>第一阶段完成文献证据矩阵、参数字典、系统边界、状态变量定义以及最小水量闭合模型，重点完成 AI 冷却节点与城市水系统的接口、单元测试、守恒测试和极限行为检验，形成可重复运行的 AI-UWM 原型及方法研究基础。</w:t>
      </w:r>
    </w:p>
    <w:p w14:paraId="174242C5">
      <w:r>
        <w:t>第二阶段完成参数化系统输入校核、外部城市锚定、AI 容量梯度实验、普通工业对照和主要技术情景比较，重点识别规模响应与代谢结构重构的差异，形成结构指标、重构临界容量及第一阶段科学结果。</w:t>
      </w:r>
    </w:p>
    <w:p w14:paraId="07B7808A">
      <w:r>
        <w:t>第三阶段完成年均、连续日尺度和极端周小时尺度实验，构造高温、干旱、传统需求峰值及其组合压力，系统求解不同条件下的 CAWCC、边界提前量和服务可靠性，形成时间尺度依赖承载边界的核心结果。</w:t>
      </w:r>
    </w:p>
    <w:p w14:paraId="222CB7ED">
      <w:r>
        <w:t>第四阶段完成主要参数不确定性分析、主导瓶颈及共同瓶颈识别，并针对再生水、给水、污水、储存、冷却技术和负荷削峰开展结构化干预实验，形成瓶颈迁移图谱、干预有效区间和边际收益结果。</w:t>
      </w:r>
    </w:p>
    <w:p w14:paraId="23FD5D43">
      <w:r>
        <w:t>第五阶段在核心论文主线稳定的基础上，根据数据和时间条件选择性开展必要的水—能—碳或水质扩展分析，并集中完成论文整合、图表统一、模型版本归档、数据与参数证据整理以及预答辩和送审。拓展分析未完成时，不影响以代谢结构重构、时间尺度 CAWCC 和瓶颈迁移为核心的硕士论文闭环。</w:t>
      </w:r>
    </w:p>
    <w:p w14:paraId="3F5C3547">
      <w:pPr>
        <w:pStyle w:val="21"/>
        <w:pageBreakBefore w:val="0"/>
        <w:ind w:firstLine="0" w:firstLineChars="0"/>
        <w:outlineLvl w:val="0"/>
      </w:pPr>
      <w:bookmarkStart w:id="49" w:name="_Toc8218"/>
      <w:r>
        <w:rPr>
          <w:rFonts w:ascii="Times New Roman" w:hAnsi="Times New Roman" w:eastAsia="黑体" w:cs="Times New Roman"/>
          <w:b/>
          <w:color w:val="000000"/>
          <w:sz w:val="30"/>
        </w:rPr>
        <w:t>7 为完成课题所需的条件</w:t>
      </w:r>
      <w:bookmarkEnd w:id="49"/>
    </w:p>
    <w:p w14:paraId="1C3F9983">
      <w:pPr>
        <w:pStyle w:val="22"/>
        <w:pageBreakBefore w:val="0"/>
        <w:ind w:firstLine="0" w:firstLineChars="0"/>
        <w:outlineLvl w:val="1"/>
      </w:pPr>
      <w:bookmarkStart w:id="50" w:name="_Toc29455"/>
      <w:r>
        <w:rPr>
          <w:rFonts w:ascii="Times New Roman" w:hAnsi="Times New Roman" w:eastAsia="黑体" w:cs="Times New Roman"/>
          <w:b/>
          <w:color w:val="000000"/>
          <w:sz w:val="28"/>
        </w:rPr>
        <w:t>7.1 理论、数据、软件与计算条件</w:t>
      </w:r>
      <w:bookmarkEnd w:id="50"/>
    </w:p>
    <w:p w14:paraId="57D6C175">
      <w:pPr>
        <w:spacing w:before="0" w:after="0" w:line="360" w:lineRule="auto"/>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before="0" w:after="0" w:line="360" w:lineRule="auto"/>
        <w:ind w:firstLine="420"/>
      </w:pPr>
      <w:r>
        <w:rPr>
          <w:rFonts w:ascii="Times New Roman" w:hAnsi="Times New Roman" w:eastAsia="宋体" w:cs="Times New Roman"/>
          <w:b w:val="0"/>
          <w:color w:val="000000"/>
          <w:sz w:val="24"/>
        </w:rPr>
        <w:t>数据可行性：核心城市水务和气象数据可由公开统计与管理资料支撑；商业敏感数据采取工程Benchmark、区间参数和条件剖面替代。</w:t>
      </w:r>
    </w:p>
    <w:p w14:paraId="01F32231">
      <w:pPr>
        <w:spacing w:before="0" w:after="0" w:line="360" w:lineRule="auto"/>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before="0" w:after="0" w:line="360" w:lineRule="auto"/>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宋体" w:hAnsi="宋体" w:eastAsia="宋体"/>
          <w:sz w:val="24"/>
        </w:rPr>
        <w:t>模型实施重点包括证据更新、典型参数组合生成、压力剖面构造、重复采样、版本化复现和结果审计。</w:t>
      </w:r>
    </w:p>
    <w:p w14:paraId="50537E59">
      <w:pPr>
        <w:spacing w:line="360" w:lineRule="auto"/>
        <w:ind w:firstLine="420"/>
      </w:pPr>
      <w:r>
        <w:rPr>
          <w:rFonts w:ascii="Times New Roman" w:hAnsi="Times New Roman"/>
        </w:rPr>
        <w:t>研究所需数据主要由公开统计年鉴、国家和行业标准、工程文献、公开气候序列以及可获得的城市水务资料组成。模型采用Python或同类科学计算环境实现，使用版本控制记录配置文件、随机种子、运行日志和输出图表；参数扫描采用可并行的批处理方式，结果保存为结构化表格和可追溯图形。计算条件以普通工作站即可完成基准实验，极端情景和不确定性采样再根据样本量启用并行计算。</w:t>
      </w:r>
    </w:p>
    <w:p w14:paraId="0A8D2CAA">
      <w:pPr>
        <w:pStyle w:val="22"/>
        <w:pageBreakBefore w:val="0"/>
        <w:ind w:firstLine="0" w:firstLineChars="0"/>
        <w:outlineLvl w:val="1"/>
      </w:pPr>
      <w:bookmarkStart w:id="51" w:name="_Toc27266"/>
      <w:r>
        <w:rPr>
          <w:rFonts w:ascii="Times New Roman" w:hAnsi="Times New Roman" w:eastAsia="黑体" w:cs="Times New Roman"/>
          <w:b/>
          <w:color w:val="000000"/>
          <w:sz w:val="28"/>
        </w:rPr>
        <w:t>7.2 研究组织与成果管理</w:t>
      </w:r>
      <w:bookmarkEnd w:id="51"/>
    </w:p>
    <w:p w14:paraId="5CD7E6B5">
      <w:pPr>
        <w:spacing w:before="0" w:after="0" w:line="360" w:lineRule="auto"/>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1"/>
        <w:pageBreakBefore w:val="0"/>
        <w:ind w:firstLine="0" w:firstLineChars="0"/>
        <w:outlineLvl w:val="0"/>
      </w:pPr>
      <w:bookmarkStart w:id="52" w:name="_Toc8803"/>
      <w:r>
        <w:rPr>
          <w:rFonts w:ascii="Times New Roman" w:hAnsi="Times New Roman" w:eastAsia="黑体" w:cs="Times New Roman"/>
          <w:b/>
          <w:color w:val="000000"/>
          <w:sz w:val="30"/>
        </w:rPr>
        <w:t>8 研究过程中可能遇到的问题及解决措施</w:t>
      </w:r>
      <w:bookmarkEnd w:id="52"/>
    </w:p>
    <w:p w14:paraId="42EC31FE">
      <w:pPr>
        <w:spacing w:before="120" w:after="120" w:line="360" w:lineRule="auto"/>
        <w:ind w:firstLine="420"/>
      </w:pPr>
      <w:r>
        <w:rPr>
          <w:rFonts w:ascii="Times New Roman" w:hAnsi="Times New Roman" w:eastAsia="宋体" w:cs="Times New Roman"/>
          <w:b w:val="0"/>
          <w:color w:val="000000"/>
          <w:sz w:val="24"/>
        </w:rPr>
        <w:t>表8-1 关键难点、研究影响与解决路径</w:t>
      </w:r>
    </w:p>
    <w:tbl>
      <w:tblPr>
        <w:tblStyle w:val="13"/>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难点</w:t>
            </w:r>
          </w:p>
        </w:tc>
        <w:tc>
          <w:tcPr>
            <w:tcW w:w="3023" w:type="dxa"/>
          </w:tcPr>
          <w:p w14:paraId="20AD098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可能后果</w:t>
            </w:r>
          </w:p>
        </w:tc>
        <w:tc>
          <w:tcPr>
            <w:tcW w:w="3025" w:type="dxa"/>
          </w:tcPr>
          <w:p w14:paraId="0E75BAA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AI运行数据不足</w:t>
            </w:r>
          </w:p>
        </w:tc>
        <w:tc>
          <w:tcPr>
            <w:tcW w:w="3023" w:type="dxa"/>
          </w:tcPr>
          <w:p w14:paraId="31ED21B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难以校准逐小时负荷和水耗</w:t>
            </w:r>
          </w:p>
        </w:tc>
        <w:tc>
          <w:tcPr>
            <w:tcW w:w="3025" w:type="dxa"/>
          </w:tcPr>
          <w:p w14:paraId="1E76CBE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水量与水质耦合复杂</w:t>
            </w:r>
          </w:p>
        </w:tc>
        <w:tc>
          <w:tcPr>
            <w:tcW w:w="3023" w:type="dxa"/>
          </w:tcPr>
          <w:p w14:paraId="6C297C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水量余量掩盖水质失效</w:t>
            </w:r>
          </w:p>
        </w:tc>
        <w:tc>
          <w:tcPr>
            <w:tcW w:w="3025" w:type="dxa"/>
          </w:tcPr>
          <w:p w14:paraId="160877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反馈导致可行域非单调</w:t>
            </w:r>
          </w:p>
        </w:tc>
        <w:tc>
          <w:tcPr>
            <w:tcW w:w="3023" w:type="dxa"/>
          </w:tcPr>
          <w:p w14:paraId="244B3DF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只报告最大值会掩盖中间失效</w:t>
            </w:r>
          </w:p>
        </w:tc>
        <w:tc>
          <w:tcPr>
            <w:tcW w:w="3025" w:type="dxa"/>
          </w:tcPr>
          <w:p w14:paraId="11567EA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城市间可比性不足</w:t>
            </w:r>
          </w:p>
        </w:tc>
        <w:tc>
          <w:tcPr>
            <w:tcW w:w="3023" w:type="dxa"/>
          </w:tcPr>
          <w:p w14:paraId="7718DA5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跨城市结论被过度外推</w:t>
            </w:r>
          </w:p>
        </w:tc>
        <w:tc>
          <w:tcPr>
            <w:tcW w:w="3025" w:type="dxa"/>
          </w:tcPr>
          <w:p w14:paraId="200DD65D">
            <w:pPr>
              <w:spacing w:line="276" w:lineRule="auto"/>
            </w:pPr>
            <w:r>
              <w:rPr>
                <w:rFonts w:ascii="宋体" w:hAnsi="宋体" w:eastAsia="宋体"/>
                <w:sz w:val="21"/>
              </w:rPr>
              <w:t>使用无量纲裕度和适用参数域，参数范围校核只承担方向核验</w:t>
            </w:r>
          </w:p>
        </w:tc>
      </w:tr>
    </w:tbl>
    <w:p w14:paraId="4ED0A000">
      <w:pPr>
        <w:spacing w:before="0" w:after="0" w:line="360" w:lineRule="auto"/>
        <w:ind w:firstLine="420"/>
      </w:pPr>
      <w:r>
        <w:rPr>
          <w:rFonts w:ascii="Times New Roman" w:hAnsi="Times New Roman" w:eastAsia="宋体" w:cs="Times New Roman"/>
          <w:b w:val="0"/>
          <w:color w:val="000000"/>
          <w:sz w:val="24"/>
        </w:rP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14:paraId="6B05DAC1">
      <w:pPr>
        <w:pStyle w:val="22"/>
        <w:ind w:firstLine="0" w:firstLineChars="0"/>
        <w:outlineLvl w:val="1"/>
      </w:pPr>
      <w:bookmarkStart w:id="53" w:name="_Toc4740"/>
      <w:r>
        <w:rPr>
          <w:rFonts w:ascii="Times New Roman" w:hAnsi="Times New Roman"/>
          <w:sz w:val="24"/>
        </w:rPr>
        <w:t>8.1 研究边界变化与复杂度控制</w:t>
      </w:r>
      <w:bookmarkEnd w:id="53"/>
    </w:p>
    <w:p w14:paraId="3CF2EC5F">
      <w:pPr>
        <w:spacing w:before="0" w:after="0" w:line="360" w:lineRule="auto"/>
        <w:ind w:firstLine="420"/>
      </w:pPr>
      <w:r>
        <w:rPr>
          <w:rFonts w:ascii="Times New Roman" w:hAnsi="Times New Roman"/>
          <w:sz w:val="24"/>
        </w:rPr>
        <w:t>系统模拟容易在水量、水质、水—能—碳、成本和跨城市比较之间不断扩张。研究采用“核心闭合—边界实验—扩展分析”的顺序，只有在水量闭合、时间尺度边界和瓶颈转换得到稳定结果后，才加入完整水质和综合环境评价。任何扩展模块都必须明确新增输入、输出和验证方式，不能改变核心CAWCC的定义。</w:t>
      </w:r>
    </w:p>
    <w:p w14:paraId="19BE5530">
      <w:pPr>
        <w:pStyle w:val="22"/>
        <w:ind w:firstLine="0" w:firstLineChars="0"/>
        <w:outlineLvl w:val="1"/>
      </w:pPr>
      <w:bookmarkStart w:id="54" w:name="_Toc25480"/>
      <w:r>
        <w:rPr>
          <w:rFonts w:ascii="Times New Roman" w:hAnsi="Times New Roman"/>
          <w:sz w:val="24"/>
        </w:rPr>
        <w:t>8.2 证据等级与外推</w:t>
      </w:r>
      <w:bookmarkEnd w:id="54"/>
    </w:p>
    <w:p w14:paraId="18517CC6">
      <w:pPr>
        <w:spacing w:before="0" w:after="0" w:line="360" w:lineRule="auto"/>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跨状态比较采用无量纲裕度和结构指标，不把抽象系统结果直接等同于任一真实城市容量。</w:t>
      </w:r>
    </w:p>
    <w:p w14:paraId="2C3E4561">
      <w:pPr>
        <w:pStyle w:val="22"/>
        <w:ind w:firstLine="0" w:firstLineChars="0"/>
        <w:outlineLvl w:val="1"/>
      </w:pPr>
      <w:bookmarkStart w:id="55" w:name="_Toc4657"/>
      <w:r>
        <w:rPr>
          <w:rFonts w:ascii="Times New Roman" w:hAnsi="Times New Roman"/>
          <w:sz w:val="24"/>
        </w:rPr>
        <w:t>8.3 结果稳定性判据</w:t>
      </w:r>
      <w:bookmarkEnd w:id="55"/>
    </w:p>
    <w:p w14:paraId="42CECE59">
      <w:pPr>
        <w:spacing w:before="0" w:after="0" w:line="360" w:lineRule="auto"/>
        <w:ind w:firstLine="420"/>
      </w:pPr>
      <w:r>
        <w:rPr>
          <w:rFonts w:ascii="宋体" w:hAnsi="宋体" w:eastAsia="宋体"/>
          <w:sz w:val="24"/>
        </w:rPr>
        <w:t>对核心结论开展三类稳定性检验：改变参数分布和相关结构，改变高温—干旱—需求峰值的时间排列，替换冷却方程和约束优先级。若结论方向在多数扰动下保持一致，则进入主要结论；若只在狭窄参数区间成立，则以适用域和边界条件表述。通过这种判据区分科学机制和特定设定下的偶然结果。</w:t>
      </w:r>
    </w:p>
    <w:p w14:paraId="3B025765">
      <w:pPr>
        <w:pStyle w:val="22"/>
        <w:ind w:firstLine="0" w:firstLineChars="0"/>
        <w:outlineLvl w:val="1"/>
      </w:pPr>
      <w:bookmarkStart w:id="56" w:name="_Toc20294"/>
      <w:r>
        <w:rPr>
          <w:rFonts w:ascii="Times New Roman" w:hAnsi="Times New Roman"/>
        </w:rPr>
        <w:t>8.4 研究质量保证</w:t>
      </w:r>
      <w:bookmarkEnd w:id="56"/>
    </w:p>
    <w:p w14:paraId="29089D4F">
      <w:pPr>
        <w:spacing w:line="360" w:lineRule="auto"/>
        <w:ind w:firstLine="420"/>
      </w:pPr>
      <w:r>
        <w:rPr>
          <w:rFonts w:ascii="宋体" w:hAnsi="宋体" w:eastAsia="宋体"/>
        </w:rPr>
        <w:t>质量保证贯穿模型、数据和写作三个层面。模型层面实行单元测试、守恒测试、回归测试和版本标签；数据层面实行来源登记、单位统一、异常值说明和参数证据等级；写作层面实行研究问题—假设—方法—结果—限制逐项对应，表格和图件均标注输入条件与适用范围。每次修改后重新运行最小基准案例和一个极端案例，确保新增功能没有破坏既有结论。</w:t>
      </w:r>
    </w:p>
    <w:p w14:paraId="0BE3BC36">
      <w:pPr>
        <w:pStyle w:val="21"/>
        <w:pageBreakBefore/>
        <w:ind w:firstLine="0" w:firstLineChars="0"/>
        <w:outlineLvl w:val="0"/>
      </w:pPr>
      <w:bookmarkStart w:id="57" w:name="_Toc29258"/>
      <w:r>
        <w:rPr>
          <w:rFonts w:ascii="Times New Roman" w:hAnsi="Times New Roman" w:eastAsia="黑体" w:cs="Times New Roman"/>
          <w:b/>
          <w:color w:val="000000"/>
          <w:sz w:val="30"/>
        </w:rPr>
        <w:t>9 参考文献</w:t>
      </w:r>
      <w:bookmarkEnd w:id="57"/>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spacing w:before="0" w:after="0" w:line="240" w:lineRule="auto"/>
        <w:ind w:left="420" w:hanging="420"/>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spacing w:before="0" w:after="0" w:line="240" w:lineRule="auto"/>
        <w:ind w:left="420" w:hanging="420"/>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spacing w:before="0" w:after="0" w:line="240" w:lineRule="auto"/>
        <w:ind w:left="420" w:hanging="420"/>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spacing w:before="0" w:after="0" w:line="240" w:lineRule="auto"/>
        <w:ind w:left="420" w:hanging="420"/>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spacing w:before="0" w:after="0" w:line="240" w:lineRule="auto"/>
        <w:ind w:left="420" w:hanging="420"/>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spacing w:before="0" w:after="0" w:line="240" w:lineRule="auto"/>
        <w:ind w:left="420" w:hanging="420"/>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spacing w:before="0" w:after="0" w:line="240" w:lineRule="auto"/>
        <w:ind w:left="420" w:hanging="420"/>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spacing w:before="0" w:after="0" w:line="240" w:lineRule="auto"/>
        <w:ind w:left="420" w:hanging="420"/>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spacing w:before="0" w:after="0" w:line="240" w:lineRule="auto"/>
        <w:ind w:left="420" w:hanging="420"/>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spacing w:before="0" w:after="0" w:line="240" w:lineRule="auto"/>
        <w:ind w:left="420" w:hanging="420"/>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spacing w:before="0" w:after="0" w:line="240" w:lineRule="auto"/>
        <w:ind w:left="420" w:hanging="420"/>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spacing w:before="0" w:after="0" w:line="240" w:lineRule="auto"/>
        <w:ind w:left="420" w:hanging="420"/>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989789B">
      <w:pPr>
        <w:spacing w:before="0" w:after="0" w:line="240" w:lineRule="auto"/>
        <w:ind w:left="420" w:hanging="420"/>
      </w:pPr>
      <w:r>
        <w:rPr>
          <w:rFonts w:ascii="Times New Roman" w:hAnsi="Times New Roman" w:eastAsia="宋体" w:cs="Times New Roman"/>
          <w:b w:val="0"/>
          <w:color w:val="000000"/>
          <w:sz w:val="24"/>
        </w:rPr>
        <w:t>[86] Saltelli A, Ratto M, Andres T, Campolongo F, Cariboni J, Gatelli D, et al. Global Sensitivity Analysis: The Primer[M]. Chichester: John Wiley &amp; Sons, 2008. DOI: 10.1002/9780470725184.</w:t>
      </w:r>
    </w:p>
    <w:p w14:paraId="724F73D4">
      <w:pPr>
        <w:spacing w:before="0" w:after="0" w:line="240" w:lineRule="auto"/>
        <w:ind w:left="420" w:hanging="420"/>
      </w:pPr>
      <w:r>
        <w:rPr>
          <w:rFonts w:ascii="Times New Roman" w:hAnsi="Times New Roman" w:eastAsia="宋体" w:cs="Times New Roman"/>
          <w:b w:val="0"/>
          <w:color w:val="000000"/>
          <w:sz w:val="24"/>
        </w:rPr>
        <w:t>[87] Razavi S, Gupta H V. What do we mean by sensitivity analysis? The need for comprehensive characterization of “global” sensitivity in Earth and environmental systems models[J]. Water Resources Research, 2015, 51(5): 3070-3092. DOI: 10.1002/2014WR016527.</w:t>
      </w:r>
    </w:p>
    <w:p w14:paraId="2E88881D">
      <w:pPr>
        <w:spacing w:before="0" w:after="0" w:line="240" w:lineRule="auto"/>
        <w:ind w:left="420" w:hanging="420"/>
      </w:pPr>
      <w:r>
        <w:rPr>
          <w:rFonts w:ascii="Times New Roman" w:hAnsi="Times New Roman" w:eastAsia="宋体" w:cs="Times New Roman"/>
          <w:b w:val="0"/>
          <w:color w:val="000000"/>
          <w:sz w:val="24"/>
        </w:rPr>
        <w:t>[88] Song E, Nelson B L, Staum J. Shapley Effects for Global Sensitivity Analysis: Theory and Computation[J]. SIAM/ASA Journal on Uncertainty Quantification, 2016, 4(1): 1060-1083. DOI: 10.1137/15M1048070.</w:t>
      </w:r>
    </w:p>
    <w:p w14:paraId="33DF674C">
      <w:pPr>
        <w:spacing w:before="0" w:after="0" w:line="240" w:lineRule="auto"/>
        <w:ind w:left="420" w:hanging="420"/>
      </w:pPr>
      <w:r>
        <w:rPr>
          <w:rFonts w:ascii="Times New Roman" w:hAnsi="Times New Roman" w:eastAsia="宋体" w:cs="Times New Roman"/>
          <w:b w:val="0"/>
          <w:color w:val="000000"/>
          <w:sz w:val="24"/>
        </w:rPr>
        <w:t>[89] Gupta H V, Kling H, Yilmaz K K, Martinez G F. Decomposition of the mean squared error and NSE performance criteria: Implications for improving hydrological modelling[J]. Journal of Hydrology, 2009, 377(1-2): 80-91. DOI: 10.1016/j.jhydrol.2009.08.003.</w:t>
      </w:r>
    </w:p>
    <w:p w14:paraId="5AEF3B65">
      <w:pPr>
        <w:spacing w:before="0" w:after="0" w:line="240" w:lineRule="auto"/>
        <w:ind w:left="420" w:hanging="420"/>
      </w:pPr>
      <w:r>
        <w:rPr>
          <w:rFonts w:ascii="Times New Roman" w:hAnsi="Times New Roman"/>
          <w:sz w:val="24"/>
        </w:rPr>
        <w:t>[90] Pearl J. Causal inference in statistics: An overview[J]. Statistics Surveys, 2010, 3: 96-146. DOI: 10.1214/09-SS057.</w:t>
      </w:r>
    </w:p>
    <w:p w14:paraId="7FF9A9B8">
      <w:pPr>
        <w:spacing w:before="0" w:after="0" w:line="240" w:lineRule="auto"/>
        <w:ind w:left="420" w:hanging="420"/>
      </w:pPr>
      <w:r>
        <w:rPr>
          <w:rFonts w:ascii="Times New Roman" w:hAnsi="Times New Roman"/>
          <w:sz w:val="24"/>
        </w:rPr>
        <w:t>[91] Pearl J. Causal diagrams for empirical research[J]. Biometrika, 1995, 82(4): 669-688. DOI: 10.1093/biomet/82.4.669.</w:t>
      </w:r>
    </w:p>
    <w:p w14:paraId="3DF8D7DC">
      <w:pPr>
        <w:spacing w:before="0" w:after="0" w:line="240" w:lineRule="auto"/>
        <w:ind w:left="420" w:hanging="420"/>
      </w:pPr>
      <w:r>
        <w:rPr>
          <w:rFonts w:ascii="Times New Roman" w:hAnsi="Times New Roman"/>
          <w:sz w:val="24"/>
        </w:rPr>
        <w:t>[92] Hernán M A, Robins J M. Causal Inference: What If[M]. Boca Raton: Chapman &amp; Hall/CRC, 2020.</w:t>
      </w:r>
    </w:p>
    <w:p w14:paraId="7F710B3E">
      <w:pPr>
        <w:spacing w:before="0" w:after="0" w:line="240" w:lineRule="auto"/>
        <w:ind w:left="420" w:hanging="420"/>
      </w:pPr>
      <w:r>
        <w:rPr>
          <w:rFonts w:ascii="Times New Roman" w:hAnsi="Times New Roman"/>
          <w:sz w:val="24"/>
        </w:rPr>
        <w:t>[93] Imai K, Keele L, Tingley D. A general approach to causal mediation analysis[J]. Psychological Methods, 2010, 15(4): 309-334. DOI: 10.1037/a0020761.</w:t>
      </w:r>
    </w:p>
    <w:p w14:paraId="585C9F03">
      <w:pPr>
        <w:spacing w:before="0" w:after="0" w:line="240" w:lineRule="auto"/>
        <w:ind w:left="420" w:hanging="420"/>
      </w:pPr>
      <w:r>
        <w:rPr>
          <w:rFonts w:ascii="Times New Roman" w:hAnsi="Times New Roman"/>
          <w:sz w:val="24"/>
        </w:rPr>
        <w:t>[94] VanderWeele T J. Explanation in Causal Inference: Methods for Mediation and Interaction[M]. New York: Oxford University Press, 2015.</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7T23:50:59Z" w:initials="">
    <w:p w14:paraId="6343C254">
      <w:pPr>
        <w:pStyle w:val="2"/>
        <w:rPr>
          <w:rFonts w:hint="eastAsia" w:eastAsia="宋体"/>
          <w:lang w:val="en-US" w:eastAsia="zh-CN"/>
        </w:rPr>
      </w:pPr>
      <w:r>
        <w:rPr>
          <w:rFonts w:hint="eastAsia"/>
          <w:lang w:val="en-US" w:eastAsia="zh-CN"/>
        </w:rPr>
        <w:t>写一个项目</w:t>
      </w:r>
    </w:p>
  </w:comment>
  <w:comment w:id="1" w:author="邵敬哲" w:date="2026-09-07T23:53:02Z" w:initials="">
    <w:p w14:paraId="5B799D94">
      <w:pPr>
        <w:pStyle w:val="2"/>
        <w:rPr>
          <w:rFonts w:hint="eastAsia" w:eastAsia="宋体"/>
          <w:lang w:val="en-US" w:eastAsia="zh-CN"/>
        </w:rPr>
      </w:pPr>
      <w:r>
        <w:rPr>
          <w:rFonts w:hint="eastAsia"/>
          <w:lang w:val="en-US" w:eastAsia="zh-CN"/>
        </w:rPr>
        <w:t>0</w:t>
      </w:r>
    </w:p>
  </w:comment>
  <w:comment w:id="2" w:author="邵敬哲" w:date="2026-09-07T23:53:34Z" w:initials="">
    <w:p w14:paraId="0AAF53B2">
      <w:pPr>
        <w:pStyle w:val="2"/>
        <w:rPr>
          <w:rFonts w:hint="eastAsia" w:eastAsia="宋体"/>
          <w:lang w:val="en-US" w:eastAsia="zh-CN"/>
        </w:rPr>
      </w:pPr>
      <w:r>
        <w:rPr>
          <w:rFonts w:hint="eastAsia"/>
          <w:lang w:val="en-US" w:eastAsia="zh-CN"/>
        </w:rPr>
        <w:t>第三部分？</w:t>
      </w:r>
    </w:p>
  </w:comment>
  <w:comment w:id="3" w:author="邵敬哲" w:date="2026-09-07T23:56:30Z" w:initials="">
    <w:p w14:paraId="0A79F937">
      <w:pPr>
        <w:pStyle w:val="2"/>
        <w:rPr>
          <w:rFonts w:hint="default" w:eastAsia="宋体"/>
          <w:lang w:val="en-US" w:eastAsia="zh-CN"/>
        </w:rPr>
      </w:pPr>
      <w:r>
        <w:rPr>
          <w:rFonts w:hint="eastAsia"/>
          <w:lang w:val="en-US" w:eastAsia="zh-CN"/>
        </w:rPr>
        <w:t>论文？专利？等</w:t>
      </w:r>
    </w:p>
  </w:comment>
  <w:comment w:id="4" w:author="邵敬哲" w:date="2026-09-07T23:57:49Z" w:initials="">
    <w:p w14:paraId="5686DF9E">
      <w:pPr>
        <w:pStyle w:val="2"/>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43C254" w15:done="0"/>
  <w15:commentEx w15:paraId="5B799D94" w15:done="0"/>
  <w15:commentEx w15:paraId="0AAF53B2" w15:done="0"/>
  <w15:commentEx w15:paraId="0A79F937" w15:done="0"/>
  <w15:commentEx w15:paraId="5686DF9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3A4F678F"/>
    <w:rsid w:val="3FDE13A9"/>
    <w:rsid w:val="40D53766"/>
    <w:rsid w:val="412169AB"/>
    <w:rsid w:val="4D1063BF"/>
    <w:rsid w:val="5E011E53"/>
    <w:rsid w:val="61947D36"/>
    <w:rsid w:val="68DB147D"/>
    <w:rsid w:val="6CBE13CE"/>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character" w:default="1" w:styleId="14">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Body Text Indent"/>
    <w:basedOn w:val="1"/>
    <w:link w:val="17"/>
    <w:qFormat/>
    <w:uiPriority w:val="0"/>
    <w:pPr>
      <w:ind w:left="360" w:hanging="360"/>
    </w:pPr>
  </w:style>
  <w:style w:type="paragraph" w:styleId="4">
    <w:name w:val="toc 3"/>
    <w:basedOn w:val="1"/>
    <w:next w:val="1"/>
    <w:semiHidden/>
    <w:unhideWhenUsed/>
    <w:uiPriority w:val="39"/>
    <w:pPr>
      <w:ind w:left="840" w:leftChars="400"/>
    </w:pPr>
  </w:style>
  <w:style w:type="paragraph" w:styleId="5">
    <w:name w:val="Plain Text"/>
    <w:basedOn w:val="1"/>
    <w:link w:val="19"/>
    <w:qFormat/>
    <w:uiPriority w:val="0"/>
    <w:rPr>
      <w:rFonts w:ascii="宋体" w:hAnsi="Courier New"/>
    </w:rPr>
  </w:style>
  <w:style w:type="paragraph" w:styleId="6">
    <w:name w:val="Body Text Indent 2"/>
    <w:basedOn w:val="1"/>
    <w:link w:val="18"/>
    <w:qFormat/>
    <w:uiPriority w:val="0"/>
    <w:pPr>
      <w:ind w:left="420" w:hanging="420"/>
    </w:pPr>
  </w:style>
  <w:style w:type="paragraph" w:styleId="7">
    <w:name w:val="Balloon Text"/>
    <w:basedOn w:val="1"/>
    <w:link w:val="20"/>
    <w:semiHidden/>
    <w:unhideWhenUsed/>
    <w:qFormat/>
    <w:uiPriority w:val="99"/>
    <w:rPr>
      <w:sz w:val="18"/>
      <w:szCs w:val="18"/>
    </w:rPr>
  </w:style>
  <w:style w:type="paragraph" w:styleId="8">
    <w:name w:val="footer"/>
    <w:basedOn w:val="1"/>
    <w:link w:val="1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1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0">
    <w:name w:val="toc 1"/>
    <w:basedOn w:val="1"/>
    <w:next w:val="1"/>
    <w:semiHidden/>
    <w:unhideWhenUsed/>
    <w:qFormat/>
    <w:uiPriority w:val="39"/>
  </w:style>
  <w:style w:type="paragraph" w:styleId="11">
    <w:name w:val="toc 2"/>
    <w:basedOn w:val="1"/>
    <w:next w:val="1"/>
    <w:semiHidden/>
    <w:unhideWhenUsed/>
    <w:uiPriority w:val="39"/>
    <w:pPr>
      <w:ind w:left="420" w:leftChars="200"/>
    </w:p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5">
    <w:name w:val="页眉 字符"/>
    <w:basedOn w:val="14"/>
    <w:link w:val="9"/>
    <w:qFormat/>
    <w:uiPriority w:val="99"/>
    <w:rPr>
      <w:sz w:val="18"/>
      <w:szCs w:val="18"/>
    </w:rPr>
  </w:style>
  <w:style w:type="character" w:customStyle="1" w:styleId="16">
    <w:name w:val="页脚 字符"/>
    <w:basedOn w:val="14"/>
    <w:link w:val="8"/>
    <w:qFormat/>
    <w:uiPriority w:val="99"/>
    <w:rPr>
      <w:sz w:val="18"/>
      <w:szCs w:val="18"/>
    </w:rPr>
  </w:style>
  <w:style w:type="character" w:customStyle="1" w:styleId="17">
    <w:name w:val="正文文本缩进 字符"/>
    <w:basedOn w:val="14"/>
    <w:link w:val="3"/>
    <w:qFormat/>
    <w:uiPriority w:val="0"/>
    <w:rPr>
      <w:rFonts w:ascii="Times New Roman" w:hAnsi="Times New Roman" w:eastAsia="宋体" w:cs="Times New Roman"/>
      <w:szCs w:val="20"/>
    </w:rPr>
  </w:style>
  <w:style w:type="character" w:customStyle="1" w:styleId="18">
    <w:name w:val="正文文本缩进 2 字符"/>
    <w:basedOn w:val="14"/>
    <w:link w:val="6"/>
    <w:qFormat/>
    <w:uiPriority w:val="0"/>
    <w:rPr>
      <w:rFonts w:ascii="Times New Roman" w:hAnsi="Times New Roman" w:eastAsia="宋体" w:cs="Times New Roman"/>
      <w:szCs w:val="20"/>
    </w:rPr>
  </w:style>
  <w:style w:type="character" w:customStyle="1" w:styleId="19">
    <w:name w:val="纯文本 字符"/>
    <w:basedOn w:val="14"/>
    <w:link w:val="5"/>
    <w:qFormat/>
    <w:uiPriority w:val="0"/>
    <w:rPr>
      <w:rFonts w:ascii="宋体" w:hAnsi="Courier New" w:eastAsia="宋体" w:cs="Times New Roman"/>
      <w:szCs w:val="20"/>
    </w:rPr>
  </w:style>
  <w:style w:type="character" w:customStyle="1" w:styleId="20">
    <w:name w:val="批注框文本 字符"/>
    <w:basedOn w:val="14"/>
    <w:link w:val="7"/>
    <w:semiHidden/>
    <w:qFormat/>
    <w:uiPriority w:val="99"/>
    <w:rPr>
      <w:rFonts w:ascii="Times New Roman" w:hAnsi="Times New Roman" w:eastAsia="宋体" w:cs="Times New Roman"/>
      <w:sz w:val="18"/>
      <w:szCs w:val="18"/>
    </w:rPr>
  </w:style>
  <w:style w:type="paragraph" w:customStyle="1" w:styleId="21">
    <w:name w:val="heading 1"/>
    <w:qFormat/>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22">
    <w:name w:val="heading 2"/>
    <w:qFormat/>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23">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4">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5">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6">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24127</Words>
  <Characters>27402</Characters>
  <Lines>11</Lines>
  <Paragraphs>3</Paragraphs>
  <TotalTime>52</TotalTime>
  <ScaleCrop>false</ScaleCrop>
  <LinksUpToDate>false</LinksUpToDate>
  <CharactersWithSpaces>28394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2026-09-07T15:59:51Z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