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F7276">
      <w:pPr>
        <w:keepNext w:val="0"/>
        <w:spacing w:before="0" w:after="20"/>
        <w:jc w:val="center"/>
        <w:rPr>
          <w:rFonts w:eastAsia="楷体_GB2312"/>
          <w:b/>
          <w:spacing w:val="40"/>
          <w:sz w:val="36"/>
        </w:rPr>
      </w:pPr>
    </w:p>
    <w:p w14:paraId="15D6FB2D">
      <w:pPr>
        <w:keepNext w:val="0"/>
        <w:spacing w:before="0" w:after="20" w:line="360" w:lineRule="auto"/>
        <w:ind w:firstLine="420"/>
        <w:jc w:val="center"/>
        <w:rPr>
          <w:rFonts w:eastAsia="楷体_GB2312"/>
          <w:b/>
          <w:spacing w:val="40"/>
          <w:sz w:val="36"/>
        </w:rPr>
      </w:pPr>
    </w:p>
    <w:p w14:paraId="736EACCF">
      <w:pPr>
        <w:keepNext w:val="0"/>
        <w:spacing w:before="0" w:after="20"/>
        <w:jc w:val="center"/>
        <w:rPr>
          <w:rFonts w:eastAsia="楷体_GB2312"/>
          <w:b/>
          <w:spacing w:val="40"/>
          <w:sz w:val="36"/>
        </w:rPr>
      </w:pPr>
      <w:r>
        <w:rPr>
          <w:rFonts w:hint="eastAsia" w:ascii="宋体" w:hAnsi="宋体" w:eastAsia="宋体"/>
          <w:b/>
          <w:color w:val="000000"/>
          <w:spacing w:val="40"/>
          <w:sz w:val="36"/>
        </w:rPr>
        <w:t>哈尔滨工业大学</w:t>
      </w:r>
    </w:p>
    <w:p w14:paraId="77E87BA1">
      <w:pPr>
        <w:keepNext w:val="0"/>
        <w:spacing w:before="0" w:after="20" w:line="360" w:lineRule="auto"/>
        <w:ind w:firstLine="420"/>
        <w:jc w:val="center"/>
        <w:rPr>
          <w:rFonts w:eastAsia="楷体_GB2312"/>
          <w:b/>
          <w:spacing w:val="40"/>
          <w:sz w:val="36"/>
        </w:rPr>
      </w:pPr>
    </w:p>
    <w:p w14:paraId="2CDBC833">
      <w:pPr>
        <w:keepNext w:val="0"/>
        <w:spacing w:before="0" w:after="60"/>
        <w:jc w:val="center"/>
        <w:rPr>
          <w:rFonts w:ascii="Roman PS" w:hAnsi="Roman PS"/>
          <w:b/>
          <w:spacing w:val="40"/>
          <w:sz w:val="48"/>
        </w:rPr>
      </w:pPr>
      <w:r>
        <w:rPr>
          <w:rFonts w:ascii="宋体" w:hAnsi="宋体" w:eastAsia="宋体"/>
          <w:b/>
          <w:sz w:val="48"/>
        </w:rPr>
        <w:t>硕士学位开题报告</w:t>
      </w:r>
    </w:p>
    <w:p w14:paraId="069C17FC">
      <w:pPr>
        <w:keepNext w:val="0"/>
        <w:spacing w:before="0" w:after="20" w:line="360" w:lineRule="auto"/>
        <w:ind w:firstLine="420"/>
        <w:rPr>
          <w:b/>
          <w:sz w:val="32"/>
        </w:rPr>
      </w:pPr>
    </w:p>
    <w:p w14:paraId="2D50CEA7">
      <w:pPr>
        <w:keepNext w:val="0"/>
        <w:spacing w:before="80" w:after="40" w:line="300" w:lineRule="auto"/>
        <w:jc w:val="center"/>
        <w:rPr>
          <w:b/>
          <w:sz w:val="36"/>
        </w:rPr>
      </w:pPr>
      <w:r>
        <w:rPr>
          <w:rFonts w:ascii="Times New Roman" w:hAnsi="Times New Roman" w:eastAsia="宋体"/>
          <w:b/>
          <w:sz w:val="32"/>
        </w:rPr>
        <w:t>题目：AI算力基础设施驱动下城市人工水系统代谢响应与条件化承载边界的系统模拟研究</w:t>
      </w:r>
    </w:p>
    <w:p w14:paraId="1014A7AD">
      <w:pPr>
        <w:keepNext w:val="0"/>
        <w:spacing w:before="60" w:after="40"/>
        <w:jc w:val="center"/>
        <w:rPr>
          <w:b/>
          <w:sz w:val="32"/>
        </w:rPr>
      </w:pPr>
      <w:r>
        <w:rPr>
          <w:rFonts w:ascii="宋体" w:hAnsi="宋体" w:eastAsia="宋体" w:cs="Times New Roman"/>
          <w:b/>
          <w:color w:val="000000"/>
          <w:sz w:val="32"/>
        </w:rPr>
        <w:t>（学位论文）</w:t>
      </w:r>
    </w:p>
    <w:p w14:paraId="03714482">
      <w:pPr>
        <w:keepNext w:val="0"/>
        <w:snapToGrid w:val="0"/>
        <w:spacing w:before="0" w:after="20" w:line="360" w:lineRule="auto"/>
        <w:ind w:left="1134" w:firstLine="420"/>
        <w:rPr>
          <w:b/>
          <w:sz w:val="32"/>
          <w:u w:val="single"/>
        </w:rPr>
      </w:pPr>
      <w:r>
        <w:rPr>
          <w:rFonts w:ascii="宋体" w:hAnsi="宋体" w:eastAsia="宋体" w:cs="Times New Roman"/>
          <w:b/>
          <w:color w:val="000000"/>
          <w:sz w:val="32"/>
        </w:rPr>
        <w:t>学院（部）：____________________</w:t>
      </w:r>
    </w:p>
    <w:p w14:paraId="2B5DEC98">
      <w:pPr>
        <w:keepNext w:val="0"/>
        <w:snapToGrid w:val="0"/>
        <w:spacing w:before="0" w:after="20" w:line="360" w:lineRule="auto"/>
        <w:ind w:left="1134" w:right="-9" w:firstLine="420"/>
        <w:rPr>
          <w:b/>
          <w:sz w:val="32"/>
          <w:u w:val="single"/>
        </w:rPr>
      </w:pPr>
      <w:r>
        <w:rPr>
          <w:rFonts w:ascii="宋体" w:hAnsi="宋体" w:eastAsia="宋体" w:cs="Times New Roman"/>
          <w:b/>
          <w:color w:val="000000"/>
          <w:sz w:val="32"/>
        </w:rPr>
        <w:t>学科/专业学位类别：____________________</w:t>
      </w:r>
    </w:p>
    <w:p w14:paraId="4D4A53FE">
      <w:pPr>
        <w:keepNext w:val="0"/>
        <w:snapToGrid w:val="0"/>
        <w:spacing w:before="0" w:after="20" w:line="360" w:lineRule="auto"/>
        <w:ind w:left="1134" w:firstLine="420"/>
        <w:rPr>
          <w:b/>
          <w:sz w:val="32"/>
          <w:u w:val="single"/>
        </w:rPr>
      </w:pPr>
      <w:r>
        <w:rPr>
          <w:rFonts w:ascii="宋体" w:hAnsi="宋体" w:eastAsia="宋体" w:cs="Times New Roman"/>
          <w:b/>
          <w:color w:val="000000"/>
          <w:sz w:val="32"/>
        </w:rPr>
        <w:t>导师：____________________</w:t>
      </w:r>
    </w:p>
    <w:p w14:paraId="378509C5">
      <w:pPr>
        <w:keepNext w:val="0"/>
        <w:snapToGrid w:val="0"/>
        <w:spacing w:before="0" w:after="20" w:line="360" w:lineRule="auto"/>
        <w:ind w:left="1134" w:right="-9" w:firstLine="420"/>
        <w:rPr>
          <w:b/>
          <w:sz w:val="32"/>
          <w:u w:val="single"/>
        </w:rPr>
      </w:pPr>
      <w:r>
        <w:rPr>
          <w:rFonts w:ascii="宋体" w:hAnsi="宋体" w:eastAsia="宋体" w:cs="Times New Roman"/>
          <w:b/>
          <w:color w:val="000000"/>
          <w:sz w:val="32"/>
        </w:rPr>
        <w:t>研究生：____________________</w:t>
      </w:r>
    </w:p>
    <w:p w14:paraId="05D4A3E3">
      <w:pPr>
        <w:keepNext w:val="0"/>
        <w:snapToGrid w:val="0"/>
        <w:spacing w:before="0" w:after="20" w:line="360" w:lineRule="auto"/>
        <w:ind w:left="1134" w:firstLine="420"/>
        <w:rPr>
          <w:b/>
          <w:sz w:val="32"/>
          <w:u w:val="single"/>
        </w:rPr>
      </w:pPr>
      <w:r>
        <w:rPr>
          <w:rFonts w:ascii="宋体" w:hAnsi="宋体" w:eastAsia="宋体" w:cs="Times New Roman"/>
          <w:b/>
          <w:color w:val="000000"/>
          <w:sz w:val="32"/>
        </w:rPr>
        <w:t>学号：____________________</w:t>
      </w:r>
    </w:p>
    <w:p w14:paraId="499FDC5C">
      <w:pPr>
        <w:keepNext w:val="0"/>
        <w:snapToGrid w:val="0"/>
        <w:spacing w:before="0" w:after="20" w:line="360" w:lineRule="auto"/>
        <w:ind w:left="1134" w:firstLine="420"/>
        <w:rPr>
          <w:b/>
          <w:sz w:val="32"/>
          <w:u w:val="single"/>
        </w:rPr>
      </w:pPr>
      <w:r>
        <w:rPr>
          <w:rFonts w:ascii="宋体" w:hAnsi="宋体" w:eastAsia="宋体" w:cs="Times New Roman"/>
          <w:b/>
          <w:color w:val="000000"/>
          <w:sz w:val="32"/>
        </w:rPr>
        <w:t>开题报告日期：____________________</w:t>
      </w:r>
    </w:p>
    <w:p w14:paraId="41B0077A">
      <w:pPr>
        <w:keepNext w:val="0"/>
        <w:snapToGrid w:val="0"/>
        <w:spacing w:before="0" w:after="20" w:line="360" w:lineRule="auto"/>
        <w:ind w:firstLine="420"/>
        <w:rPr>
          <w:b/>
          <w:sz w:val="32"/>
        </w:rPr>
      </w:pPr>
    </w:p>
    <w:p w14:paraId="342E9C1C">
      <w:pPr>
        <w:spacing w:after="0"/>
      </w:pPr>
      <w:r>
        <w:br w:type="page"/>
      </w:r>
    </w:p>
    <w:sdt>
      <w:sdtPr>
        <w:rPr>
          <w:rFonts w:ascii="宋体" w:hAnsi="宋体" w:eastAsia="宋体" w:cs="Times New Roman"/>
          <w:color w:val="000000"/>
          <w:kern w:val="2"/>
          <w:sz w:val="21"/>
          <w:szCs w:val="20"/>
          <w:lang w:val="en-US" w:eastAsia="zh-CN" w:bidi="ar-SA"/>
        </w:rPr>
        <w:id w:val="147482282"/>
        <w15:color w:val="DBDBDB"/>
        <w:docPartObj>
          <w:docPartGallery w:val="Table of Contents"/>
          <w:docPartUnique/>
        </w:docPartObj>
      </w:sdtPr>
      <w:sdtEndPr>
        <w:rPr>
          <w:rFonts w:ascii="宋体" w:hAnsi="宋体" w:eastAsia="宋体" w:cs="Times New Roman"/>
          <w:color w:val="000000"/>
          <w:kern w:val="2"/>
          <w:sz w:val="21"/>
          <w:szCs w:val="20"/>
          <w:lang w:val="en-US" w:eastAsia="zh-CN" w:bidi="ar-SA"/>
        </w:rPr>
      </w:sdtEndPr>
      <w:sdtContent>
        <w:p w14:paraId="28C8867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BDE603A">
          <w:pPr>
            <w:pStyle w:val="11"/>
            <w:tabs>
              <w:tab w:val="right" w:leader="dot" w:pos="9075"/>
            </w:tabs>
          </w:pPr>
          <w:r>
            <w:fldChar w:fldCharType="begin"/>
          </w:r>
          <w:r>
            <w:instrText xml:space="preserve">TOC \o "1-3" \h \u </w:instrText>
          </w:r>
          <w:r>
            <w:fldChar w:fldCharType="separate"/>
          </w:r>
          <w:r>
            <w:fldChar w:fldCharType="begin"/>
          </w:r>
          <w:r>
            <w:instrText xml:space="preserve"> HYPERLINK \l _Toc6406 </w:instrText>
          </w:r>
          <w:r>
            <w:fldChar w:fldCharType="separate"/>
          </w:r>
          <w:r>
            <w:rPr>
              <w:rFonts w:ascii="宋体" w:hAnsi="宋体" w:eastAsia="宋体"/>
            </w:rPr>
            <w:t>摘 要</w:t>
          </w:r>
          <w:r>
            <w:tab/>
          </w:r>
          <w:r>
            <w:fldChar w:fldCharType="begin"/>
          </w:r>
          <w:r>
            <w:instrText xml:space="preserve"> PAGEREF _Toc6406 \h </w:instrText>
          </w:r>
          <w:r>
            <w:fldChar w:fldCharType="separate"/>
          </w:r>
          <w:r>
            <w:t>4</w:t>
          </w:r>
          <w:r>
            <w:fldChar w:fldCharType="end"/>
          </w:r>
          <w:r>
            <w:fldChar w:fldCharType="end"/>
          </w:r>
        </w:p>
        <w:p w14:paraId="7A86902B">
          <w:pPr>
            <w:pStyle w:val="11"/>
            <w:tabs>
              <w:tab w:val="right" w:leader="dot" w:pos="9075"/>
            </w:tabs>
          </w:pPr>
          <w:r>
            <w:fldChar w:fldCharType="begin"/>
          </w:r>
          <w:r>
            <w:instrText xml:space="preserve"> HYPERLINK \l _Toc7116 </w:instrText>
          </w:r>
          <w:r>
            <w:fldChar w:fldCharType="separate"/>
          </w:r>
          <w:r>
            <w:rPr>
              <w:rFonts w:ascii="Times New Roman" w:hAnsi="Times New Roman" w:eastAsia="黑体" w:cs="Times New Roman"/>
            </w:rPr>
            <w:t>1 课题来源及研究目的和意义</w:t>
          </w:r>
          <w:r>
            <w:tab/>
          </w:r>
          <w:r>
            <w:fldChar w:fldCharType="begin"/>
          </w:r>
          <w:r>
            <w:instrText xml:space="preserve"> PAGEREF _Toc7116 \h </w:instrText>
          </w:r>
          <w:r>
            <w:fldChar w:fldCharType="separate"/>
          </w:r>
          <w:r>
            <w:t>5</w:t>
          </w:r>
          <w:r>
            <w:fldChar w:fldCharType="end"/>
          </w:r>
          <w:r>
            <w:fldChar w:fldCharType="end"/>
          </w:r>
        </w:p>
        <w:p w14:paraId="46E09F4D">
          <w:pPr>
            <w:pStyle w:val="12"/>
            <w:tabs>
              <w:tab w:val="right" w:leader="dot" w:pos="9075"/>
            </w:tabs>
          </w:pPr>
          <w:r>
            <w:fldChar w:fldCharType="begin"/>
          </w:r>
          <w:r>
            <w:instrText xml:space="preserve"> HYPERLINK \l _Toc9770 </w:instrText>
          </w:r>
          <w:r>
            <w:fldChar w:fldCharType="separate"/>
          </w:r>
          <w:r>
            <w:rPr>
              <w:rFonts w:ascii="Times New Roman" w:hAnsi="Times New Roman" w:eastAsia="黑体" w:cs="Times New Roman"/>
            </w:rPr>
            <w:t>1.1 课题来源</w:t>
          </w:r>
          <w:r>
            <w:tab/>
          </w:r>
          <w:r>
            <w:fldChar w:fldCharType="begin"/>
          </w:r>
          <w:r>
            <w:instrText xml:space="preserve"> PAGEREF _Toc9770 \h </w:instrText>
          </w:r>
          <w:r>
            <w:fldChar w:fldCharType="separate"/>
          </w:r>
          <w:r>
            <w:t>5</w:t>
          </w:r>
          <w:r>
            <w:fldChar w:fldCharType="end"/>
          </w:r>
          <w:r>
            <w:fldChar w:fldCharType="end"/>
          </w:r>
        </w:p>
        <w:p w14:paraId="59C48402">
          <w:pPr>
            <w:pStyle w:val="12"/>
            <w:tabs>
              <w:tab w:val="right" w:leader="dot" w:pos="9075"/>
            </w:tabs>
          </w:pPr>
          <w:r>
            <w:fldChar w:fldCharType="begin"/>
          </w:r>
          <w:r>
            <w:instrText xml:space="preserve"> HYPERLINK \l _Toc31920 </w:instrText>
          </w:r>
          <w:r>
            <w:fldChar w:fldCharType="separate"/>
          </w:r>
          <w:r>
            <w:rPr>
              <w:rFonts w:ascii="Times New Roman" w:hAnsi="Times New Roman" w:eastAsia="黑体" w:cs="Times New Roman"/>
            </w:rPr>
            <w:t>1.2 课题研究目的和意义</w:t>
          </w:r>
          <w:r>
            <w:tab/>
          </w:r>
          <w:r>
            <w:fldChar w:fldCharType="begin"/>
          </w:r>
          <w:r>
            <w:instrText xml:space="preserve"> PAGEREF _Toc31920 \h </w:instrText>
          </w:r>
          <w:r>
            <w:fldChar w:fldCharType="separate"/>
          </w:r>
          <w:r>
            <w:t>5</w:t>
          </w:r>
          <w:r>
            <w:fldChar w:fldCharType="end"/>
          </w:r>
          <w:r>
            <w:fldChar w:fldCharType="end"/>
          </w:r>
        </w:p>
        <w:p w14:paraId="5D6BCADD">
          <w:pPr>
            <w:pStyle w:val="5"/>
            <w:tabs>
              <w:tab w:val="right" w:leader="dot" w:pos="9075"/>
            </w:tabs>
          </w:pPr>
          <w:r>
            <w:fldChar w:fldCharType="begin"/>
          </w:r>
          <w:r>
            <w:instrText xml:space="preserve"> HYPERLINK \l _Toc20269 </w:instrText>
          </w:r>
          <w:r>
            <w:fldChar w:fldCharType="separate"/>
          </w:r>
          <w:r>
            <w:rPr>
              <w:rFonts w:ascii="Times New Roman" w:hAnsi="Times New Roman" w:eastAsia="黑体" w:cs="Times New Roman"/>
            </w:rPr>
            <w:t>1.2.1 AI基础设施扩张与研究目的</w:t>
          </w:r>
          <w:r>
            <w:tab/>
          </w:r>
          <w:r>
            <w:fldChar w:fldCharType="begin"/>
          </w:r>
          <w:r>
            <w:instrText xml:space="preserve"> PAGEREF _Toc20269 \h </w:instrText>
          </w:r>
          <w:r>
            <w:fldChar w:fldCharType="separate"/>
          </w:r>
          <w:r>
            <w:t>5</w:t>
          </w:r>
          <w:r>
            <w:fldChar w:fldCharType="end"/>
          </w:r>
          <w:r>
            <w:fldChar w:fldCharType="end"/>
          </w:r>
        </w:p>
        <w:p w14:paraId="32454C4D">
          <w:pPr>
            <w:pStyle w:val="5"/>
            <w:tabs>
              <w:tab w:val="right" w:leader="dot" w:pos="9075"/>
            </w:tabs>
          </w:pPr>
          <w:r>
            <w:fldChar w:fldCharType="begin"/>
          </w:r>
          <w:r>
            <w:instrText xml:space="preserve"> HYPERLINK \l _Toc28861 </w:instrText>
          </w:r>
          <w:r>
            <w:fldChar w:fldCharType="separate"/>
          </w:r>
          <w:r>
            <w:rPr>
              <w:rFonts w:ascii="Times New Roman" w:hAnsi="Times New Roman" w:eastAsia="黑体" w:cs="Times New Roman"/>
            </w:rPr>
            <w:t>1.2.2 从设施足迹转向城市系统</w:t>
          </w:r>
          <w:r>
            <w:tab/>
          </w:r>
          <w:r>
            <w:fldChar w:fldCharType="begin"/>
          </w:r>
          <w:r>
            <w:instrText xml:space="preserve"> PAGEREF _Toc28861 \h </w:instrText>
          </w:r>
          <w:r>
            <w:fldChar w:fldCharType="separate"/>
          </w:r>
          <w:r>
            <w:t>6</w:t>
          </w:r>
          <w:r>
            <w:fldChar w:fldCharType="end"/>
          </w:r>
          <w:r>
            <w:fldChar w:fldCharType="end"/>
          </w:r>
        </w:p>
        <w:p w14:paraId="474CB665">
          <w:pPr>
            <w:pStyle w:val="5"/>
            <w:tabs>
              <w:tab w:val="right" w:leader="dot" w:pos="9075"/>
            </w:tabs>
          </w:pPr>
          <w:r>
            <w:fldChar w:fldCharType="begin"/>
          </w:r>
          <w:r>
            <w:instrText xml:space="preserve"> HYPERLINK \l _Toc12130 </w:instrText>
          </w:r>
          <w:r>
            <w:fldChar w:fldCharType="separate"/>
          </w:r>
          <w:r>
            <w:rPr>
              <w:rFonts w:ascii="Times New Roman" w:hAnsi="Times New Roman" w:eastAsia="黑体" w:cs="Times New Roman"/>
            </w:rPr>
            <w:t>1.2.3 理论意义</w:t>
          </w:r>
          <w:r>
            <w:tab/>
          </w:r>
          <w:r>
            <w:fldChar w:fldCharType="begin"/>
          </w:r>
          <w:r>
            <w:instrText xml:space="preserve"> PAGEREF _Toc12130 \h </w:instrText>
          </w:r>
          <w:r>
            <w:fldChar w:fldCharType="separate"/>
          </w:r>
          <w:r>
            <w:t>6</w:t>
          </w:r>
          <w:r>
            <w:fldChar w:fldCharType="end"/>
          </w:r>
          <w:r>
            <w:fldChar w:fldCharType="end"/>
          </w:r>
        </w:p>
        <w:p w14:paraId="6AF4B521">
          <w:pPr>
            <w:pStyle w:val="5"/>
            <w:tabs>
              <w:tab w:val="right" w:leader="dot" w:pos="9075"/>
            </w:tabs>
          </w:pPr>
          <w:r>
            <w:fldChar w:fldCharType="begin"/>
          </w:r>
          <w:r>
            <w:instrText xml:space="preserve"> HYPERLINK \l _Toc32291 </w:instrText>
          </w:r>
          <w:r>
            <w:fldChar w:fldCharType="separate"/>
          </w:r>
          <w:r>
            <w:rPr>
              <w:rFonts w:ascii="Times New Roman" w:hAnsi="Times New Roman" w:eastAsia="黑体" w:cs="Times New Roman"/>
            </w:rPr>
            <w:t>1.2.4 实践意义</w:t>
          </w:r>
          <w:r>
            <w:tab/>
          </w:r>
          <w:r>
            <w:fldChar w:fldCharType="begin"/>
          </w:r>
          <w:r>
            <w:instrText xml:space="preserve"> PAGEREF _Toc32291 \h </w:instrText>
          </w:r>
          <w:r>
            <w:fldChar w:fldCharType="separate"/>
          </w:r>
          <w:r>
            <w:t>6</w:t>
          </w:r>
          <w:r>
            <w:fldChar w:fldCharType="end"/>
          </w:r>
          <w:r>
            <w:fldChar w:fldCharType="end"/>
          </w:r>
        </w:p>
        <w:p w14:paraId="3F7CD9F5">
          <w:pPr>
            <w:pStyle w:val="12"/>
            <w:tabs>
              <w:tab w:val="right" w:leader="dot" w:pos="9075"/>
            </w:tabs>
          </w:pPr>
          <w:r>
            <w:fldChar w:fldCharType="begin"/>
          </w:r>
          <w:r>
            <w:instrText xml:space="preserve"> HYPERLINK \l _Toc21442 </w:instrText>
          </w:r>
          <w:r>
            <w:fldChar w:fldCharType="separate"/>
          </w:r>
          <w:r>
            <w:rPr>
              <w:rFonts w:ascii="Times New Roman" w:hAnsi="Times New Roman" w:eastAsia="黑体" w:cs="Times New Roman"/>
            </w:rPr>
            <w:t>1.3 研究对象与核心概念</w:t>
          </w:r>
          <w:r>
            <w:tab/>
          </w:r>
          <w:r>
            <w:fldChar w:fldCharType="begin"/>
          </w:r>
          <w:r>
            <w:instrText xml:space="preserve"> PAGEREF _Toc21442 \h </w:instrText>
          </w:r>
          <w:r>
            <w:fldChar w:fldCharType="separate"/>
          </w:r>
          <w:r>
            <w:t>7</w:t>
          </w:r>
          <w:r>
            <w:fldChar w:fldCharType="end"/>
          </w:r>
          <w:r>
            <w:fldChar w:fldCharType="end"/>
          </w:r>
        </w:p>
        <w:p w14:paraId="4F09D684">
          <w:pPr>
            <w:pStyle w:val="11"/>
            <w:tabs>
              <w:tab w:val="right" w:leader="dot" w:pos="9075"/>
            </w:tabs>
          </w:pPr>
          <w:r>
            <w:fldChar w:fldCharType="begin"/>
          </w:r>
          <w:r>
            <w:instrText xml:space="preserve"> HYPERLINK \l _Toc10098 </w:instrText>
          </w:r>
          <w:r>
            <w:fldChar w:fldCharType="separate"/>
          </w:r>
          <w:r>
            <w:rPr>
              <w:rFonts w:ascii="Times New Roman" w:hAnsi="Times New Roman" w:eastAsia="黑体" w:cs="Times New Roman"/>
            </w:rPr>
            <w:t>2 国内外研究现状及分析</w:t>
          </w:r>
          <w:r>
            <w:tab/>
          </w:r>
          <w:r>
            <w:fldChar w:fldCharType="begin"/>
          </w:r>
          <w:r>
            <w:instrText xml:space="preserve"> PAGEREF _Toc10098 \h </w:instrText>
          </w:r>
          <w:r>
            <w:fldChar w:fldCharType="separate"/>
          </w:r>
          <w:r>
            <w:t>8</w:t>
          </w:r>
          <w:r>
            <w:fldChar w:fldCharType="end"/>
          </w:r>
          <w:r>
            <w:fldChar w:fldCharType="end"/>
          </w:r>
        </w:p>
        <w:p w14:paraId="286598FD">
          <w:pPr>
            <w:pStyle w:val="12"/>
            <w:tabs>
              <w:tab w:val="right" w:leader="dot" w:pos="9075"/>
            </w:tabs>
          </w:pPr>
          <w:r>
            <w:fldChar w:fldCharType="begin"/>
          </w:r>
          <w:r>
            <w:instrText xml:space="preserve"> HYPERLINK \l _Toc8233 </w:instrText>
          </w:r>
          <w:r>
            <w:fldChar w:fldCharType="separate"/>
          </w:r>
          <w:r>
            <w:rPr>
              <w:rFonts w:ascii="Times New Roman" w:hAnsi="Times New Roman" w:eastAsia="黑体" w:cs="Times New Roman"/>
            </w:rPr>
            <w:t>2.1 国外研究现状</w:t>
          </w:r>
          <w:r>
            <w:tab/>
          </w:r>
          <w:r>
            <w:fldChar w:fldCharType="begin"/>
          </w:r>
          <w:r>
            <w:instrText xml:space="preserve"> PAGEREF _Toc8233 \h </w:instrText>
          </w:r>
          <w:r>
            <w:fldChar w:fldCharType="separate"/>
          </w:r>
          <w:r>
            <w:t>8</w:t>
          </w:r>
          <w:r>
            <w:fldChar w:fldCharType="end"/>
          </w:r>
          <w:r>
            <w:fldChar w:fldCharType="end"/>
          </w:r>
        </w:p>
        <w:p w14:paraId="5A96118A">
          <w:pPr>
            <w:pStyle w:val="5"/>
            <w:tabs>
              <w:tab w:val="right" w:leader="dot" w:pos="9075"/>
            </w:tabs>
          </w:pPr>
          <w:r>
            <w:fldChar w:fldCharType="begin"/>
          </w:r>
          <w:r>
            <w:instrText xml:space="preserve"> HYPERLINK \l _Toc18015 </w:instrText>
          </w:r>
          <w:r>
            <w:fldChar w:fldCharType="separate"/>
          </w:r>
          <w:r>
            <w:rPr>
              <w:rFonts w:ascii="Times New Roman" w:hAnsi="Times New Roman" w:eastAsia="黑体" w:cs="Times New Roman"/>
            </w:rPr>
            <w:t>2.1.1 城市代谢与综合城市水系统</w:t>
          </w:r>
          <w:r>
            <w:tab/>
          </w:r>
          <w:r>
            <w:fldChar w:fldCharType="begin"/>
          </w:r>
          <w:r>
            <w:instrText xml:space="preserve"> PAGEREF _Toc18015 \h </w:instrText>
          </w:r>
          <w:r>
            <w:fldChar w:fldCharType="separate"/>
          </w:r>
          <w:r>
            <w:t>8</w:t>
          </w:r>
          <w:r>
            <w:fldChar w:fldCharType="end"/>
          </w:r>
          <w:r>
            <w:fldChar w:fldCharType="end"/>
          </w:r>
        </w:p>
        <w:p w14:paraId="485F5A94">
          <w:pPr>
            <w:pStyle w:val="5"/>
            <w:tabs>
              <w:tab w:val="right" w:leader="dot" w:pos="9075"/>
            </w:tabs>
          </w:pPr>
          <w:r>
            <w:fldChar w:fldCharType="begin"/>
          </w:r>
          <w:r>
            <w:instrText xml:space="preserve"> HYPERLINK \l _Toc8095 </w:instrText>
          </w:r>
          <w:r>
            <w:fldChar w:fldCharType="separate"/>
          </w:r>
          <w:r>
            <w:rPr>
              <w:rFonts w:ascii="Times New Roman" w:hAnsi="Times New Roman" w:eastAsia="宋体"/>
            </w:rPr>
            <w:t>2.1.2 城市水，能，碳关系</w:t>
          </w:r>
          <w:r>
            <w:tab/>
          </w:r>
          <w:r>
            <w:fldChar w:fldCharType="begin"/>
          </w:r>
          <w:r>
            <w:instrText xml:space="preserve"> PAGEREF _Toc8095 \h </w:instrText>
          </w:r>
          <w:r>
            <w:fldChar w:fldCharType="separate"/>
          </w:r>
          <w:r>
            <w:t>8</w:t>
          </w:r>
          <w:r>
            <w:fldChar w:fldCharType="end"/>
          </w:r>
          <w:r>
            <w:fldChar w:fldCharType="end"/>
          </w:r>
        </w:p>
        <w:p w14:paraId="40722BF5">
          <w:pPr>
            <w:pStyle w:val="5"/>
            <w:tabs>
              <w:tab w:val="right" w:leader="dot" w:pos="9075"/>
            </w:tabs>
          </w:pPr>
          <w:r>
            <w:fldChar w:fldCharType="begin"/>
          </w:r>
          <w:r>
            <w:instrText xml:space="preserve"> HYPERLINK \l _Toc31085 </w:instrText>
          </w:r>
          <w:r>
            <w:fldChar w:fldCharType="separate"/>
          </w:r>
          <w:r>
            <w:rPr>
              <w:rFonts w:ascii="Times New Roman" w:hAnsi="Times New Roman" w:eastAsia="黑体" w:cs="Times New Roman"/>
            </w:rPr>
            <w:t>2.1.3 AI与数据中心资源环境足迹</w:t>
          </w:r>
          <w:r>
            <w:tab/>
          </w:r>
          <w:r>
            <w:fldChar w:fldCharType="begin"/>
          </w:r>
          <w:r>
            <w:instrText xml:space="preserve"> PAGEREF _Toc31085 \h </w:instrText>
          </w:r>
          <w:r>
            <w:fldChar w:fldCharType="separate"/>
          </w:r>
          <w:r>
            <w:t>9</w:t>
          </w:r>
          <w:r>
            <w:fldChar w:fldCharType="end"/>
          </w:r>
          <w:r>
            <w:fldChar w:fldCharType="end"/>
          </w:r>
        </w:p>
        <w:p w14:paraId="120EC69E">
          <w:pPr>
            <w:pStyle w:val="5"/>
            <w:tabs>
              <w:tab w:val="right" w:leader="dot" w:pos="9075"/>
            </w:tabs>
          </w:pPr>
          <w:r>
            <w:fldChar w:fldCharType="begin"/>
          </w:r>
          <w:r>
            <w:instrText xml:space="preserve"> HYPERLINK \l _Toc8135 </w:instrText>
          </w:r>
          <w:r>
            <w:fldChar w:fldCharType="separate"/>
          </w:r>
          <w:r>
            <w:rPr>
              <w:rFonts w:ascii="Times New Roman" w:hAnsi="Times New Roman" w:eastAsia="黑体" w:cs="Times New Roman"/>
            </w:rPr>
            <w:t>2.1.4 冷却与再生水工程</w:t>
          </w:r>
          <w:r>
            <w:tab/>
          </w:r>
          <w:r>
            <w:fldChar w:fldCharType="begin"/>
          </w:r>
          <w:r>
            <w:instrText xml:space="preserve"> PAGEREF _Toc8135 \h </w:instrText>
          </w:r>
          <w:r>
            <w:fldChar w:fldCharType="separate"/>
          </w:r>
          <w:r>
            <w:t>9</w:t>
          </w:r>
          <w:r>
            <w:fldChar w:fldCharType="end"/>
          </w:r>
          <w:r>
            <w:fldChar w:fldCharType="end"/>
          </w:r>
        </w:p>
        <w:p w14:paraId="30CCECCC">
          <w:pPr>
            <w:pStyle w:val="5"/>
            <w:tabs>
              <w:tab w:val="right" w:leader="dot" w:pos="9075"/>
            </w:tabs>
          </w:pPr>
          <w:r>
            <w:fldChar w:fldCharType="begin"/>
          </w:r>
          <w:r>
            <w:instrText xml:space="preserve"> HYPERLINK \l _Toc9243 </w:instrText>
          </w:r>
          <w:r>
            <w:fldChar w:fldCharType="separate"/>
          </w:r>
          <w:r>
            <w:rPr>
              <w:rFonts w:ascii="Times New Roman" w:hAnsi="Times New Roman" w:eastAsia="黑体" w:cs="Times New Roman"/>
            </w:rPr>
            <w:t>2.1.5 可靠性与不确定性决策方法</w:t>
          </w:r>
          <w:r>
            <w:tab/>
          </w:r>
          <w:r>
            <w:fldChar w:fldCharType="begin"/>
          </w:r>
          <w:r>
            <w:instrText xml:space="preserve"> PAGEREF _Toc9243 \h </w:instrText>
          </w:r>
          <w:r>
            <w:fldChar w:fldCharType="separate"/>
          </w:r>
          <w:r>
            <w:t>9</w:t>
          </w:r>
          <w:r>
            <w:fldChar w:fldCharType="end"/>
          </w:r>
          <w:r>
            <w:fldChar w:fldCharType="end"/>
          </w:r>
        </w:p>
        <w:p w14:paraId="00232C2F">
          <w:pPr>
            <w:pStyle w:val="12"/>
            <w:tabs>
              <w:tab w:val="right" w:leader="dot" w:pos="9075"/>
            </w:tabs>
          </w:pPr>
          <w:r>
            <w:fldChar w:fldCharType="begin"/>
          </w:r>
          <w:r>
            <w:instrText xml:space="preserve"> HYPERLINK \l _Toc14570 </w:instrText>
          </w:r>
          <w:r>
            <w:fldChar w:fldCharType="separate"/>
          </w:r>
          <w:r>
            <w:rPr>
              <w:rFonts w:ascii="Times New Roman" w:hAnsi="Times New Roman" w:eastAsia="黑体" w:cs="Times New Roman"/>
            </w:rPr>
            <w:t>2.2 国内研究现状</w:t>
          </w:r>
          <w:r>
            <w:tab/>
          </w:r>
          <w:r>
            <w:fldChar w:fldCharType="begin"/>
          </w:r>
          <w:r>
            <w:instrText xml:space="preserve"> PAGEREF _Toc14570 \h </w:instrText>
          </w:r>
          <w:r>
            <w:fldChar w:fldCharType="separate"/>
          </w:r>
          <w:r>
            <w:t>10</w:t>
          </w:r>
          <w:r>
            <w:fldChar w:fldCharType="end"/>
          </w:r>
          <w:r>
            <w:fldChar w:fldCharType="end"/>
          </w:r>
        </w:p>
        <w:p w14:paraId="6626CE2E">
          <w:pPr>
            <w:pStyle w:val="12"/>
            <w:tabs>
              <w:tab w:val="right" w:leader="dot" w:pos="9075"/>
            </w:tabs>
          </w:pPr>
          <w:r>
            <w:fldChar w:fldCharType="begin"/>
          </w:r>
          <w:r>
            <w:instrText xml:space="preserve"> HYPERLINK \l _Toc15689 </w:instrText>
          </w:r>
          <w:r>
            <w:fldChar w:fldCharType="separate"/>
          </w:r>
          <w:r>
            <w:rPr>
              <w:rFonts w:ascii="Times New Roman" w:hAnsi="Times New Roman" w:eastAsia="黑体" w:cs="Times New Roman"/>
            </w:rPr>
            <w:t>2.3 国内外文献综述简析</w:t>
          </w:r>
          <w:r>
            <w:tab/>
          </w:r>
          <w:r>
            <w:fldChar w:fldCharType="begin"/>
          </w:r>
          <w:r>
            <w:instrText xml:space="preserve"> PAGEREF _Toc15689 \h </w:instrText>
          </w:r>
          <w:r>
            <w:fldChar w:fldCharType="separate"/>
          </w:r>
          <w:r>
            <w:t>10</w:t>
          </w:r>
          <w:r>
            <w:fldChar w:fldCharType="end"/>
          </w:r>
          <w:r>
            <w:fldChar w:fldCharType="end"/>
          </w:r>
        </w:p>
        <w:p w14:paraId="30587F0E">
          <w:pPr>
            <w:pStyle w:val="5"/>
            <w:tabs>
              <w:tab w:val="right" w:leader="dot" w:pos="9075"/>
            </w:tabs>
          </w:pPr>
          <w:r>
            <w:fldChar w:fldCharType="begin"/>
          </w:r>
          <w:r>
            <w:instrText xml:space="preserve"> HYPERLINK \l _Toc12090 </w:instrText>
          </w:r>
          <w:r>
            <w:fldChar w:fldCharType="separate"/>
          </w:r>
          <w:r>
            <w:rPr>
              <w:rFonts w:ascii="Times New Roman" w:hAnsi="Times New Roman"/>
            </w:rPr>
            <w:t>2.3.1 现有研究的互补性与断裂</w:t>
          </w:r>
          <w:r>
            <w:tab/>
          </w:r>
          <w:r>
            <w:fldChar w:fldCharType="begin"/>
          </w:r>
          <w:r>
            <w:instrText xml:space="preserve"> PAGEREF _Toc12090 \h </w:instrText>
          </w:r>
          <w:r>
            <w:fldChar w:fldCharType="separate"/>
          </w:r>
          <w:r>
            <w:t>11</w:t>
          </w:r>
          <w:r>
            <w:fldChar w:fldCharType="end"/>
          </w:r>
          <w:r>
            <w:fldChar w:fldCharType="end"/>
          </w:r>
        </w:p>
        <w:p w14:paraId="741DD50C">
          <w:pPr>
            <w:pStyle w:val="5"/>
            <w:tabs>
              <w:tab w:val="right" w:leader="dot" w:pos="9075"/>
            </w:tabs>
          </w:pPr>
          <w:r>
            <w:fldChar w:fldCharType="begin"/>
          </w:r>
          <w:r>
            <w:instrText xml:space="preserve"> HYPERLINK \l _Toc17899 </w:instrText>
          </w:r>
          <w:r>
            <w:fldChar w:fldCharType="separate"/>
          </w:r>
          <w:r>
            <w:rPr>
              <w:rFonts w:ascii="Times New Roman" w:hAnsi="Times New Roman"/>
            </w:rPr>
            <w:t>2.3.2 本研究的切入点</w:t>
          </w:r>
          <w:r>
            <w:tab/>
          </w:r>
          <w:r>
            <w:fldChar w:fldCharType="begin"/>
          </w:r>
          <w:r>
            <w:instrText xml:space="preserve"> PAGEREF _Toc17899 \h </w:instrText>
          </w:r>
          <w:r>
            <w:fldChar w:fldCharType="separate"/>
          </w:r>
          <w:r>
            <w:t>11</w:t>
          </w:r>
          <w:r>
            <w:fldChar w:fldCharType="end"/>
          </w:r>
          <w:r>
            <w:fldChar w:fldCharType="end"/>
          </w:r>
        </w:p>
        <w:p w14:paraId="76C3A5B1">
          <w:pPr>
            <w:pStyle w:val="5"/>
            <w:tabs>
              <w:tab w:val="right" w:leader="dot" w:pos="9075"/>
            </w:tabs>
          </w:pPr>
          <w:r>
            <w:fldChar w:fldCharType="begin"/>
          </w:r>
          <w:r>
            <w:instrText xml:space="preserve"> HYPERLINK \l _Toc16188 </w:instrText>
          </w:r>
          <w:r>
            <w:fldChar w:fldCharType="separate"/>
          </w:r>
          <w:r>
            <w:rPr>
              <w:rFonts w:ascii="Times New Roman" w:hAnsi="Times New Roman"/>
            </w:rPr>
            <w:t>2.3.3 可检验的科学缺口</w:t>
          </w:r>
          <w:r>
            <w:tab/>
          </w:r>
          <w:r>
            <w:fldChar w:fldCharType="begin"/>
          </w:r>
          <w:r>
            <w:instrText xml:space="preserve"> PAGEREF _Toc16188 \h </w:instrText>
          </w:r>
          <w:r>
            <w:fldChar w:fldCharType="separate"/>
          </w:r>
          <w:r>
            <w:t>11</w:t>
          </w:r>
          <w:r>
            <w:fldChar w:fldCharType="end"/>
          </w:r>
          <w:r>
            <w:fldChar w:fldCharType="end"/>
          </w:r>
        </w:p>
        <w:p w14:paraId="40A77DC1">
          <w:pPr>
            <w:pStyle w:val="11"/>
            <w:tabs>
              <w:tab w:val="right" w:leader="dot" w:pos="9075"/>
            </w:tabs>
          </w:pPr>
          <w:r>
            <w:fldChar w:fldCharType="begin"/>
          </w:r>
          <w:r>
            <w:instrText xml:space="preserve"> HYPERLINK \l _Toc21069 </w:instrText>
          </w:r>
          <w:r>
            <w:fldChar w:fldCharType="separate"/>
          </w:r>
          <w:r>
            <w:rPr>
              <w:rFonts w:ascii="Times New Roman" w:hAnsi="Times New Roman" w:eastAsia="黑体" w:cs="Times New Roman"/>
            </w:rPr>
            <w:t>3 主要内容及方案</w:t>
          </w:r>
          <w:r>
            <w:tab/>
          </w:r>
          <w:r>
            <w:fldChar w:fldCharType="begin"/>
          </w:r>
          <w:r>
            <w:instrText xml:space="preserve"> PAGEREF _Toc21069 \h </w:instrText>
          </w:r>
          <w:r>
            <w:fldChar w:fldCharType="separate"/>
          </w:r>
          <w:r>
            <w:t>13</w:t>
          </w:r>
          <w:r>
            <w:fldChar w:fldCharType="end"/>
          </w:r>
          <w:r>
            <w:fldChar w:fldCharType="end"/>
          </w:r>
        </w:p>
        <w:p w14:paraId="53247A6C">
          <w:pPr>
            <w:pStyle w:val="12"/>
            <w:tabs>
              <w:tab w:val="right" w:leader="dot" w:pos="9075"/>
            </w:tabs>
          </w:pPr>
          <w:r>
            <w:fldChar w:fldCharType="begin"/>
          </w:r>
          <w:r>
            <w:instrText xml:space="preserve"> HYPERLINK \l _Toc13950 </w:instrText>
          </w:r>
          <w:r>
            <w:fldChar w:fldCharType="separate"/>
          </w:r>
          <w:r>
            <w:rPr>
              <w:rFonts w:ascii="Times New Roman" w:hAnsi="Times New Roman" w:eastAsia="黑体" w:cs="Times New Roman"/>
            </w:rPr>
            <w:t>3.1 科学问题与研究假设</w:t>
          </w:r>
          <w:r>
            <w:tab/>
          </w:r>
          <w:r>
            <w:fldChar w:fldCharType="begin"/>
          </w:r>
          <w:r>
            <w:instrText xml:space="preserve"> PAGEREF _Toc13950 \h </w:instrText>
          </w:r>
          <w:r>
            <w:fldChar w:fldCharType="separate"/>
          </w:r>
          <w:r>
            <w:t>13</w:t>
          </w:r>
          <w:r>
            <w:fldChar w:fldCharType="end"/>
          </w:r>
          <w:r>
            <w:fldChar w:fldCharType="end"/>
          </w:r>
        </w:p>
        <w:p w14:paraId="35DDBAD6">
          <w:pPr>
            <w:pStyle w:val="12"/>
            <w:tabs>
              <w:tab w:val="right" w:leader="dot" w:pos="9075"/>
            </w:tabs>
          </w:pPr>
          <w:r>
            <w:fldChar w:fldCharType="begin"/>
          </w:r>
          <w:r>
            <w:instrText xml:space="preserve"> HYPERLINK \l _Toc8815 </w:instrText>
          </w:r>
          <w:r>
            <w:fldChar w:fldCharType="separate"/>
          </w:r>
          <w:r>
            <w:rPr>
              <w:rFonts w:ascii="Times New Roman" w:hAnsi="Times New Roman" w:eastAsia="黑体" w:cs="Times New Roman"/>
            </w:rPr>
            <w:t>3.2 研究内容与总体框架</w:t>
          </w:r>
          <w:r>
            <w:tab/>
          </w:r>
          <w:r>
            <w:fldChar w:fldCharType="begin"/>
          </w:r>
          <w:r>
            <w:instrText xml:space="preserve"> PAGEREF _Toc8815 \h </w:instrText>
          </w:r>
          <w:r>
            <w:fldChar w:fldCharType="separate"/>
          </w:r>
          <w:r>
            <w:t>13</w:t>
          </w:r>
          <w:r>
            <w:fldChar w:fldCharType="end"/>
          </w:r>
          <w:r>
            <w:fldChar w:fldCharType="end"/>
          </w:r>
        </w:p>
        <w:p w14:paraId="6A4E0C73">
          <w:pPr>
            <w:pStyle w:val="12"/>
            <w:tabs>
              <w:tab w:val="right" w:leader="dot" w:pos="9075"/>
            </w:tabs>
          </w:pPr>
          <w:r>
            <w:fldChar w:fldCharType="begin"/>
          </w:r>
          <w:r>
            <w:instrText xml:space="preserve"> HYPERLINK \l _Toc770 </w:instrText>
          </w:r>
          <w:r>
            <w:fldChar w:fldCharType="separate"/>
          </w:r>
          <w:r>
            <w:rPr>
              <w:rFonts w:ascii="Times New Roman" w:hAnsi="Times New Roman" w:eastAsia="黑体" w:cs="Times New Roman"/>
            </w:rPr>
            <w:t>3.3 总体技术路线</w:t>
          </w:r>
          <w:r>
            <w:tab/>
          </w:r>
          <w:r>
            <w:fldChar w:fldCharType="begin"/>
          </w:r>
          <w:r>
            <w:instrText xml:space="preserve"> PAGEREF _Toc770 \h </w:instrText>
          </w:r>
          <w:r>
            <w:fldChar w:fldCharType="separate"/>
          </w:r>
          <w:r>
            <w:t>14</w:t>
          </w:r>
          <w:r>
            <w:fldChar w:fldCharType="end"/>
          </w:r>
          <w:r>
            <w:fldChar w:fldCharType="end"/>
          </w:r>
        </w:p>
        <w:p w14:paraId="31A511B6">
          <w:pPr>
            <w:pStyle w:val="12"/>
            <w:tabs>
              <w:tab w:val="right" w:leader="dot" w:pos="9075"/>
            </w:tabs>
          </w:pPr>
          <w:r>
            <w:fldChar w:fldCharType="begin"/>
          </w:r>
          <w:r>
            <w:instrText xml:space="preserve"> HYPERLINK \l _Toc27201 </w:instrText>
          </w:r>
          <w:r>
            <w:fldChar w:fldCharType="separate"/>
          </w:r>
          <w:r>
            <w:rPr>
              <w:rFonts w:ascii="Times New Roman" w:hAnsi="Times New Roman" w:eastAsia="黑体" w:cs="Times New Roman"/>
            </w:rPr>
            <w:t>3.4 城市水系统边界与守恒关系</w:t>
          </w:r>
          <w:r>
            <w:tab/>
          </w:r>
          <w:r>
            <w:fldChar w:fldCharType="begin"/>
          </w:r>
          <w:r>
            <w:instrText xml:space="preserve"> PAGEREF _Toc27201 \h </w:instrText>
          </w:r>
          <w:r>
            <w:fldChar w:fldCharType="separate"/>
          </w:r>
          <w:r>
            <w:t>15</w:t>
          </w:r>
          <w:r>
            <w:fldChar w:fldCharType="end"/>
          </w:r>
          <w:r>
            <w:fldChar w:fldCharType="end"/>
          </w:r>
        </w:p>
        <w:p w14:paraId="232F643F">
          <w:pPr>
            <w:pStyle w:val="12"/>
            <w:tabs>
              <w:tab w:val="right" w:leader="dot" w:pos="9075"/>
            </w:tabs>
          </w:pPr>
          <w:r>
            <w:fldChar w:fldCharType="begin"/>
          </w:r>
          <w:r>
            <w:instrText xml:space="preserve"> HYPERLINK \l _Toc30475 </w:instrText>
          </w:r>
          <w:r>
            <w:fldChar w:fldCharType="separate"/>
          </w:r>
          <w:r>
            <w:rPr>
              <w:rFonts w:ascii="Times New Roman" w:hAnsi="Times New Roman" w:eastAsia="黑体" w:cs="Times New Roman"/>
            </w:rPr>
            <w:t>3.5 AI设施过程模型</w:t>
          </w:r>
          <w:r>
            <w:tab/>
          </w:r>
          <w:r>
            <w:fldChar w:fldCharType="begin"/>
          </w:r>
          <w:r>
            <w:instrText xml:space="preserve"> PAGEREF _Toc30475 \h </w:instrText>
          </w:r>
          <w:r>
            <w:fldChar w:fldCharType="separate"/>
          </w:r>
          <w:r>
            <w:t>15</w:t>
          </w:r>
          <w:r>
            <w:fldChar w:fldCharType="end"/>
          </w:r>
          <w:r>
            <w:fldChar w:fldCharType="end"/>
          </w:r>
        </w:p>
        <w:p w14:paraId="6688A88A">
          <w:pPr>
            <w:pStyle w:val="12"/>
            <w:tabs>
              <w:tab w:val="right" w:leader="dot" w:pos="9075"/>
            </w:tabs>
          </w:pPr>
          <w:r>
            <w:fldChar w:fldCharType="begin"/>
          </w:r>
          <w:r>
            <w:instrText xml:space="preserve"> HYPERLINK \l _Toc12490 </w:instrText>
          </w:r>
          <w:r>
            <w:fldChar w:fldCharType="separate"/>
          </w:r>
          <w:r>
            <w:rPr>
              <w:rFonts w:ascii="Times New Roman" w:hAnsi="Times New Roman" w:eastAsia="黑体" w:cs="Times New Roman"/>
            </w:rPr>
            <w:t>3.6 水源、再生水与分配机制</w:t>
          </w:r>
          <w:r>
            <w:tab/>
          </w:r>
          <w:r>
            <w:fldChar w:fldCharType="begin"/>
          </w:r>
          <w:r>
            <w:instrText xml:space="preserve"> PAGEREF _Toc12490 \h </w:instrText>
          </w:r>
          <w:r>
            <w:fldChar w:fldCharType="separate"/>
          </w:r>
          <w:r>
            <w:t>15</w:t>
          </w:r>
          <w:r>
            <w:fldChar w:fldCharType="end"/>
          </w:r>
          <w:r>
            <w:fldChar w:fldCharType="end"/>
          </w:r>
        </w:p>
        <w:p w14:paraId="2ECC031C">
          <w:pPr>
            <w:pStyle w:val="12"/>
            <w:tabs>
              <w:tab w:val="right" w:leader="dot" w:pos="9075"/>
            </w:tabs>
          </w:pPr>
          <w:r>
            <w:fldChar w:fldCharType="begin"/>
          </w:r>
          <w:r>
            <w:instrText xml:space="preserve"> HYPERLINK \l _Toc11300 </w:instrText>
          </w:r>
          <w:r>
            <w:fldChar w:fldCharType="separate"/>
          </w:r>
          <w:r>
            <w:rPr>
              <w:rFonts w:ascii="Times New Roman" w:hAnsi="Times New Roman" w:eastAsia="黑体" w:cs="Times New Roman"/>
            </w:rPr>
            <w:t>3.7 代谢指标与对照设计</w:t>
          </w:r>
          <w:r>
            <w:tab/>
          </w:r>
          <w:r>
            <w:fldChar w:fldCharType="begin"/>
          </w:r>
          <w:r>
            <w:instrText xml:space="preserve"> PAGEREF _Toc11300 \h </w:instrText>
          </w:r>
          <w:r>
            <w:fldChar w:fldCharType="separate"/>
          </w:r>
          <w:r>
            <w:t>16</w:t>
          </w:r>
          <w:r>
            <w:fldChar w:fldCharType="end"/>
          </w:r>
          <w:r>
            <w:fldChar w:fldCharType="end"/>
          </w:r>
        </w:p>
        <w:p w14:paraId="1E843369">
          <w:pPr>
            <w:pStyle w:val="5"/>
            <w:tabs>
              <w:tab w:val="right" w:leader="dot" w:pos="9075"/>
            </w:tabs>
          </w:pPr>
          <w:r>
            <w:fldChar w:fldCharType="begin"/>
          </w:r>
          <w:r>
            <w:instrText xml:space="preserve"> HYPERLINK \l _Toc9600 </w:instrText>
          </w:r>
          <w:r>
            <w:fldChar w:fldCharType="separate"/>
          </w:r>
          <w:r>
            <w:rPr>
              <w:rFonts w:ascii="Times New Roman" w:hAnsi="Times New Roman"/>
            </w:rPr>
            <w:t>3.7.1 实验矩阵与对照设计</w:t>
          </w:r>
          <w:r>
            <w:tab/>
          </w:r>
          <w:r>
            <w:fldChar w:fldCharType="begin"/>
          </w:r>
          <w:r>
            <w:instrText xml:space="preserve"> PAGEREF _Toc9600 \h </w:instrText>
          </w:r>
          <w:r>
            <w:fldChar w:fldCharType="separate"/>
          </w:r>
          <w:r>
            <w:t>16</w:t>
          </w:r>
          <w:r>
            <w:fldChar w:fldCharType="end"/>
          </w:r>
          <w:r>
            <w:fldChar w:fldCharType="end"/>
          </w:r>
        </w:p>
        <w:p w14:paraId="5306740C">
          <w:pPr>
            <w:pStyle w:val="5"/>
            <w:tabs>
              <w:tab w:val="right" w:leader="dot" w:pos="9075"/>
            </w:tabs>
          </w:pPr>
          <w:r>
            <w:fldChar w:fldCharType="begin"/>
          </w:r>
          <w:r>
            <w:instrText xml:space="preserve"> HYPERLINK \l _Toc1952 </w:instrText>
          </w:r>
          <w:r>
            <w:fldChar w:fldCharType="separate"/>
          </w:r>
          <w:r>
            <w:rPr>
              <w:rFonts w:ascii="Times New Roman" w:hAnsi="Times New Roman"/>
            </w:rPr>
            <w:t>3.7.2 输出指标与统计分析</w:t>
          </w:r>
          <w:r>
            <w:tab/>
          </w:r>
          <w:r>
            <w:fldChar w:fldCharType="begin"/>
          </w:r>
          <w:r>
            <w:instrText xml:space="preserve"> PAGEREF _Toc1952 \h </w:instrText>
          </w:r>
          <w:r>
            <w:fldChar w:fldCharType="separate"/>
          </w:r>
          <w:r>
            <w:t>16</w:t>
          </w:r>
          <w:r>
            <w:fldChar w:fldCharType="end"/>
          </w:r>
          <w:r>
            <w:fldChar w:fldCharType="end"/>
          </w:r>
        </w:p>
        <w:p w14:paraId="7207088D">
          <w:pPr>
            <w:pStyle w:val="12"/>
            <w:tabs>
              <w:tab w:val="right" w:leader="dot" w:pos="9075"/>
            </w:tabs>
          </w:pPr>
          <w:r>
            <w:fldChar w:fldCharType="begin"/>
          </w:r>
          <w:r>
            <w:instrText xml:space="preserve"> HYPERLINK \l _Toc1366 </w:instrText>
          </w:r>
          <w:r>
            <w:fldChar w:fldCharType="separate"/>
          </w:r>
          <w:r>
            <w:rPr>
              <w:rFonts w:ascii="Times New Roman" w:hAnsi="Times New Roman" w:eastAsia="黑体" w:cs="Times New Roman"/>
            </w:rPr>
            <w:t>3.8 条件化承载边界求解</w:t>
          </w:r>
          <w:r>
            <w:tab/>
          </w:r>
          <w:r>
            <w:fldChar w:fldCharType="begin"/>
          </w:r>
          <w:r>
            <w:instrText xml:space="preserve"> PAGEREF _Toc1366 \h </w:instrText>
          </w:r>
          <w:r>
            <w:fldChar w:fldCharType="separate"/>
          </w:r>
          <w:r>
            <w:t>16</w:t>
          </w:r>
          <w:r>
            <w:fldChar w:fldCharType="end"/>
          </w:r>
          <w:r>
            <w:fldChar w:fldCharType="end"/>
          </w:r>
        </w:p>
        <w:p w14:paraId="55F62307">
          <w:pPr>
            <w:pStyle w:val="12"/>
            <w:tabs>
              <w:tab w:val="right" w:leader="dot" w:pos="9075"/>
            </w:tabs>
          </w:pPr>
          <w:r>
            <w:fldChar w:fldCharType="begin"/>
          </w:r>
          <w:r>
            <w:instrText xml:space="preserve"> HYPERLINK \l _Toc13285 </w:instrText>
          </w:r>
          <w:r>
            <w:fldChar w:fldCharType="separate"/>
          </w:r>
          <w:r>
            <w:rPr>
              <w:rFonts w:ascii="Times New Roman" w:hAnsi="Times New Roman" w:eastAsia="黑体" w:cs="Times New Roman"/>
            </w:rPr>
            <w:t>3.9 时间尺度、可靠性与复合压力</w:t>
          </w:r>
          <w:r>
            <w:tab/>
          </w:r>
          <w:r>
            <w:fldChar w:fldCharType="begin"/>
          </w:r>
          <w:r>
            <w:instrText xml:space="preserve"> PAGEREF _Toc13285 \h </w:instrText>
          </w:r>
          <w:r>
            <w:fldChar w:fldCharType="separate"/>
          </w:r>
          <w:r>
            <w:t>17</w:t>
          </w:r>
          <w:r>
            <w:fldChar w:fldCharType="end"/>
          </w:r>
          <w:r>
            <w:fldChar w:fldCharType="end"/>
          </w:r>
        </w:p>
        <w:p w14:paraId="3D3E5D95">
          <w:pPr>
            <w:pStyle w:val="12"/>
            <w:tabs>
              <w:tab w:val="right" w:leader="dot" w:pos="9075"/>
            </w:tabs>
          </w:pPr>
          <w:r>
            <w:fldChar w:fldCharType="begin"/>
          </w:r>
          <w:r>
            <w:instrText xml:space="preserve"> HYPERLINK \l _Toc13647 </w:instrText>
          </w:r>
          <w:r>
            <w:fldChar w:fldCharType="separate"/>
          </w:r>
          <w:r>
            <w:rPr>
              <w:rFonts w:ascii="Times New Roman" w:hAnsi="Times New Roman" w:eastAsia="黑体" w:cs="Times New Roman"/>
            </w:rPr>
            <w:t>3.10 不确定性与敏感性分析</w:t>
          </w:r>
          <w:r>
            <w:tab/>
          </w:r>
          <w:r>
            <w:fldChar w:fldCharType="begin"/>
          </w:r>
          <w:r>
            <w:instrText xml:space="preserve"> PAGEREF _Toc13647 \h </w:instrText>
          </w:r>
          <w:r>
            <w:fldChar w:fldCharType="separate"/>
          </w:r>
          <w:r>
            <w:t>17</w:t>
          </w:r>
          <w:r>
            <w:fldChar w:fldCharType="end"/>
          </w:r>
          <w:r>
            <w:fldChar w:fldCharType="end"/>
          </w:r>
        </w:p>
        <w:p w14:paraId="6CB91422">
          <w:pPr>
            <w:pStyle w:val="12"/>
            <w:tabs>
              <w:tab w:val="right" w:leader="dot" w:pos="9075"/>
            </w:tabs>
          </w:pPr>
          <w:r>
            <w:fldChar w:fldCharType="begin"/>
          </w:r>
          <w:r>
            <w:instrText xml:space="preserve"> HYPERLINK \l _Toc15679 </w:instrText>
          </w:r>
          <w:r>
            <w:fldChar w:fldCharType="separate"/>
          </w:r>
          <w:r>
            <w:rPr>
              <w:rFonts w:ascii="Times New Roman" w:hAnsi="Times New Roman" w:eastAsia="黑体" w:cs="Times New Roman"/>
            </w:rPr>
            <w:t>3.11 数据方案与案例策略</w:t>
          </w:r>
          <w:r>
            <w:tab/>
          </w:r>
          <w:r>
            <w:fldChar w:fldCharType="begin"/>
          </w:r>
          <w:r>
            <w:instrText xml:space="preserve"> PAGEREF _Toc15679 \h </w:instrText>
          </w:r>
          <w:r>
            <w:fldChar w:fldCharType="separate"/>
          </w:r>
          <w:r>
            <w:t>17</w:t>
          </w:r>
          <w:r>
            <w:fldChar w:fldCharType="end"/>
          </w:r>
          <w:r>
            <w:fldChar w:fldCharType="end"/>
          </w:r>
        </w:p>
        <w:p w14:paraId="4614C3C9">
          <w:pPr>
            <w:pStyle w:val="12"/>
            <w:tabs>
              <w:tab w:val="right" w:leader="dot" w:pos="9075"/>
            </w:tabs>
          </w:pPr>
          <w:r>
            <w:fldChar w:fldCharType="begin"/>
          </w:r>
          <w:r>
            <w:instrText xml:space="preserve"> HYPERLINK \l _Toc9879 </w:instrText>
          </w:r>
          <w:r>
            <w:fldChar w:fldCharType="separate"/>
          </w:r>
          <w:r>
            <w:rPr>
              <w:rFonts w:ascii="Times New Roman" w:hAnsi="Times New Roman" w:eastAsia="黑体" w:cs="Times New Roman"/>
            </w:rPr>
            <w:t>3.12 模型验证与证据等级</w:t>
          </w:r>
          <w:r>
            <w:tab/>
          </w:r>
          <w:r>
            <w:fldChar w:fldCharType="begin"/>
          </w:r>
          <w:r>
            <w:instrText xml:space="preserve"> PAGEREF _Toc9879 \h </w:instrText>
          </w:r>
          <w:r>
            <w:fldChar w:fldCharType="separate"/>
          </w:r>
          <w:r>
            <w:t>18</w:t>
          </w:r>
          <w:r>
            <w:fldChar w:fldCharType="end"/>
          </w:r>
          <w:r>
            <w:fldChar w:fldCharType="end"/>
          </w:r>
        </w:p>
        <w:p w14:paraId="13F22EB2">
          <w:pPr>
            <w:pStyle w:val="12"/>
            <w:tabs>
              <w:tab w:val="right" w:leader="dot" w:pos="9075"/>
            </w:tabs>
          </w:pPr>
          <w:r>
            <w:fldChar w:fldCharType="begin"/>
          </w:r>
          <w:r>
            <w:instrText xml:space="preserve"> HYPERLINK \l _Toc13835 </w:instrText>
          </w:r>
          <w:r>
            <w:fldChar w:fldCharType="separate"/>
          </w:r>
          <w:r>
            <w:rPr>
              <w:rFonts w:ascii="Times New Roman" w:hAnsi="Times New Roman" w:eastAsia="黑体" w:cs="Times New Roman"/>
            </w:rPr>
            <w:t>3.13 研究任务安排与优先级</w:t>
          </w:r>
          <w:r>
            <w:tab/>
          </w:r>
          <w:r>
            <w:fldChar w:fldCharType="begin"/>
          </w:r>
          <w:r>
            <w:instrText xml:space="preserve"> PAGEREF _Toc13835 \h </w:instrText>
          </w:r>
          <w:r>
            <w:fldChar w:fldCharType="separate"/>
          </w:r>
          <w:r>
            <w:t>18</w:t>
          </w:r>
          <w:r>
            <w:fldChar w:fldCharType="end"/>
          </w:r>
          <w:r>
            <w:fldChar w:fldCharType="end"/>
          </w:r>
        </w:p>
        <w:p w14:paraId="5700F064">
          <w:pPr>
            <w:pStyle w:val="12"/>
            <w:tabs>
              <w:tab w:val="right" w:leader="dot" w:pos="9075"/>
            </w:tabs>
          </w:pPr>
          <w:r>
            <w:fldChar w:fldCharType="begin"/>
          </w:r>
          <w:r>
            <w:instrText xml:space="preserve"> HYPERLINK \l _Toc30829 </w:instrText>
          </w:r>
          <w:r>
            <w:fldChar w:fldCharType="separate"/>
          </w:r>
          <w:r>
            <w:rPr>
              <w:rFonts w:ascii="Times New Roman" w:hAnsi="Times New Roman"/>
            </w:rPr>
            <w:t>3.14 参数化输入与非物理组合控制</w:t>
          </w:r>
          <w:r>
            <w:tab/>
          </w:r>
          <w:r>
            <w:fldChar w:fldCharType="begin"/>
          </w:r>
          <w:r>
            <w:instrText xml:space="preserve"> PAGEREF _Toc30829 \h </w:instrText>
          </w:r>
          <w:r>
            <w:fldChar w:fldCharType="separate"/>
          </w:r>
          <w:r>
            <w:t>19</w:t>
          </w:r>
          <w:r>
            <w:fldChar w:fldCharType="end"/>
          </w:r>
          <w:r>
            <w:fldChar w:fldCharType="end"/>
          </w:r>
        </w:p>
        <w:p w14:paraId="3087A9CF">
          <w:pPr>
            <w:pStyle w:val="12"/>
            <w:tabs>
              <w:tab w:val="right" w:leader="dot" w:pos="9075"/>
            </w:tabs>
          </w:pPr>
          <w:r>
            <w:fldChar w:fldCharType="begin"/>
          </w:r>
          <w:r>
            <w:instrText xml:space="preserve"> HYPERLINK \l _Toc9592 </w:instrText>
          </w:r>
          <w:r>
            <w:fldChar w:fldCharType="separate"/>
          </w:r>
          <w:r>
            <w:rPr>
              <w:rFonts w:ascii="Times New Roman" w:hAnsi="Times New Roman"/>
            </w:rPr>
            <w:t>3.15 典型情景与参数域</w:t>
          </w:r>
          <w:r>
            <w:tab/>
          </w:r>
          <w:r>
            <w:fldChar w:fldCharType="begin"/>
          </w:r>
          <w:r>
            <w:instrText xml:space="preserve"> PAGEREF _Toc9592 \h </w:instrText>
          </w:r>
          <w:r>
            <w:fldChar w:fldCharType="separate"/>
          </w:r>
          <w:r>
            <w:t>19</w:t>
          </w:r>
          <w:r>
            <w:fldChar w:fldCharType="end"/>
          </w:r>
          <w:r>
            <w:fldChar w:fldCharType="end"/>
          </w:r>
        </w:p>
        <w:p w14:paraId="213560EB">
          <w:pPr>
            <w:pStyle w:val="12"/>
            <w:tabs>
              <w:tab w:val="right" w:leader="dot" w:pos="9075"/>
            </w:tabs>
          </w:pPr>
          <w:r>
            <w:fldChar w:fldCharType="begin"/>
          </w:r>
          <w:r>
            <w:instrText xml:space="preserve"> HYPERLINK \l _Toc11885 </w:instrText>
          </w:r>
          <w:r>
            <w:fldChar w:fldCharType="separate"/>
          </w:r>
          <w:r>
            <w:rPr>
              <w:rFonts w:ascii="Times New Roman" w:hAnsi="Times New Roman"/>
            </w:rPr>
            <w:t>3.16 瓶颈识别与干预分析</w:t>
          </w:r>
          <w:r>
            <w:tab/>
          </w:r>
          <w:r>
            <w:fldChar w:fldCharType="begin"/>
          </w:r>
          <w:r>
            <w:instrText xml:space="preserve"> PAGEREF _Toc11885 \h </w:instrText>
          </w:r>
          <w:r>
            <w:fldChar w:fldCharType="separate"/>
          </w:r>
          <w:r>
            <w:t>19</w:t>
          </w:r>
          <w:r>
            <w:fldChar w:fldCharType="end"/>
          </w:r>
          <w:r>
            <w:fldChar w:fldCharType="end"/>
          </w:r>
        </w:p>
        <w:p w14:paraId="2A75F932">
          <w:pPr>
            <w:pStyle w:val="11"/>
            <w:tabs>
              <w:tab w:val="right" w:leader="dot" w:pos="9075"/>
            </w:tabs>
          </w:pPr>
          <w:r>
            <w:fldChar w:fldCharType="begin"/>
          </w:r>
          <w:r>
            <w:instrText xml:space="preserve"> HYPERLINK \l _Toc23871 </w:instrText>
          </w:r>
          <w:r>
            <w:fldChar w:fldCharType="separate"/>
          </w:r>
          <w:r>
            <w:rPr>
              <w:rFonts w:ascii="Times New Roman" w:hAnsi="Times New Roman" w:eastAsia="黑体" w:cs="Times New Roman"/>
            </w:rPr>
            <w:t>4 预期达到的目标</w:t>
          </w:r>
          <w:r>
            <w:tab/>
          </w:r>
          <w:r>
            <w:fldChar w:fldCharType="begin"/>
          </w:r>
          <w:r>
            <w:instrText xml:space="preserve"> PAGEREF _Toc23871 \h </w:instrText>
          </w:r>
          <w:r>
            <w:fldChar w:fldCharType="separate"/>
          </w:r>
          <w:r>
            <w:t>20</w:t>
          </w:r>
          <w:r>
            <w:fldChar w:fldCharType="end"/>
          </w:r>
          <w:r>
            <w:fldChar w:fldCharType="end"/>
          </w:r>
        </w:p>
        <w:p w14:paraId="3899E181">
          <w:pPr>
            <w:pStyle w:val="12"/>
            <w:tabs>
              <w:tab w:val="right" w:leader="dot" w:pos="9075"/>
            </w:tabs>
          </w:pPr>
          <w:r>
            <w:fldChar w:fldCharType="begin"/>
          </w:r>
          <w:r>
            <w:instrText xml:space="preserve"> HYPERLINK \l _Toc17900 </w:instrText>
          </w:r>
          <w:r>
            <w:fldChar w:fldCharType="separate"/>
          </w:r>
          <w:r>
            <w:rPr>
              <w:rFonts w:ascii="Times New Roman" w:hAnsi="Times New Roman" w:eastAsia="黑体" w:cs="Times New Roman"/>
            </w:rPr>
            <w:t>4.1 预期科学认识</w:t>
          </w:r>
          <w:r>
            <w:tab/>
          </w:r>
          <w:r>
            <w:fldChar w:fldCharType="begin"/>
          </w:r>
          <w:r>
            <w:instrText xml:space="preserve"> PAGEREF _Toc17900 \h </w:instrText>
          </w:r>
          <w:r>
            <w:fldChar w:fldCharType="separate"/>
          </w:r>
          <w:r>
            <w:t>20</w:t>
          </w:r>
          <w:r>
            <w:fldChar w:fldCharType="end"/>
          </w:r>
          <w:r>
            <w:fldChar w:fldCharType="end"/>
          </w:r>
        </w:p>
        <w:p w14:paraId="13EBB011">
          <w:pPr>
            <w:pStyle w:val="12"/>
            <w:tabs>
              <w:tab w:val="right" w:leader="dot" w:pos="9075"/>
            </w:tabs>
          </w:pPr>
          <w:r>
            <w:fldChar w:fldCharType="begin"/>
          </w:r>
          <w:r>
            <w:instrText xml:space="preserve"> HYPERLINK \l _Toc30187 </w:instrText>
          </w:r>
          <w:r>
            <w:fldChar w:fldCharType="separate"/>
          </w:r>
          <w:r>
            <w:rPr>
              <w:rFonts w:ascii="Times New Roman" w:hAnsi="Times New Roman" w:eastAsia="黑体" w:cs="Times New Roman"/>
            </w:rPr>
            <w:t>4.2 预期创新</w:t>
          </w:r>
          <w:r>
            <w:tab/>
          </w:r>
          <w:r>
            <w:fldChar w:fldCharType="begin"/>
          </w:r>
          <w:r>
            <w:instrText xml:space="preserve"> PAGEREF _Toc30187 \h </w:instrText>
          </w:r>
          <w:r>
            <w:fldChar w:fldCharType="separate"/>
          </w:r>
          <w:r>
            <w:t>20</w:t>
          </w:r>
          <w:r>
            <w:fldChar w:fldCharType="end"/>
          </w:r>
          <w:r>
            <w:fldChar w:fldCharType="end"/>
          </w:r>
        </w:p>
        <w:p w14:paraId="2559423A">
          <w:pPr>
            <w:pStyle w:val="12"/>
            <w:tabs>
              <w:tab w:val="right" w:leader="dot" w:pos="9075"/>
            </w:tabs>
          </w:pPr>
          <w:r>
            <w:fldChar w:fldCharType="begin"/>
          </w:r>
          <w:r>
            <w:instrText xml:space="preserve"> HYPERLINK \l _Toc2957 </w:instrText>
          </w:r>
          <w:r>
            <w:fldChar w:fldCharType="separate"/>
          </w:r>
          <w:r>
            <w:rPr>
              <w:rFonts w:ascii="Times New Roman" w:hAnsi="Times New Roman" w:eastAsia="黑体" w:cs="Times New Roman"/>
            </w:rPr>
            <w:t>4.3 预期成果</w:t>
          </w:r>
          <w:r>
            <w:tab/>
          </w:r>
          <w:r>
            <w:fldChar w:fldCharType="begin"/>
          </w:r>
          <w:r>
            <w:instrText xml:space="preserve"> PAGEREF _Toc2957 \h </w:instrText>
          </w:r>
          <w:r>
            <w:fldChar w:fldCharType="separate"/>
          </w:r>
          <w:r>
            <w:t>20</w:t>
          </w:r>
          <w:r>
            <w:fldChar w:fldCharType="end"/>
          </w:r>
          <w:r>
            <w:fldChar w:fldCharType="end"/>
          </w:r>
        </w:p>
        <w:p w14:paraId="6305B314">
          <w:pPr>
            <w:pStyle w:val="12"/>
            <w:tabs>
              <w:tab w:val="right" w:leader="dot" w:pos="9075"/>
            </w:tabs>
          </w:pPr>
          <w:r>
            <w:fldChar w:fldCharType="begin"/>
          </w:r>
          <w:r>
            <w:instrText xml:space="preserve"> HYPERLINK \l _Toc28342 </w:instrText>
          </w:r>
          <w:r>
            <w:fldChar w:fldCharType="separate"/>
          </w:r>
          <w:r>
            <w:rPr>
              <w:rFonts w:ascii="Times New Roman" w:hAnsi="Times New Roman"/>
            </w:rPr>
            <w:t>4.4 成果评价指标</w:t>
          </w:r>
          <w:r>
            <w:tab/>
          </w:r>
          <w:r>
            <w:fldChar w:fldCharType="begin"/>
          </w:r>
          <w:r>
            <w:instrText xml:space="preserve"> PAGEREF _Toc28342 \h </w:instrText>
          </w:r>
          <w:r>
            <w:fldChar w:fldCharType="separate"/>
          </w:r>
          <w:r>
            <w:t>21</w:t>
          </w:r>
          <w:r>
            <w:fldChar w:fldCharType="end"/>
          </w:r>
          <w:r>
            <w:fldChar w:fldCharType="end"/>
          </w:r>
        </w:p>
        <w:p w14:paraId="72A3EBE0">
          <w:pPr>
            <w:pStyle w:val="12"/>
            <w:tabs>
              <w:tab w:val="right" w:leader="dot" w:pos="9075"/>
            </w:tabs>
          </w:pPr>
          <w:r>
            <w:fldChar w:fldCharType="begin"/>
          </w:r>
          <w:r>
            <w:instrText xml:space="preserve"> HYPERLINK \l _Toc23102 </w:instrText>
          </w:r>
          <w:r>
            <w:fldChar w:fldCharType="separate"/>
          </w:r>
          <w:r>
            <w:rPr>
              <w:rFonts w:ascii="Times New Roman" w:hAnsi="Times New Roman"/>
            </w:rPr>
            <w:t>4.5 学术学位适配与研究贡献</w:t>
          </w:r>
          <w:r>
            <w:tab/>
          </w:r>
          <w:r>
            <w:fldChar w:fldCharType="begin"/>
          </w:r>
          <w:r>
            <w:instrText xml:space="preserve"> PAGEREF _Toc23102 \h </w:instrText>
          </w:r>
          <w:r>
            <w:fldChar w:fldCharType="separate"/>
          </w:r>
          <w:r>
            <w:t>21</w:t>
          </w:r>
          <w:r>
            <w:fldChar w:fldCharType="end"/>
          </w:r>
          <w:r>
            <w:fldChar w:fldCharType="end"/>
          </w:r>
        </w:p>
        <w:p w14:paraId="4EB2822E">
          <w:pPr>
            <w:pStyle w:val="12"/>
            <w:tabs>
              <w:tab w:val="right" w:leader="dot" w:pos="9075"/>
            </w:tabs>
          </w:pPr>
          <w:r>
            <w:fldChar w:fldCharType="begin"/>
          </w:r>
          <w:r>
            <w:instrText xml:space="preserve"> HYPERLINK \l _Toc5385 </w:instrText>
          </w:r>
          <w:r>
            <w:fldChar w:fldCharType="separate"/>
          </w:r>
          <w:r>
            <w:rPr>
              <w:rFonts w:ascii="Times New Roman" w:hAnsi="Times New Roman"/>
            </w:rPr>
            <w:t>4.6 主要结论的形成规则</w:t>
          </w:r>
          <w:r>
            <w:tab/>
          </w:r>
          <w:r>
            <w:fldChar w:fldCharType="begin"/>
          </w:r>
          <w:r>
            <w:instrText xml:space="preserve"> PAGEREF _Toc5385 \h </w:instrText>
          </w:r>
          <w:r>
            <w:fldChar w:fldCharType="separate"/>
          </w:r>
          <w:r>
            <w:t>21</w:t>
          </w:r>
          <w:r>
            <w:fldChar w:fldCharType="end"/>
          </w:r>
          <w:r>
            <w:fldChar w:fldCharType="end"/>
          </w:r>
        </w:p>
        <w:p w14:paraId="4CAE3665">
          <w:pPr>
            <w:pStyle w:val="11"/>
            <w:tabs>
              <w:tab w:val="right" w:leader="dot" w:pos="9075"/>
            </w:tabs>
          </w:pPr>
          <w:r>
            <w:fldChar w:fldCharType="begin"/>
          </w:r>
          <w:r>
            <w:instrText xml:space="preserve"> HYPERLINK \l _Toc30513 </w:instrText>
          </w:r>
          <w:r>
            <w:fldChar w:fldCharType="separate"/>
          </w:r>
          <w:r>
            <w:rPr>
              <w:rFonts w:ascii="Times New Roman" w:hAnsi="Times New Roman" w:eastAsia="黑体" w:cs="Times New Roman"/>
            </w:rPr>
            <w:t>5 已完成的学术研究工作</w:t>
          </w:r>
          <w:r>
            <w:tab/>
          </w:r>
          <w:r>
            <w:fldChar w:fldCharType="begin"/>
          </w:r>
          <w:r>
            <w:instrText xml:space="preserve"> PAGEREF _Toc30513 \h </w:instrText>
          </w:r>
          <w:r>
            <w:fldChar w:fldCharType="separate"/>
          </w:r>
          <w:r>
            <w:t>21</w:t>
          </w:r>
          <w:r>
            <w:fldChar w:fldCharType="end"/>
          </w:r>
          <w:r>
            <w:fldChar w:fldCharType="end"/>
          </w:r>
        </w:p>
        <w:p w14:paraId="6F1D19A2">
          <w:pPr>
            <w:pStyle w:val="11"/>
            <w:tabs>
              <w:tab w:val="right" w:leader="dot" w:pos="9075"/>
            </w:tabs>
          </w:pPr>
          <w:r>
            <w:fldChar w:fldCharType="begin"/>
          </w:r>
          <w:r>
            <w:instrText xml:space="preserve"> HYPERLINK \l _Toc14609 </w:instrText>
          </w:r>
          <w:r>
            <w:fldChar w:fldCharType="separate"/>
          </w:r>
          <w:r>
            <w:rPr>
              <w:rFonts w:ascii="Times New Roman" w:hAnsi="Times New Roman" w:eastAsia="黑体" w:cs="Times New Roman"/>
            </w:rPr>
            <w:t>6 进度安排</w:t>
          </w:r>
          <w:r>
            <w:tab/>
          </w:r>
          <w:r>
            <w:fldChar w:fldCharType="begin"/>
          </w:r>
          <w:r>
            <w:instrText xml:space="preserve"> PAGEREF _Toc14609 \h </w:instrText>
          </w:r>
          <w:r>
            <w:fldChar w:fldCharType="separate"/>
          </w:r>
          <w:r>
            <w:t>22</w:t>
          </w:r>
          <w:r>
            <w:fldChar w:fldCharType="end"/>
          </w:r>
          <w:r>
            <w:fldChar w:fldCharType="end"/>
          </w:r>
        </w:p>
        <w:p w14:paraId="0AF699A3">
          <w:pPr>
            <w:pStyle w:val="12"/>
            <w:tabs>
              <w:tab w:val="right" w:leader="dot" w:pos="9075"/>
            </w:tabs>
          </w:pPr>
          <w:r>
            <w:fldChar w:fldCharType="begin"/>
          </w:r>
          <w:r>
            <w:instrText xml:space="preserve"> HYPERLINK \l _Toc6803 </w:instrText>
          </w:r>
          <w:r>
            <w:fldChar w:fldCharType="separate"/>
          </w:r>
          <w:r>
            <w:rPr>
              <w:rFonts w:ascii="Times New Roman" w:hAnsi="Times New Roman"/>
            </w:rPr>
            <w:t>6.1 阶段任务与交付物</w:t>
          </w:r>
          <w:r>
            <w:tab/>
          </w:r>
          <w:r>
            <w:fldChar w:fldCharType="begin"/>
          </w:r>
          <w:r>
            <w:instrText xml:space="preserve"> PAGEREF _Toc6803 \h </w:instrText>
          </w:r>
          <w:r>
            <w:fldChar w:fldCharType="separate"/>
          </w:r>
          <w:r>
            <w:t>22</w:t>
          </w:r>
          <w:r>
            <w:fldChar w:fldCharType="end"/>
          </w:r>
          <w:r>
            <w:fldChar w:fldCharType="end"/>
          </w:r>
        </w:p>
        <w:p w14:paraId="362B8130">
          <w:pPr>
            <w:pStyle w:val="11"/>
            <w:tabs>
              <w:tab w:val="right" w:leader="dot" w:pos="9075"/>
            </w:tabs>
          </w:pPr>
          <w:r>
            <w:fldChar w:fldCharType="begin"/>
          </w:r>
          <w:r>
            <w:instrText xml:space="preserve"> HYPERLINK \l _Toc8218 </w:instrText>
          </w:r>
          <w:r>
            <w:fldChar w:fldCharType="separate"/>
          </w:r>
          <w:r>
            <w:rPr>
              <w:rFonts w:ascii="Times New Roman" w:hAnsi="Times New Roman" w:eastAsia="黑体" w:cs="Times New Roman"/>
            </w:rPr>
            <w:t>7 为完成课题所需的条件</w:t>
          </w:r>
          <w:r>
            <w:tab/>
          </w:r>
          <w:r>
            <w:fldChar w:fldCharType="begin"/>
          </w:r>
          <w:r>
            <w:instrText xml:space="preserve"> PAGEREF _Toc8218 \h </w:instrText>
          </w:r>
          <w:r>
            <w:fldChar w:fldCharType="separate"/>
          </w:r>
          <w:r>
            <w:t>23</w:t>
          </w:r>
          <w:r>
            <w:fldChar w:fldCharType="end"/>
          </w:r>
          <w:r>
            <w:fldChar w:fldCharType="end"/>
          </w:r>
        </w:p>
        <w:p w14:paraId="01683497">
          <w:pPr>
            <w:pStyle w:val="12"/>
            <w:tabs>
              <w:tab w:val="right" w:leader="dot" w:pos="9075"/>
            </w:tabs>
          </w:pPr>
          <w:r>
            <w:fldChar w:fldCharType="begin"/>
          </w:r>
          <w:r>
            <w:instrText xml:space="preserve"> HYPERLINK \l _Toc29455 </w:instrText>
          </w:r>
          <w:r>
            <w:fldChar w:fldCharType="separate"/>
          </w:r>
          <w:r>
            <w:rPr>
              <w:rFonts w:ascii="Times New Roman" w:hAnsi="Times New Roman" w:eastAsia="黑体" w:cs="Times New Roman"/>
            </w:rPr>
            <w:t>7.1 理论、数据、软件与计算条件</w:t>
          </w:r>
          <w:r>
            <w:tab/>
          </w:r>
          <w:r>
            <w:fldChar w:fldCharType="begin"/>
          </w:r>
          <w:r>
            <w:instrText xml:space="preserve"> PAGEREF _Toc29455 \h </w:instrText>
          </w:r>
          <w:r>
            <w:fldChar w:fldCharType="separate"/>
          </w:r>
          <w:r>
            <w:t>23</w:t>
          </w:r>
          <w:r>
            <w:fldChar w:fldCharType="end"/>
          </w:r>
          <w:r>
            <w:fldChar w:fldCharType="end"/>
          </w:r>
        </w:p>
        <w:p w14:paraId="6F3E35E2">
          <w:pPr>
            <w:pStyle w:val="12"/>
            <w:tabs>
              <w:tab w:val="right" w:leader="dot" w:pos="9075"/>
            </w:tabs>
          </w:pPr>
          <w:r>
            <w:fldChar w:fldCharType="begin"/>
          </w:r>
          <w:r>
            <w:instrText xml:space="preserve"> HYPERLINK \l _Toc27266 </w:instrText>
          </w:r>
          <w:r>
            <w:fldChar w:fldCharType="separate"/>
          </w:r>
          <w:r>
            <w:rPr>
              <w:rFonts w:ascii="Times New Roman" w:hAnsi="Times New Roman" w:eastAsia="黑体" w:cs="Times New Roman"/>
            </w:rPr>
            <w:t>7.2 研究组织与成果管理</w:t>
          </w:r>
          <w:r>
            <w:tab/>
          </w:r>
          <w:r>
            <w:fldChar w:fldCharType="begin"/>
          </w:r>
          <w:r>
            <w:instrText xml:space="preserve"> PAGEREF _Toc27266 \h </w:instrText>
          </w:r>
          <w:r>
            <w:fldChar w:fldCharType="separate"/>
          </w:r>
          <w:r>
            <w:t>23</w:t>
          </w:r>
          <w:r>
            <w:fldChar w:fldCharType="end"/>
          </w:r>
          <w:r>
            <w:fldChar w:fldCharType="end"/>
          </w:r>
        </w:p>
        <w:p w14:paraId="37E16E1F">
          <w:pPr>
            <w:pStyle w:val="11"/>
            <w:tabs>
              <w:tab w:val="right" w:leader="dot" w:pos="9075"/>
            </w:tabs>
          </w:pPr>
          <w:r>
            <w:fldChar w:fldCharType="begin"/>
          </w:r>
          <w:r>
            <w:instrText xml:space="preserve"> HYPERLINK \l _Toc8803 </w:instrText>
          </w:r>
          <w:r>
            <w:fldChar w:fldCharType="separate"/>
          </w:r>
          <w:r>
            <w:rPr>
              <w:rFonts w:ascii="Times New Roman" w:hAnsi="Times New Roman" w:eastAsia="黑体" w:cs="Times New Roman"/>
            </w:rPr>
            <w:t>8 研究过程中可能遇到的问题及解决措施</w:t>
          </w:r>
          <w:r>
            <w:tab/>
          </w:r>
          <w:r>
            <w:fldChar w:fldCharType="begin"/>
          </w:r>
          <w:r>
            <w:instrText xml:space="preserve"> PAGEREF _Toc8803 \h </w:instrText>
          </w:r>
          <w:r>
            <w:fldChar w:fldCharType="separate"/>
          </w:r>
          <w:r>
            <w:t>23</w:t>
          </w:r>
          <w:r>
            <w:fldChar w:fldCharType="end"/>
          </w:r>
          <w:r>
            <w:fldChar w:fldCharType="end"/>
          </w:r>
        </w:p>
        <w:p w14:paraId="1ED2C00C">
          <w:pPr>
            <w:pStyle w:val="12"/>
            <w:tabs>
              <w:tab w:val="right" w:leader="dot" w:pos="9075"/>
            </w:tabs>
          </w:pPr>
          <w:r>
            <w:fldChar w:fldCharType="begin"/>
          </w:r>
          <w:r>
            <w:instrText xml:space="preserve"> HYPERLINK \l _Toc4740 </w:instrText>
          </w:r>
          <w:r>
            <w:fldChar w:fldCharType="separate"/>
          </w:r>
          <w:r>
            <w:rPr>
              <w:rFonts w:ascii="Times New Roman" w:hAnsi="Times New Roman"/>
            </w:rPr>
            <w:t>8.1 研究边界变化与复杂度控制</w:t>
          </w:r>
          <w:r>
            <w:tab/>
          </w:r>
          <w:r>
            <w:fldChar w:fldCharType="begin"/>
          </w:r>
          <w:r>
            <w:instrText xml:space="preserve"> PAGEREF _Toc4740 \h </w:instrText>
          </w:r>
          <w:r>
            <w:fldChar w:fldCharType="separate"/>
          </w:r>
          <w:r>
            <w:t>24</w:t>
          </w:r>
          <w:r>
            <w:fldChar w:fldCharType="end"/>
          </w:r>
          <w:r>
            <w:fldChar w:fldCharType="end"/>
          </w:r>
        </w:p>
        <w:p w14:paraId="42C6190F">
          <w:pPr>
            <w:pStyle w:val="12"/>
            <w:tabs>
              <w:tab w:val="right" w:leader="dot" w:pos="9075"/>
            </w:tabs>
          </w:pPr>
          <w:r>
            <w:fldChar w:fldCharType="begin"/>
          </w:r>
          <w:r>
            <w:instrText xml:space="preserve"> HYPERLINK \l _Toc25480 </w:instrText>
          </w:r>
          <w:r>
            <w:fldChar w:fldCharType="separate"/>
          </w:r>
          <w:r>
            <w:rPr>
              <w:rFonts w:ascii="Times New Roman" w:hAnsi="Times New Roman"/>
            </w:rPr>
            <w:t>8.2 证据等级与外推</w:t>
          </w:r>
          <w:r>
            <w:tab/>
          </w:r>
          <w:r>
            <w:fldChar w:fldCharType="begin"/>
          </w:r>
          <w:r>
            <w:instrText xml:space="preserve"> PAGEREF _Toc25480 \h </w:instrText>
          </w:r>
          <w:r>
            <w:fldChar w:fldCharType="separate"/>
          </w:r>
          <w:r>
            <w:t>24</w:t>
          </w:r>
          <w:r>
            <w:fldChar w:fldCharType="end"/>
          </w:r>
          <w:r>
            <w:fldChar w:fldCharType="end"/>
          </w:r>
        </w:p>
        <w:p w14:paraId="1475B006">
          <w:pPr>
            <w:pStyle w:val="12"/>
            <w:tabs>
              <w:tab w:val="right" w:leader="dot" w:pos="9075"/>
            </w:tabs>
          </w:pPr>
          <w:r>
            <w:fldChar w:fldCharType="begin"/>
          </w:r>
          <w:r>
            <w:instrText xml:space="preserve"> HYPERLINK \l _Toc4657 </w:instrText>
          </w:r>
          <w:r>
            <w:fldChar w:fldCharType="separate"/>
          </w:r>
          <w:r>
            <w:rPr>
              <w:rFonts w:ascii="Times New Roman" w:hAnsi="Times New Roman"/>
            </w:rPr>
            <w:t>8.3 结果稳定性判据</w:t>
          </w:r>
          <w:r>
            <w:tab/>
          </w:r>
          <w:r>
            <w:fldChar w:fldCharType="begin"/>
          </w:r>
          <w:r>
            <w:instrText xml:space="preserve"> PAGEREF _Toc4657 \h </w:instrText>
          </w:r>
          <w:r>
            <w:fldChar w:fldCharType="separate"/>
          </w:r>
          <w:r>
            <w:t>25</w:t>
          </w:r>
          <w:r>
            <w:fldChar w:fldCharType="end"/>
          </w:r>
          <w:r>
            <w:fldChar w:fldCharType="end"/>
          </w:r>
        </w:p>
        <w:p w14:paraId="15A96ED1">
          <w:pPr>
            <w:pStyle w:val="12"/>
            <w:tabs>
              <w:tab w:val="right" w:leader="dot" w:pos="9075"/>
            </w:tabs>
          </w:pPr>
          <w:r>
            <w:fldChar w:fldCharType="begin"/>
          </w:r>
          <w:r>
            <w:instrText xml:space="preserve"> HYPERLINK \l _Toc20294 </w:instrText>
          </w:r>
          <w:r>
            <w:fldChar w:fldCharType="separate"/>
          </w:r>
          <w:r>
            <w:rPr>
              <w:rFonts w:ascii="Times New Roman" w:hAnsi="Times New Roman"/>
            </w:rPr>
            <w:t>8.4 研究质量保证</w:t>
          </w:r>
          <w:r>
            <w:tab/>
          </w:r>
          <w:r>
            <w:fldChar w:fldCharType="begin"/>
          </w:r>
          <w:r>
            <w:instrText xml:space="preserve"> PAGEREF _Toc20294 \h </w:instrText>
          </w:r>
          <w:r>
            <w:fldChar w:fldCharType="separate"/>
          </w:r>
          <w:r>
            <w:t>25</w:t>
          </w:r>
          <w:r>
            <w:fldChar w:fldCharType="end"/>
          </w:r>
          <w:r>
            <w:fldChar w:fldCharType="end"/>
          </w:r>
        </w:p>
        <w:p w14:paraId="74966632">
          <w:pPr>
            <w:pStyle w:val="11"/>
            <w:tabs>
              <w:tab w:val="right" w:leader="dot" w:pos="9075"/>
            </w:tabs>
          </w:pPr>
          <w:r>
            <w:fldChar w:fldCharType="begin"/>
          </w:r>
          <w:r>
            <w:instrText xml:space="preserve"> HYPERLINK \l _Toc29258 </w:instrText>
          </w:r>
          <w:r>
            <w:fldChar w:fldCharType="separate"/>
          </w:r>
          <w:r>
            <w:rPr>
              <w:rFonts w:ascii="Times New Roman" w:hAnsi="Times New Roman" w:eastAsia="黑体" w:cs="Times New Roman"/>
            </w:rPr>
            <w:t>9 参考文献</w:t>
          </w:r>
          <w:r>
            <w:tab/>
          </w:r>
          <w:r>
            <w:fldChar w:fldCharType="begin"/>
          </w:r>
          <w:r>
            <w:instrText xml:space="preserve"> PAGEREF _Toc29258 \h </w:instrText>
          </w:r>
          <w:r>
            <w:fldChar w:fldCharType="separate"/>
          </w:r>
          <w:r>
            <w:t>26</w:t>
          </w:r>
          <w:r>
            <w:fldChar w:fldCharType="end"/>
          </w:r>
          <w:r>
            <w:fldChar w:fldCharType="end"/>
          </w:r>
        </w:p>
        <w:p w14:paraId="1F6BD6CA">
          <w:r>
            <w:fldChar w:fldCharType="end"/>
          </w:r>
        </w:p>
      </w:sdtContent>
    </w:sdt>
    <w:p w14:paraId="0D2B97A2"/>
    <w:p w14:paraId="5163B948">
      <w:pPr>
        <w:pStyle w:val="22"/>
        <w:pageBreakBefore/>
        <w:ind w:firstLine="0" w:firstLineChars="0"/>
        <w:outlineLvl w:val="0"/>
      </w:pPr>
      <w:bookmarkStart w:id="0" w:name="_Toc7116"/>
      <w:r>
        <w:rPr>
          <w:rFonts w:ascii="Times New Roman" w:hAnsi="Times New Roman" w:eastAsia="黑体" w:cs="Times New Roman"/>
          <w:b/>
          <w:color w:val="000000"/>
          <w:sz w:val="30"/>
        </w:rPr>
        <w:t>1 课题来源及研究目的和意义</w:t>
      </w:r>
      <w:bookmarkEnd w:id="0"/>
    </w:p>
    <w:p w14:paraId="7211C648">
      <w:pPr>
        <w:pStyle w:val="23"/>
        <w:pageBreakBefore w:val="0"/>
        <w:ind w:firstLine="0" w:firstLineChars="0"/>
        <w:outlineLvl w:val="1"/>
      </w:pPr>
      <w:bookmarkStart w:id="1" w:name="_Toc9770"/>
      <w:r>
        <w:rPr>
          <w:rFonts w:ascii="Times New Roman" w:hAnsi="Times New Roman" w:eastAsia="黑体" w:cs="Times New Roman"/>
          <w:b/>
          <w:color w:val="000000"/>
          <w:sz w:val="28"/>
        </w:rPr>
        <w:t>1.1 课题来源</w:t>
      </w:r>
      <w:bookmarkEnd w:id="1"/>
    </w:p>
    <w:p w14:paraId="45CA7A8E">
      <w:pPr>
        <w:spacing w:before="0" w:after="0" w:line="360" w:lineRule="auto"/>
        <w:ind w:firstLine="420"/>
      </w:pPr>
      <w:commentRangeStart w:id="0"/>
      <w:r>
        <w:rPr>
          <w:rFonts w:ascii="Times New Roman" w:hAnsi="Times New Roman" w:eastAsia="宋体" w:cs="Times New Roman"/>
          <w:b w:val="0"/>
          <w:color w:val="000000"/>
          <w:sz w:val="24"/>
        </w:rPr>
        <w:t>本课题由AI算力基础设施扩张与城市供排水、再生水系统协同规划的现实需求提出，研究问题来源于数字基础设施资源环境影响与城市水系统管理之间的衔接。数据中心绿色低碳发展政策已将资源效率与基础设施布局作为重要方向</w:t>
      </w:r>
      <w:r>
        <w:rPr>
          <w:rFonts w:ascii="Times New Roman" w:hAnsi="Times New Roman" w:eastAsia="宋体" w:cs="Times New Roman"/>
          <w:b w:val="0"/>
          <w:color w:val="000000"/>
          <w:sz w:val="24"/>
          <w:vertAlign w:val="superscript"/>
        </w:rPr>
        <w:t>[1]</w:t>
      </w:r>
      <w:r>
        <w:rPr>
          <w:rFonts w:ascii="Times New Roman" w:hAnsi="Times New Roman" w:eastAsia="宋体" w:cs="Times New Roman"/>
          <w:b w:val="0"/>
          <w:color w:val="000000"/>
          <w:sz w:val="24"/>
        </w:rPr>
        <w:t>。本研究依据前期城市代谢建模的积累，选择AI负荷引入后的水流结构、峰值服务和承载边界作为学位论文研究对象。</w:t>
      </w:r>
      <w:commentRangeEnd w:id="0"/>
      <w:r>
        <w:commentReference w:id="0"/>
      </w:r>
    </w:p>
    <w:p w14:paraId="2747444E">
      <w:pPr>
        <w:pStyle w:val="23"/>
        <w:pageBreakBefore w:val="0"/>
        <w:ind w:firstLine="0" w:firstLineChars="0"/>
        <w:outlineLvl w:val="1"/>
      </w:pPr>
      <w:bookmarkStart w:id="2" w:name="_Toc31920"/>
      <w:r>
        <w:rPr>
          <w:rFonts w:ascii="Times New Roman" w:hAnsi="Times New Roman" w:eastAsia="黑体" w:cs="Times New Roman"/>
          <w:b/>
          <w:color w:val="000000"/>
          <w:sz w:val="28"/>
        </w:rPr>
        <w:t>1.2 课题研究目的和意义</w:t>
      </w:r>
      <w:bookmarkEnd w:id="2"/>
    </w:p>
    <w:p w14:paraId="7A2DF640">
      <w:pPr>
        <w:pStyle w:val="24"/>
        <w:bidi w:val="0"/>
      </w:pPr>
      <w:bookmarkStart w:id="3" w:name="_Toc21442"/>
      <w:r>
        <w:t>1.2.1 研究背景</w:t>
      </w:r>
    </w:p>
    <w:p w14:paraId="4B638443">
      <w:pPr>
        <w:bidi w:val="0"/>
        <w:rPr>
          <w:lang w:val="en-US" w:eastAsia="zh-CN"/>
        </w:rPr>
      </w:pPr>
      <w:r>
        <w:rPr>
          <w:lang w:val="en-US" w:eastAsia="zh-CN"/>
        </w:rPr>
        <w:t>随着人工智能技术由模型规模竞争逐步转向算力基础设施竞争，大语言模型、多模态模型以及智能计算应用的发展推动了算力需求的持续增长。人工智能产业竞争的核心已不再局限于算法性能，而是扩展至模型、芯片、算力集群和数据中心基础设施的协同能力。与此同时，计算需求增长带来的物理效应日益显著，服务器功率密度提升、机房热流密度增加，使冷却系统逐渐成为决定数据中心能源消耗与水资源需求的重要环节。</w:t>
      </w:r>
    </w:p>
    <w:p w14:paraId="2CC5825C">
      <w:pPr>
        <w:bidi w:val="0"/>
        <w:rPr>
          <w:lang w:val="en-US" w:eastAsia="zh-CN"/>
        </w:rPr>
      </w:pPr>
      <w:r>
        <w:rPr>
          <w:lang w:val="en-US" w:eastAsia="zh-CN"/>
        </w:rPr>
        <w:t>传统城市规划通常将数据中心视为一般数字基础设施或普通工业用户，较少关注其与城市资源系统之间的深层耦合关系。然而，AI 数据中心具有高连续负荷、高设备集中度以及对散热和供能可靠性要求高等特点，其水资源需求不仅取决于年度用水总量，还受到湿球温度、冷却技术、负载率、再生水水质以及局部供水设施能力等多因素共同影响。因此，AI 基础设施正在成为连接数字经济发展与城市物质系统运行的新型城市节点。</w:t>
      </w:r>
    </w:p>
    <w:p w14:paraId="4802F940">
      <w:pPr>
        <w:bidi w:val="0"/>
        <w:rPr>
          <w:lang w:val="en-US" w:eastAsia="zh-CN"/>
        </w:rPr>
      </w:pPr>
      <w:r>
        <w:rPr>
          <w:lang w:val="en-US" w:eastAsia="zh-CN"/>
        </w:rPr>
        <w:t>现有关于数据中心水资源影响的研究主要集中于设施尺度水足迹分析，包括冷却设备直接取水耗水以及能源供应过程中的间接水足迹。然而，仅关注设施水足迹难以解释 AI 算力扩张对城市供水、污水处理、再生水利用以及基础设施承载能力的系统影响。相同年度用水量的不同数据中心，由于水源类型、负荷时序、冷却方式和城市设施条件不同，可能产生完全不同的资源压力。因此，有必要从城市人工水系统整体视角出发，将 AI 算力基础设施作为城市水循环网络中的新型节点，研究其引起的系统响应与承载边界变化。</w:t>
      </w:r>
    </w:p>
    <w:p w14:paraId="55A0D8D7">
      <w:pPr>
        <w:bidi w:val="0"/>
        <w:rPr>
          <w:lang w:val="en-US" w:eastAsia="zh-CN"/>
        </w:rPr>
      </w:pPr>
      <w:r>
        <w:rPr>
          <w:lang w:val="en-US" w:eastAsia="zh-CN"/>
        </w:rPr>
        <w:t>城市人工水系统本质上是一个包含水源输入、供水利用、污水产生、处理回收以及再生利用的循环网络。AI 节点的引入不仅会增加冷却过程中的蒸发消耗和补水需求，也可能通过污水回流增加再生水潜在来源，从而改变城市水系统内部的资源流动结构。因此，亟需建立能够连接 AI 负荷过程、冷却水需求以及城市供排水网络的系统模拟框架，以揭示数字基础设施扩张背景下城市水系统的代谢响应机制。</w:t>
      </w:r>
    </w:p>
    <w:p w14:paraId="17554E97">
      <w:pPr>
        <w:pStyle w:val="24"/>
        <w:bidi w:val="0"/>
        <w:rPr>
          <w:lang w:val="en-US" w:eastAsia="zh-CN"/>
        </w:rPr>
      </w:pPr>
      <w:r>
        <w:rPr>
          <w:lang w:val="en-US" w:eastAsia="zh-CN"/>
        </w:rPr>
        <w:t>1.2.2 研究目的</w:t>
      </w:r>
    </w:p>
    <w:p w14:paraId="48BED69B">
      <w:pPr>
        <w:bidi w:val="0"/>
        <w:rPr>
          <w:lang w:val="en-US" w:eastAsia="zh-CN"/>
        </w:rPr>
      </w:pPr>
      <w:r>
        <w:rPr>
          <w:lang w:val="en-US" w:eastAsia="zh-CN"/>
        </w:rPr>
        <w:t>本研究旨在建立 AI 算力基础设施驱动下城市人工水系统代谢响应与条件化承载边界分析框架，构建由 AI IT 容量、热排散过程、冷却补水需求到城市给水、污水和再生水系统的全过程耦合模型，实现数字基础设施与城市水系统之间物质流动关系的定量描述。</w:t>
      </w:r>
    </w:p>
    <w:p w14:paraId="4C1A29AD">
      <w:pPr>
        <w:bidi w:val="0"/>
        <w:rPr>
          <w:lang w:val="en-US" w:eastAsia="zh-CN"/>
        </w:rPr>
      </w:pPr>
      <w:r>
        <w:rPr>
          <w:lang w:val="en-US" w:eastAsia="zh-CN"/>
        </w:rPr>
        <w:t>具体而言，本研究拟实现以下目标：</w:t>
      </w:r>
    </w:p>
    <w:p w14:paraId="59C64FA0">
      <w:pPr>
        <w:bidi w:val="0"/>
        <w:rPr>
          <w:lang w:val="en-US" w:eastAsia="zh-CN"/>
        </w:rPr>
      </w:pPr>
      <w:r>
        <w:rPr>
          <w:lang w:val="en-US" w:eastAsia="zh-CN"/>
        </w:rPr>
        <w:t>（1）揭示 AI 算力扩张对城市人工水系统代谢结构的影响机制。通过构建 AI 节点与城市水循环系统之间的耦合关系，分析 AI 负荷增长过程中取水、消耗、回流以及再生利用路径的变化规律，识别系统由规模增长向结构重构转变的条件。</w:t>
      </w:r>
    </w:p>
    <w:p w14:paraId="7392BD50">
      <w:pPr>
        <w:bidi w:val="0"/>
        <w:rPr>
          <w:lang w:val="en-US" w:eastAsia="zh-CN"/>
        </w:rPr>
      </w:pPr>
      <w:r>
        <w:rPr>
          <w:lang w:val="en-US" w:eastAsia="zh-CN"/>
        </w:rPr>
        <w:t>（2）建立面向城市尺度的条件化承载边界分析方法。突破仅以年度水资源总量评价数据中心承载能力的传统方式，将城市水源条件、基础设施能力、冷却技术、气候压力以及服务可靠性纳入统一分析框架，研究不同条件下 AI 可承载规模的变化规律。</w:t>
      </w:r>
    </w:p>
    <w:p w14:paraId="6001A207">
      <w:pPr>
        <w:bidi w:val="0"/>
        <w:rPr>
          <w:lang w:val="en-US" w:eastAsia="zh-CN"/>
        </w:rPr>
      </w:pPr>
      <w:r>
        <w:rPr>
          <w:lang w:val="en-US" w:eastAsia="zh-CN"/>
        </w:rPr>
        <w:t>（3）识别 AI 扩张过程中城市水系统关键约束因素及瓶颈迁移机制。通过模拟不同 AI 容量、城市状态和技术方案，分析水源、给水、污水处理、再生水利用、水质控制以及输配能力等因素如何共同决定 AI 承载边界，并为城市算力布局与水务设施协同规划提供依据。</w:t>
      </w:r>
    </w:p>
    <w:p w14:paraId="226824B3">
      <w:pPr>
        <w:pStyle w:val="24"/>
        <w:bidi w:val="0"/>
        <w:rPr>
          <w:lang w:val="en-US" w:eastAsia="zh-CN"/>
        </w:rPr>
      </w:pPr>
      <w:r>
        <w:rPr>
          <w:lang w:val="en-US" w:eastAsia="zh-CN"/>
        </w:rPr>
        <w:t>1.2.3 研究意义</w:t>
      </w:r>
    </w:p>
    <w:p w14:paraId="2079DD82">
      <w:pPr>
        <w:bidi w:val="0"/>
        <w:rPr>
          <w:lang w:val="en-US" w:eastAsia="zh-CN"/>
        </w:rPr>
      </w:pPr>
      <w:r>
        <w:rPr>
          <w:lang w:val="en-US" w:eastAsia="zh-CN"/>
        </w:rPr>
        <w:t>（1）理论意义</w:t>
      </w:r>
    </w:p>
    <w:p w14:paraId="3963AD89">
      <w:pPr>
        <w:bidi w:val="0"/>
        <w:rPr>
          <w:lang w:val="en-US" w:eastAsia="zh-CN"/>
        </w:rPr>
      </w:pPr>
      <w:r>
        <w:rPr>
          <w:lang w:val="en-US" w:eastAsia="zh-CN"/>
        </w:rPr>
        <w:t>本研究有助于拓展城市代谢理论，将计算需求驱动的物理资源流纳入城市代谢分析体系，使数字基础设施不再作为外部影响因素，而成为与城市水循环过程相互耦合的重要节点，从而推动数字基础设施研究与城市水系统研究的交叉融合。</w:t>
      </w:r>
    </w:p>
    <w:p w14:paraId="4256DF27">
      <w:pPr>
        <w:bidi w:val="0"/>
        <w:rPr>
          <w:lang w:val="en-US" w:eastAsia="zh-CN"/>
        </w:rPr>
      </w:pPr>
      <w:r>
        <w:rPr>
          <w:lang w:val="en-US" w:eastAsia="zh-CN"/>
        </w:rPr>
        <w:t>同时，本研究进一步完善综合城市水系统模拟方法，在供水、用水、污水和再生水统一框架下显式区分 Withdrawal、Consumption 与 Return Flow，并将水量、水质、储存能力以及峰值服务约束纳入同一分析边界，有助于更加系统地刻画 AI 算力基础设施引入后的城市水系统全过程响应。</w:t>
      </w:r>
    </w:p>
    <w:p w14:paraId="1D282DDB">
      <w:pPr>
        <w:bidi w:val="0"/>
        <w:rPr>
          <w:lang w:val="en-US" w:eastAsia="zh-CN"/>
        </w:rPr>
      </w:pPr>
      <w:r>
        <w:rPr>
          <w:lang w:val="en-US" w:eastAsia="zh-CN"/>
        </w:rPr>
        <w:t>此外，本研究将城市承载力研究对象由传统的人口规模或经济规模拓展至可量化的 AI IT 容量，探索资源供给能力、基础设施能力和风险容忍水平共同作用下的条件化承载边界，为数字时代城市资源约束理论的发展提供新的分析视角。</w:t>
      </w:r>
    </w:p>
    <w:p w14:paraId="7D7958E0">
      <w:pPr>
        <w:bidi w:val="0"/>
        <w:rPr>
          <w:lang w:val="en-US" w:eastAsia="zh-CN"/>
        </w:rPr>
      </w:pPr>
      <w:r>
        <w:rPr>
          <w:lang w:val="en-US" w:eastAsia="zh-CN"/>
        </w:rPr>
        <w:t>（2）实践意义</w:t>
      </w:r>
    </w:p>
    <w:p w14:paraId="17C91F1A">
      <w:pPr>
        <w:bidi w:val="0"/>
        <w:rPr>
          <w:lang w:val="en-US" w:eastAsia="zh-CN"/>
        </w:rPr>
      </w:pPr>
      <w:r>
        <w:rPr>
          <w:lang w:val="en-US" w:eastAsia="zh-CN"/>
        </w:rPr>
        <w:t>在城市规划与管理层面，本研究可为地方政府开展算力基础设施布局、取水许可管理以及水务设施规划提供科学依据。通过综合考虑资源总量、峰值需求和基础设施余量，可避免 AI 项目建设过程中出现局部水资源超载或设施能力配置不足等问题。</w:t>
      </w:r>
    </w:p>
    <w:p w14:paraId="25D97E80">
      <w:pPr>
        <w:bidi w:val="0"/>
        <w:rPr>
          <w:lang w:val="en-US" w:eastAsia="zh-CN"/>
        </w:rPr>
      </w:pPr>
      <w:r>
        <w:rPr>
          <w:lang w:val="en-US" w:eastAsia="zh-CN"/>
        </w:rPr>
        <w:t>对于数据中心建设与运营主体，本研究能够支持不同冷却技术、水源配置方式以及节水方案的系统比较，分析空气冷却、液冷、淡水利用和再生水利用等方案对城市整体资源系统的影响，避免单一指标优化导致能源消耗或环境负荷转移。</w:t>
      </w:r>
    </w:p>
    <w:p w14:paraId="25891DD6">
      <w:pPr>
        <w:bidi w:val="0"/>
        <w:rPr>
          <w:lang w:val="en-US" w:eastAsia="zh-CN"/>
        </w:rPr>
      </w:pPr>
      <w:r>
        <w:rPr>
          <w:lang w:val="en-US" w:eastAsia="zh-CN"/>
        </w:rPr>
        <w:t>对于城市水务管理部门，本研究可用于评估 AI 算力增长对城市供水、污水处理、再生水系统以及局部输配能力带来的新增压力，识别不同规模和时间尺度下有效的设施扩容策略，为未来基础设施投资、运行调度和风险应对提供决策支持。</w:t>
      </w:r>
    </w:p>
    <w:bookmarkEnd w:id="3"/>
    <w:p w14:paraId="4C6566E0">
      <w:pPr>
        <w:pStyle w:val="22"/>
        <w:pageBreakBefore/>
        <w:ind w:firstLine="0" w:firstLineChars="0"/>
        <w:outlineLvl w:val="0"/>
      </w:pPr>
      <w:bookmarkStart w:id="4" w:name="_Toc10098"/>
      <w:r>
        <w:rPr>
          <w:rFonts w:ascii="Times New Roman" w:hAnsi="Times New Roman" w:eastAsia="黑体" w:cs="Times New Roman"/>
          <w:b/>
          <w:color w:val="000000"/>
          <w:sz w:val="30"/>
        </w:rPr>
        <w:t>2 国内外研究现状及分析</w:t>
      </w:r>
      <w:bookmarkEnd w:id="4"/>
    </w:p>
    <w:p w14:paraId="32B44F48">
      <w:pPr>
        <w:pStyle w:val="23"/>
        <w:pageBreakBefore w:val="0"/>
        <w:ind w:firstLine="0" w:firstLineChars="0"/>
        <w:outlineLvl w:val="1"/>
      </w:pPr>
      <w:bookmarkStart w:id="5" w:name="_Toc8233"/>
      <w:r>
        <w:rPr>
          <w:rFonts w:ascii="Times New Roman" w:hAnsi="Times New Roman" w:eastAsia="黑体" w:cs="Times New Roman"/>
          <w:b/>
          <w:color w:val="000000"/>
          <w:sz w:val="28"/>
        </w:rPr>
        <w:t>2.1 国外研究现状</w:t>
      </w:r>
      <w:bookmarkEnd w:id="5"/>
    </w:p>
    <w:p w14:paraId="6122C738">
      <w:pPr>
        <w:pStyle w:val="24"/>
        <w:pageBreakBefore w:val="0"/>
        <w:ind w:firstLine="0" w:firstLineChars="0"/>
        <w:outlineLvl w:val="2"/>
      </w:pPr>
      <w:bookmarkStart w:id="6" w:name="_Toc18015"/>
      <w:r>
        <w:rPr>
          <w:rFonts w:ascii="Times New Roman" w:hAnsi="Times New Roman" w:eastAsia="黑体" w:cs="Times New Roman"/>
          <w:b/>
          <w:color w:val="000000"/>
          <w:sz w:val="24"/>
        </w:rPr>
        <w:t>2.1.1 城市代谢与综合城市水系统</w:t>
      </w:r>
      <w:bookmarkEnd w:id="6"/>
    </w:p>
    <w:p w14:paraId="238F5590">
      <w:pPr>
        <w:spacing w:before="0" w:after="0" w:line="360" w:lineRule="auto"/>
        <w:ind w:firstLine="420"/>
      </w:pPr>
      <w:r>
        <w:rPr>
          <w:rFonts w:ascii="Times New Roman" w:hAnsi="Times New Roman" w:eastAsia="宋体" w:cs="Times New Roman"/>
          <w:b w:val="0"/>
          <w:color w:val="000000"/>
          <w:sz w:val="24"/>
        </w:rPr>
        <w:t>Wolman以城市资源输入与废弃物输出阐述城市代谢概念</w:t>
      </w:r>
      <w:r>
        <w:rPr>
          <w:rFonts w:ascii="Times New Roman" w:hAnsi="Times New Roman" w:eastAsia="宋体" w:cs="Times New Roman"/>
          <w:b w:val="0"/>
          <w:color w:val="000000"/>
          <w:sz w:val="24"/>
          <w:vertAlign w:val="superscript"/>
        </w:rPr>
        <w:t>[16]</w:t>
      </w:r>
      <w:r>
        <w:rPr>
          <w:rFonts w:ascii="Times New Roman" w:hAnsi="Times New Roman" w:eastAsia="宋体" w:cs="Times New Roman"/>
          <w:b w:val="0"/>
          <w:color w:val="000000"/>
          <w:sz w:val="24"/>
        </w:rPr>
        <w:t>。Kennedy等从代谢变化及规划应用拓展了这一视角</w:t>
      </w:r>
      <w:r>
        <w:rPr>
          <w:rFonts w:ascii="Times New Roman" w:hAnsi="Times New Roman" w:eastAsia="宋体" w:cs="Times New Roman"/>
          <w:b w:val="0"/>
          <w:color w:val="000000"/>
          <w:sz w:val="24"/>
          <w:vertAlign w:val="superscript"/>
        </w:rPr>
        <w:t>[17,18]</w:t>
      </w:r>
      <w:r>
        <w:rPr>
          <w:rFonts w:ascii="宋体" w:hAnsi="宋体" w:eastAsia="宋体" w:cs="Times New Roman"/>
          <w:b w:val="0"/>
          <w:color w:val="000000"/>
          <w:sz w:val="24"/>
        </w:rPr>
        <w:t>，跨学科研究进一步强调物质流与城市过程之间的联系</w:t>
      </w:r>
      <w:r>
        <w:rPr>
          <w:rFonts w:ascii="Times New Roman" w:hAnsi="Times New Roman" w:eastAsia="宋体" w:cs="Times New Roman"/>
          <w:b w:val="0"/>
          <w:color w:val="000000"/>
          <w:sz w:val="24"/>
          <w:vertAlign w:val="superscript"/>
        </w:rPr>
        <w:t>[19]</w:t>
      </w:r>
      <w:r>
        <w:rPr>
          <w:rFonts w:ascii="宋体" w:hAnsi="宋体" w:eastAsia="宋体" w:cs="Times New Roman"/>
          <w:b w:val="0"/>
          <w:color w:val="000000"/>
          <w:sz w:val="24"/>
        </w:rPr>
        <w:t>。对于水系统而言，代谢视角的价值在于把供水、用水、污水、再生利用和环境排放放到同一张网络中，从而识别水量之外的路径结构。</w:t>
      </w:r>
    </w:p>
    <w:p w14:paraId="310EAC60">
      <w:pPr>
        <w:spacing w:before="0" w:after="0" w:line="360" w:lineRule="auto"/>
        <w:ind w:firstLine="420"/>
      </w:pPr>
      <w:r>
        <w:rPr>
          <w:rFonts w:ascii="Times New Roman" w:hAnsi="Times New Roman" w:eastAsia="宋体" w:cs="Times New Roman"/>
          <w:b w:val="0"/>
          <w:color w:val="000000"/>
          <w:sz w:val="24"/>
        </w:rPr>
        <w:t>WaterMet</w:t>
      </w:r>
      <w:r>
        <w:rPr>
          <w:rFonts w:hint="eastAsia" w:ascii="Times New Roman" w:hAnsi="Times New Roman" w:cs="Times New Roman"/>
          <w:b w:val="0"/>
          <w:color w:val="000000"/>
          <w:sz w:val="24"/>
          <w:lang w:val="en-US" w:eastAsia="zh-CN"/>
        </w:rPr>
        <w:t>2</w:t>
      </w:r>
      <w:r>
        <w:rPr>
          <w:rFonts w:ascii="Times New Roman" w:hAnsi="Times New Roman" w:eastAsia="宋体" w:cs="Times New Roman"/>
          <w:b w:val="0"/>
          <w:color w:val="000000"/>
          <w:sz w:val="24"/>
        </w:rPr>
        <w:t>将供水、需求、污水和环境绩效置于统一分析框架</w:t>
      </w:r>
      <w:r>
        <w:rPr>
          <w:rFonts w:ascii="Times New Roman" w:hAnsi="Times New Roman" w:eastAsia="宋体" w:cs="Times New Roman"/>
          <w:b w:val="0"/>
          <w:color w:val="000000"/>
          <w:sz w:val="24"/>
          <w:vertAlign w:val="superscript"/>
        </w:rPr>
        <w:t>[20,21]</w:t>
      </w:r>
      <w:r>
        <w:rPr>
          <w:rFonts w:ascii="宋体" w:hAnsi="宋体" w:eastAsia="宋体" w:cs="Times New Roman"/>
          <w:b w:val="0"/>
          <w:color w:val="000000"/>
          <w:sz w:val="24"/>
        </w:rPr>
        <w:t>；综合城市水循环综述讨论了跨子系统模型的连接方式与适用边界</w:t>
      </w:r>
      <w:r>
        <w:rPr>
          <w:rFonts w:ascii="Times New Roman" w:hAnsi="Times New Roman" w:eastAsia="宋体" w:cs="Times New Roman"/>
          <w:b w:val="0"/>
          <w:color w:val="000000"/>
          <w:sz w:val="24"/>
          <w:vertAlign w:val="superscript"/>
        </w:rPr>
        <w:t>[22,23]</w:t>
      </w:r>
      <w:r>
        <w:rPr>
          <w:rFonts w:ascii="Times New Roman" w:hAnsi="Times New Roman" w:eastAsia="宋体" w:cs="Times New Roman"/>
          <w:b w:val="0"/>
          <w:color w:val="000000"/>
          <w:sz w:val="24"/>
        </w:rPr>
        <w:t>；WSIMOD以节点和弧线连接水量与污染物通量，强调可组合建模和守恒检查</w:t>
      </w:r>
      <w:r>
        <w:rPr>
          <w:rFonts w:ascii="Times New Roman" w:hAnsi="Times New Roman" w:eastAsia="宋体" w:cs="Times New Roman"/>
          <w:b w:val="0"/>
          <w:color w:val="000000"/>
          <w:sz w:val="24"/>
          <w:vertAlign w:val="superscript"/>
        </w:rPr>
        <w:t>[24]</w:t>
      </w:r>
      <w:r>
        <w:rPr>
          <w:rFonts w:ascii="宋体" w:hAnsi="宋体" w:eastAsia="宋体" w:cs="Times New Roman"/>
          <w:b w:val="0"/>
          <w:color w:val="000000"/>
          <w:sz w:val="24"/>
        </w:rPr>
        <w:t>。相关系统动力学、混合系统建模和强化学习研究也尝试将动态反馈与水资源管理决策连接</w:t>
      </w:r>
      <w:r>
        <w:rPr>
          <w:rFonts w:ascii="Times New Roman" w:hAnsi="Times New Roman" w:eastAsia="宋体" w:cs="Times New Roman"/>
          <w:b w:val="0"/>
          <w:color w:val="000000"/>
          <w:sz w:val="24"/>
          <w:vertAlign w:val="superscript"/>
        </w:rPr>
        <w:t>[25,26]</w:t>
      </w:r>
      <w:r>
        <w:rPr>
          <w:rFonts w:ascii="Times New Roman" w:hAnsi="Times New Roman" w:eastAsia="宋体" w:cs="Times New Roman"/>
          <w:b w:val="0"/>
          <w:color w:val="000000"/>
          <w:sz w:val="24"/>
        </w:rPr>
        <w:t>。这些成果为AI节点接入城市水循环提供了工具基础，本课题进一步关注该节点的连续负荷、气候敏感性及峰值服务约束。</w:t>
      </w:r>
    </w:p>
    <w:p w14:paraId="5CE4319C">
      <w:pPr>
        <w:spacing w:before="0" w:after="0" w:line="360" w:lineRule="auto"/>
        <w:ind w:firstLine="420"/>
      </w:pPr>
      <w:r>
        <w:rPr>
          <w:rFonts w:ascii="Times New Roman" w:hAnsi="Times New Roman" w:eastAsia="宋体" w:cs="Times New Roman"/>
          <w:b w:val="0"/>
          <w:color w:val="000000"/>
          <w:sz w:val="24"/>
        </w:rPr>
        <w:t>城市代谢研究的另一个不足是，部分研究以年度物质流清单为主，对峰值压力和设施瓶颈的刻画仍不充分。对于AI来说，年度总量可能掩盖极端高温周的冷却补水、短时接入能力和污水处理超负荷。因此，本研究将日尺度作为主时间步，并以极端周小时序列检验时间聚合是否改变承载判断。城市需水建模文献对时间尺度、需求驱动和预测口径的梳理，为设置传统用户基线提供了依据</w:t>
      </w:r>
      <w:r>
        <w:rPr>
          <w:rFonts w:ascii="Times New Roman" w:hAnsi="Times New Roman" w:eastAsia="宋体" w:cs="Times New Roman"/>
          <w:b w:val="0"/>
          <w:color w:val="000000"/>
          <w:sz w:val="24"/>
          <w:vertAlign w:val="superscript"/>
        </w:rPr>
        <w:t>[27]</w:t>
      </w:r>
      <w:r>
        <w:rPr>
          <w:rFonts w:ascii="宋体" w:hAnsi="宋体" w:eastAsia="宋体" w:cs="Times New Roman"/>
          <w:b w:val="0"/>
          <w:color w:val="000000"/>
          <w:sz w:val="24"/>
        </w:rPr>
        <w:t>。</w:t>
      </w:r>
    </w:p>
    <w:p w14:paraId="31CD2C75">
      <w:pPr>
        <w:pStyle w:val="24"/>
        <w:pageBreakBefore w:val="0"/>
        <w:ind w:firstLine="0" w:firstLineChars="0"/>
        <w:outlineLvl w:val="2"/>
      </w:pPr>
      <w:bookmarkStart w:id="7" w:name="_Toc8095"/>
      <w:r>
        <w:rPr>
          <w:rFonts w:ascii="Times New Roman" w:hAnsi="Times New Roman" w:eastAsia="宋体"/>
          <w:sz w:val="24"/>
        </w:rPr>
        <w:t>2.1.2 城市水，能，碳关系</w:t>
      </w:r>
      <w:bookmarkEnd w:id="7"/>
    </w:p>
    <w:p w14:paraId="7F077B82">
      <w:pPr>
        <w:spacing w:before="0" w:after="0" w:line="360" w:lineRule="auto"/>
        <w:ind w:firstLine="420"/>
      </w:pPr>
      <w:r>
        <w:rPr>
          <w:rFonts w:ascii="Times New Roman" w:hAnsi="Times New Roman" w:eastAsia="宋体"/>
          <w:sz w:val="24"/>
        </w:rPr>
        <w:t>城市水系统中的取水、加压、给水处理、污水处理、深度再生和输配均伴随能源消耗。城市水，能联系综述与系统框架将这些环节纳入过程核算[28,29]；水，能，温室气体关系研究和能耗强度比较强调边界及指标口径的一致性[30,31]。水源选择的能源和大气排放效应说明，降低某一环节用水并不必然降低系统总环境负荷[32]。</w:t>
      </w:r>
    </w:p>
    <w:p w14:paraId="3F25A12F">
      <w:pPr>
        <w:spacing w:before="0" w:after="0" w:line="360" w:lineRule="auto"/>
        <w:ind w:firstLine="420"/>
      </w:pPr>
      <w:r>
        <w:rPr>
          <w:rFonts w:ascii="宋体" w:hAnsi="宋体" w:eastAsia="宋体" w:cs="Times New Roman"/>
          <w:b w:val="0"/>
          <w:color w:val="000000"/>
          <w:sz w:val="24"/>
        </w:rPr>
        <w:t>这些研究对本课题的启示是：再生水处理深度与输送距离需要和淡水替代量共同评价；城市本地物理水流与异地电力水足迹应分别呈现。面向数据中心冷却的生命周期评价同样强调技术选择需在完整环境边界下比较</w:t>
      </w:r>
      <w:r>
        <w:rPr>
          <w:rFonts w:ascii="Times New Roman" w:hAnsi="Times New Roman" w:eastAsia="宋体" w:cs="Times New Roman"/>
          <w:b w:val="0"/>
          <w:color w:val="000000"/>
          <w:sz w:val="24"/>
          <w:vertAlign w:val="superscript"/>
        </w:rPr>
        <w:t>[33]</w:t>
      </w:r>
      <w:r>
        <w:rPr>
          <w:rFonts w:ascii="宋体" w:hAnsi="宋体" w:eastAsia="宋体" w:cs="Times New Roman"/>
          <w:b w:val="0"/>
          <w:color w:val="000000"/>
          <w:sz w:val="24"/>
        </w:rPr>
        <w:t>。</w:t>
      </w:r>
    </w:p>
    <w:p w14:paraId="28ACECCD">
      <w:pPr>
        <w:pStyle w:val="24"/>
        <w:pageBreakBefore w:val="0"/>
        <w:ind w:firstLine="0" w:firstLineChars="0"/>
        <w:outlineLvl w:val="2"/>
      </w:pPr>
      <w:bookmarkStart w:id="8" w:name="_Toc31085"/>
      <w:r>
        <w:rPr>
          <w:rFonts w:ascii="Times New Roman" w:hAnsi="Times New Roman" w:eastAsia="黑体" w:cs="Times New Roman"/>
          <w:b/>
          <w:color w:val="000000"/>
          <w:sz w:val="24"/>
        </w:rPr>
        <w:t>2.1.3 AI与数据中心资源环境足迹</w:t>
      </w:r>
      <w:bookmarkEnd w:id="8"/>
    </w:p>
    <w:p w14:paraId="58184674">
      <w:pPr>
        <w:spacing w:before="0" w:after="0" w:line="360" w:lineRule="auto"/>
        <w:ind w:firstLine="420"/>
      </w:pPr>
      <w:r>
        <w:rPr>
          <w:rFonts w:ascii="Times New Roman" w:hAnsi="Times New Roman" w:eastAsia="宋体" w:cs="Times New Roman"/>
          <w:b w:val="0"/>
          <w:color w:val="000000"/>
          <w:sz w:val="24"/>
        </w:rPr>
        <w:t>AI环境研究由训练阶段的能源与政策讨论</w:t>
      </w:r>
      <w:r>
        <w:rPr>
          <w:rFonts w:ascii="Times New Roman" w:hAnsi="Times New Roman" w:eastAsia="宋体" w:cs="Times New Roman"/>
          <w:b w:val="0"/>
          <w:color w:val="000000"/>
          <w:sz w:val="24"/>
          <w:vertAlign w:val="superscript"/>
        </w:rPr>
        <w:t>[34]</w:t>
      </w:r>
      <w:r>
        <w:rPr>
          <w:rFonts w:ascii="Times New Roman" w:hAnsi="Times New Roman" w:eastAsia="宋体" w:cs="Times New Roman"/>
          <w:b w:val="0"/>
          <w:color w:val="000000"/>
          <w:sz w:val="24"/>
        </w:rPr>
        <w:t>，发展到能耗与碳足迹的系统报告、计算碳足迹工具及Green AI理念</w:t>
      </w:r>
      <w:r>
        <w:rPr>
          <w:rFonts w:ascii="Times New Roman" w:hAnsi="Times New Roman" w:eastAsia="宋体" w:cs="Times New Roman"/>
          <w:b w:val="0"/>
          <w:color w:val="000000"/>
          <w:sz w:val="24"/>
          <w:vertAlign w:val="superscript"/>
        </w:rPr>
        <w:t>[35-37]</w:t>
      </w:r>
      <w:r>
        <w:rPr>
          <w:rFonts w:ascii="Times New Roman" w:hAnsi="Times New Roman" w:eastAsia="宋体" w:cs="Times New Roman"/>
          <w:b w:val="0"/>
          <w:color w:val="000000"/>
          <w:sz w:val="24"/>
        </w:rPr>
        <w:t>。关于训练碳足迹演变、BLOOM模型核算和部署阶段能耗的研究进一步区分训练与推理的负荷特征</w:t>
      </w:r>
      <w:r>
        <w:rPr>
          <w:rFonts w:ascii="Times New Roman" w:hAnsi="Times New Roman" w:eastAsia="宋体" w:cs="Times New Roman"/>
          <w:b w:val="0"/>
          <w:color w:val="000000"/>
          <w:sz w:val="24"/>
          <w:vertAlign w:val="superscript"/>
        </w:rPr>
        <w:t>[38-40]</w:t>
      </w:r>
      <w:r>
        <w:rPr>
          <w:rFonts w:ascii="Times New Roman" w:hAnsi="Times New Roman" w:eastAsia="宋体" w:cs="Times New Roman"/>
          <w:b w:val="0"/>
          <w:color w:val="000000"/>
          <w:sz w:val="24"/>
        </w:rPr>
        <w:t>；生成式AI电子废物研究则将视角延伸至硬件退役</w:t>
      </w:r>
      <w:r>
        <w:rPr>
          <w:rFonts w:ascii="Times New Roman" w:hAnsi="Times New Roman" w:eastAsia="宋体" w:cs="Times New Roman"/>
          <w:b w:val="0"/>
          <w:color w:val="000000"/>
          <w:sz w:val="24"/>
          <w:vertAlign w:val="superscript"/>
        </w:rPr>
        <w:t>[41]</w:t>
      </w:r>
      <w:r>
        <w:rPr>
          <w:rFonts w:ascii="宋体" w:hAnsi="宋体" w:eastAsia="宋体" w:cs="Times New Roman"/>
          <w:b w:val="0"/>
          <w:color w:val="000000"/>
          <w:sz w:val="24"/>
        </w:rPr>
        <w:t>。</w:t>
      </w:r>
    </w:p>
    <w:p w14:paraId="504B5840">
      <w:pPr>
        <w:spacing w:before="0" w:after="0" w:line="360" w:lineRule="auto"/>
        <w:ind w:firstLine="420"/>
      </w:pPr>
      <w:r>
        <w:rPr>
          <w:rFonts w:ascii="Times New Roman" w:hAnsi="Times New Roman" w:eastAsia="宋体" w:cs="Times New Roman"/>
          <w:b w:val="0"/>
          <w:color w:val="000000"/>
          <w:sz w:val="24"/>
        </w:rPr>
        <w:t>Mytton和工作负荷水耗综述揭示了数据中心水使用的边界及其决定因素</w:t>
      </w:r>
      <w:r>
        <w:rPr>
          <w:rFonts w:ascii="Times New Roman" w:hAnsi="Times New Roman" w:eastAsia="宋体" w:cs="Times New Roman"/>
          <w:b w:val="0"/>
          <w:color w:val="000000"/>
          <w:sz w:val="24"/>
          <w:vertAlign w:val="superscript"/>
        </w:rPr>
        <w:t>[7,8]</w:t>
      </w:r>
      <w:r>
        <w:rPr>
          <w:rFonts w:ascii="Times New Roman" w:hAnsi="Times New Roman" w:eastAsia="宋体" w:cs="Times New Roman"/>
          <w:b w:val="0"/>
          <w:color w:val="000000"/>
          <w:sz w:val="24"/>
        </w:rPr>
        <w:t>；AI服务器情景分析、模型水足迹研究及不确定性预测表明，负荷、冷却、气候与电力结构需要联合考虑</w:t>
      </w:r>
      <w:r>
        <w:rPr>
          <w:rFonts w:ascii="Times New Roman" w:hAnsi="Times New Roman" w:eastAsia="宋体" w:cs="Times New Roman"/>
          <w:b w:val="0"/>
          <w:color w:val="000000"/>
          <w:sz w:val="24"/>
          <w:vertAlign w:val="superscript"/>
        </w:rPr>
        <w:t>[9,42,43]</w:t>
      </w:r>
      <w:r>
        <w:rPr>
          <w:rFonts w:ascii="宋体" w:hAnsi="宋体" w:eastAsia="宋体" w:cs="Times New Roman"/>
          <w:b w:val="0"/>
          <w:color w:val="000000"/>
          <w:sz w:val="24"/>
        </w:rPr>
        <w:t>。现有成果多以设施或区域足迹为终点，本研究拟继续追踪补水来源、排污去向、再生水竞争与城市设施余量。</w:t>
      </w:r>
    </w:p>
    <w:p w14:paraId="7C2AC68A">
      <w:pPr>
        <w:spacing w:before="0" w:after="0" w:line="360" w:lineRule="auto"/>
        <w:ind w:firstLine="420"/>
      </w:pPr>
      <w:r>
        <w:rPr>
          <w:rFonts w:ascii="Times New Roman" w:hAnsi="Times New Roman" w:eastAsia="宋体"/>
          <w:sz w:val="24"/>
        </w:rPr>
        <w:t>近期预印本已讨论数据中心对公共供水容量的压力，以及AI用水与供水条件之间的反馈[44,45]。数据中心，污水厂协同研究则分析数，水共生的环境潜力[46]。这些进展将问题推进到城市接口，也使水量、水质、时间尺度与约束迁移的统一分析成为需要统一处理的方向。</w:t>
      </w:r>
    </w:p>
    <w:p w14:paraId="4E28DE6E">
      <w:pPr>
        <w:pStyle w:val="24"/>
        <w:pageBreakBefore w:val="0"/>
        <w:ind w:firstLine="0" w:firstLineChars="0"/>
        <w:outlineLvl w:val="2"/>
      </w:pPr>
      <w:bookmarkStart w:id="9" w:name="_Toc8135"/>
      <w:r>
        <w:rPr>
          <w:rFonts w:ascii="Times New Roman" w:hAnsi="Times New Roman" w:eastAsia="黑体" w:cs="Times New Roman"/>
          <w:b/>
          <w:color w:val="000000"/>
          <w:sz w:val="24"/>
        </w:rPr>
        <w:t>2.1.4 冷却与再生水工程</w:t>
      </w:r>
      <w:bookmarkEnd w:id="9"/>
    </w:p>
    <w:p w14:paraId="2A312FA4">
      <w:pPr>
        <w:spacing w:before="0" w:after="0" w:line="360" w:lineRule="auto"/>
        <w:ind w:firstLine="420"/>
      </w:pPr>
      <w:r>
        <w:rPr>
          <w:rFonts w:ascii="宋体" w:hAnsi="宋体" w:eastAsia="宋体" w:cs="Times New Roman"/>
          <w:b w:val="0"/>
          <w:color w:val="000000"/>
          <w:sz w:val="24"/>
        </w:rPr>
        <w:t>数据中心冷却综述分别讨论热排散、余热回收和自然冷却条件</w:t>
      </w:r>
      <w:r>
        <w:rPr>
          <w:rFonts w:ascii="Times New Roman" w:hAnsi="Times New Roman" w:eastAsia="宋体" w:cs="Times New Roman"/>
          <w:b w:val="0"/>
          <w:color w:val="000000"/>
          <w:sz w:val="24"/>
          <w:vertAlign w:val="superscript"/>
        </w:rPr>
        <w:t>[47-49]</w:t>
      </w:r>
      <w:r>
        <w:rPr>
          <w:rFonts w:ascii="宋体" w:hAnsi="宋体" w:eastAsia="宋体" w:cs="Times New Roman"/>
          <w:b w:val="0"/>
          <w:color w:val="000000"/>
          <w:sz w:val="24"/>
        </w:rPr>
        <w:t>，相变冷却与综合技术综述进一步梳理设备架构和适用工况</w:t>
      </w:r>
      <w:r>
        <w:rPr>
          <w:rFonts w:ascii="Times New Roman" w:hAnsi="Times New Roman" w:eastAsia="宋体" w:cs="Times New Roman"/>
          <w:b w:val="0"/>
          <w:color w:val="000000"/>
          <w:sz w:val="24"/>
          <w:vertAlign w:val="superscript"/>
        </w:rPr>
        <w:t>[50,51]</w:t>
      </w:r>
      <w:r>
        <w:rPr>
          <w:rFonts w:ascii="宋体" w:hAnsi="宋体" w:eastAsia="宋体" w:cs="Times New Roman"/>
          <w:b w:val="0"/>
          <w:color w:val="000000"/>
          <w:sz w:val="24"/>
        </w:rPr>
        <w:t>，液冷研究指出其系统集成方面的挑战</w:t>
      </w:r>
      <w:r>
        <w:rPr>
          <w:rFonts w:ascii="Times New Roman" w:hAnsi="Times New Roman" w:eastAsia="宋体" w:cs="Times New Roman"/>
          <w:b w:val="0"/>
          <w:color w:val="000000"/>
          <w:sz w:val="24"/>
          <w:vertAlign w:val="superscript"/>
        </w:rPr>
        <w:t>[52]</w:t>
      </w:r>
      <w:r>
        <w:rPr>
          <w:rFonts w:ascii="Times New Roman" w:hAnsi="Times New Roman" w:eastAsia="宋体" w:cs="Times New Roman"/>
          <w:b w:val="0"/>
          <w:color w:val="000000"/>
          <w:sz w:val="24"/>
        </w:rPr>
        <w:t>。本研究区分服务器侧热捕集与设施侧末端排热：空气、direct-to-chip和浸没式液冷描述前者，干式、湿式与干湿混合描述后者。现场耗水由两层架构及运行条件共同决定。</w:t>
      </w:r>
    </w:p>
    <w:p w14:paraId="156D1049">
      <w:pPr>
        <w:spacing w:before="0" w:after="0" w:line="360" w:lineRule="auto"/>
        <w:ind w:firstLine="420"/>
      </w:pPr>
      <w:r>
        <w:rPr>
          <w:rFonts w:ascii="Times New Roman" w:hAnsi="Times New Roman" w:eastAsia="宋体"/>
          <w:sz w:val="24"/>
        </w:rPr>
        <w:t>再生水用于循环冷却时，腐蚀控制[53,54]、结垢抑制[55]和生物生长控制[56]影响可采用的浓缩倍数及运行条件，反渗透深度处理研究为水质改善提供了工程参照[57]。这些工程关系将用于建立水质，排污，补水接口，并分析污水源量、既有用户和再生水输配能力对实际供给的共同约束。</w:t>
      </w:r>
    </w:p>
    <w:p w14:paraId="16A2980F">
      <w:pPr>
        <w:pStyle w:val="24"/>
        <w:pageBreakBefore w:val="0"/>
        <w:ind w:firstLine="0" w:firstLineChars="0"/>
        <w:outlineLvl w:val="2"/>
      </w:pPr>
      <w:bookmarkStart w:id="10" w:name="_Toc9243"/>
      <w:r>
        <w:rPr>
          <w:rFonts w:ascii="Times New Roman" w:hAnsi="Times New Roman" w:eastAsia="黑体" w:cs="Times New Roman"/>
          <w:b/>
          <w:color w:val="000000"/>
          <w:sz w:val="24"/>
        </w:rPr>
        <w:t>2.1.5 可靠性与不确定性决策方法</w:t>
      </w:r>
      <w:bookmarkEnd w:id="10"/>
    </w:p>
    <w:p w14:paraId="2D0A84C4">
      <w:pPr>
        <w:spacing w:before="0" w:after="0" w:line="360" w:lineRule="auto"/>
        <w:ind w:firstLine="420"/>
      </w:pPr>
      <w:r>
        <w:rPr>
          <w:rFonts w:ascii="Times New Roman" w:hAnsi="Times New Roman" w:eastAsia="宋体"/>
          <w:sz w:val="24"/>
        </w:rPr>
        <w:t>可靠性，恢复性，脆弱性框架将水系统绩效分为服务满足频率、恢复速度和失效后果[58]。面向干旱与气候不确定性的稳健供水优化和政策评估，强调在多个未来条件下比较方案表现[59,60]；动态适应路径方法通过状态变化安排决策时序[61,62]，并已应用于综合城市污水系统规划[63]。这些研究为结果的情景解释提供参照。NSGA-II是多目标方案比较的代表方法[64]，本论文将核心实验放在容量边界和瓶颈机制，后续决策扩展留待后续工作。</w:t>
      </w:r>
    </w:p>
    <w:p w14:paraId="1B245A3B">
      <w:pPr>
        <w:pStyle w:val="23"/>
        <w:pageBreakBefore w:val="0"/>
        <w:ind w:firstLine="0" w:firstLineChars="0"/>
        <w:outlineLvl w:val="1"/>
      </w:pPr>
      <w:bookmarkStart w:id="11" w:name="_Toc14570"/>
      <w:r>
        <w:rPr>
          <w:rFonts w:ascii="Times New Roman" w:hAnsi="Times New Roman" w:eastAsia="黑体" w:cs="Times New Roman"/>
          <w:b/>
          <w:color w:val="000000"/>
          <w:sz w:val="28"/>
        </w:rPr>
        <w:t>2.2 国内研究现状</w:t>
      </w:r>
      <w:bookmarkEnd w:id="11"/>
    </w:p>
    <w:p w14:paraId="3C45FD8D">
      <w:pPr>
        <w:spacing w:before="0" w:after="0" w:line="360" w:lineRule="auto"/>
        <w:ind w:firstLine="420"/>
      </w:pPr>
      <w:r>
        <w:rPr>
          <w:rFonts w:ascii="宋体" w:hAnsi="宋体" w:eastAsia="宋体" w:cs="Times New Roman"/>
          <w:b w:val="0"/>
          <w:color w:val="000000"/>
          <w:sz w:val="24"/>
        </w:rPr>
        <w:t>国内水资源承载力研究从概念和方法辨析出发</w:t>
      </w:r>
      <w:r>
        <w:rPr>
          <w:rFonts w:ascii="Times New Roman" w:hAnsi="Times New Roman" w:eastAsia="宋体" w:cs="Times New Roman"/>
          <w:b w:val="0"/>
          <w:color w:val="000000"/>
          <w:sz w:val="24"/>
          <w:vertAlign w:val="superscript"/>
        </w:rPr>
        <w:t>[65]</w:t>
      </w:r>
      <w:r>
        <w:rPr>
          <w:rFonts w:ascii="宋体" w:hAnsi="宋体" w:eastAsia="宋体" w:cs="Times New Roman"/>
          <w:b w:val="0"/>
          <w:color w:val="000000"/>
          <w:sz w:val="24"/>
        </w:rPr>
        <w:t>，发展出设计承载容量、系统动力学模拟与综合评价等路线</w:t>
      </w:r>
      <w:r>
        <w:rPr>
          <w:rFonts w:ascii="Times New Roman" w:hAnsi="Times New Roman" w:eastAsia="宋体" w:cs="Times New Roman"/>
          <w:b w:val="0"/>
          <w:color w:val="000000"/>
          <w:sz w:val="24"/>
          <w:vertAlign w:val="superscript"/>
        </w:rPr>
        <w:t>[66]</w:t>
      </w:r>
      <w:r>
        <w:rPr>
          <w:rFonts w:ascii="宋体" w:hAnsi="宋体" w:eastAsia="宋体" w:cs="Times New Roman"/>
          <w:b w:val="0"/>
          <w:color w:val="000000"/>
          <w:sz w:val="24"/>
        </w:rPr>
        <w:t>。义乌和榆林案例以动态模型分析资源供需和城市发展</w:t>
      </w:r>
      <w:r>
        <w:rPr>
          <w:rFonts w:ascii="Times New Roman" w:hAnsi="Times New Roman" w:eastAsia="宋体" w:cs="Times New Roman"/>
          <w:b w:val="0"/>
          <w:color w:val="000000"/>
          <w:sz w:val="24"/>
          <w:vertAlign w:val="superscript"/>
        </w:rPr>
        <w:t>[67,68]</w:t>
      </w:r>
      <w:r>
        <w:rPr>
          <w:rFonts w:ascii="宋体" w:hAnsi="宋体" w:eastAsia="宋体" w:cs="Times New Roman"/>
          <w:b w:val="0"/>
          <w:color w:val="000000"/>
          <w:sz w:val="24"/>
        </w:rPr>
        <w:t>，长春、广州研究将动态模拟与综合评价结合</w:t>
      </w:r>
      <w:r>
        <w:rPr>
          <w:rFonts w:ascii="Times New Roman" w:hAnsi="Times New Roman" w:eastAsia="宋体" w:cs="Times New Roman"/>
          <w:b w:val="0"/>
          <w:color w:val="000000"/>
          <w:sz w:val="24"/>
          <w:vertAlign w:val="superscript"/>
        </w:rPr>
        <w:t>[69,70]</w:t>
      </w:r>
      <w:r>
        <w:rPr>
          <w:rFonts w:ascii="宋体" w:hAnsi="宋体" w:eastAsia="宋体" w:cs="Times New Roman"/>
          <w:b w:val="0"/>
          <w:color w:val="000000"/>
          <w:sz w:val="24"/>
        </w:rPr>
        <w:t>。水环境承载力分区和承载上限检验进一步把污染负荷、区域差异与边界问题纳入分析</w:t>
      </w:r>
      <w:r>
        <w:rPr>
          <w:rFonts w:ascii="Times New Roman" w:hAnsi="Times New Roman" w:eastAsia="宋体" w:cs="Times New Roman"/>
          <w:b w:val="0"/>
          <w:color w:val="000000"/>
          <w:sz w:val="24"/>
          <w:vertAlign w:val="superscript"/>
        </w:rPr>
        <w:t>[71,72]</w:t>
      </w:r>
      <w:r>
        <w:rPr>
          <w:rFonts w:ascii="Times New Roman" w:hAnsi="Times New Roman" w:eastAsia="宋体" w:cs="Times New Roman"/>
          <w:b w:val="0"/>
          <w:color w:val="000000"/>
          <w:sz w:val="24"/>
        </w:rPr>
        <w:t>。这些研究提供了状态变量与情景设计经验，本课题将承载对象具体化为AI IT容量，并连接设施余量与时变服务约束。</w:t>
      </w:r>
    </w:p>
    <w:p w14:paraId="5B49BE0E">
      <w:pPr>
        <w:spacing w:before="0" w:after="0" w:line="360" w:lineRule="auto"/>
        <w:ind w:firstLine="420"/>
      </w:pPr>
      <w:r>
        <w:rPr>
          <w:rFonts w:ascii="Times New Roman" w:hAnsi="Times New Roman" w:eastAsia="宋体"/>
          <w:sz w:val="24"/>
        </w:rPr>
        <w:t>国内相关城市水代谢研究利用生态网络分析联合描述物理水和虚拟水代谢过程[73]，城市代谢视角的水，能综述梳理了资源流之间的耦合[74]。面向未来城市缺水的全球研究提示城市间资源禀赋和需求增长的差异[75]；再生水与污水系统适应路径研究关注不确定未来下的设施决策[76]。本课题以参数范围校核和外部城市公开资料的方向性锚定检验AI负荷引起的结构响应，而不以城市排名替代机制分析。</w:t>
      </w:r>
    </w:p>
    <w:p w14:paraId="2024C0AD">
      <w:pPr>
        <w:spacing w:before="0" w:after="0" w:line="360" w:lineRule="auto"/>
        <w:ind w:firstLine="420"/>
      </w:pPr>
      <w:r>
        <w:rPr>
          <w:rFonts w:ascii="宋体" w:hAnsi="宋体" w:eastAsia="宋体" w:cs="Times New Roman"/>
          <w:b w:val="0"/>
          <w:color w:val="000000"/>
          <w:sz w:val="24"/>
        </w:rPr>
        <w:t>针对中国数据中心的设施级研究已经开展能源驱动水足迹与水资源稀缺性分析</w:t>
      </w:r>
      <w:r>
        <w:rPr>
          <w:rFonts w:ascii="Times New Roman" w:hAnsi="Times New Roman" w:eastAsia="宋体" w:cs="Times New Roman"/>
          <w:b w:val="0"/>
          <w:color w:val="000000"/>
          <w:sz w:val="24"/>
          <w:vertAlign w:val="superscript"/>
        </w:rPr>
        <w:t>[10]</w:t>
      </w:r>
      <w:r>
        <w:rPr>
          <w:rFonts w:ascii="宋体" w:hAnsi="宋体" w:eastAsia="宋体" w:cs="Times New Roman"/>
          <w:b w:val="0"/>
          <w:color w:val="000000"/>
          <w:sz w:val="24"/>
        </w:rPr>
        <w:t>；绿色低碳发展政策提出资源效率和布局要求</w:t>
      </w:r>
      <w:r>
        <w:rPr>
          <w:rFonts w:ascii="Times New Roman" w:hAnsi="Times New Roman" w:eastAsia="宋体" w:cs="Times New Roman"/>
          <w:b w:val="0"/>
          <w:color w:val="000000"/>
          <w:sz w:val="24"/>
          <w:vertAlign w:val="superscript"/>
        </w:rPr>
        <w:t>[1]</w:t>
      </w:r>
      <w:r>
        <w:rPr>
          <w:rFonts w:ascii="宋体" w:hAnsi="宋体" w:eastAsia="宋体" w:cs="Times New Roman"/>
          <w:b w:val="0"/>
          <w:color w:val="000000"/>
          <w:sz w:val="24"/>
        </w:rPr>
        <w:t>，水资源使用效率标准提供数据中心评价口径</w:t>
      </w:r>
      <w:r>
        <w:rPr>
          <w:rFonts w:ascii="Times New Roman" w:hAnsi="Times New Roman" w:eastAsia="宋体" w:cs="Times New Roman"/>
          <w:b w:val="0"/>
          <w:color w:val="000000"/>
          <w:sz w:val="24"/>
          <w:vertAlign w:val="superscript"/>
        </w:rPr>
        <w:t>[77]</w:t>
      </w:r>
      <w:r>
        <w:rPr>
          <w:rFonts w:ascii="宋体" w:hAnsi="宋体" w:eastAsia="宋体" w:cs="Times New Roman"/>
          <w:b w:val="0"/>
          <w:color w:val="000000"/>
          <w:sz w:val="24"/>
        </w:rPr>
        <w:t>。供排水设计标准则为设施能力、服务条件和工程参数提供参照</w:t>
      </w:r>
      <w:r>
        <w:rPr>
          <w:rFonts w:ascii="Times New Roman" w:hAnsi="Times New Roman" w:eastAsia="宋体" w:cs="Times New Roman"/>
          <w:b w:val="0"/>
          <w:color w:val="000000"/>
          <w:sz w:val="24"/>
          <w:vertAlign w:val="superscript"/>
        </w:rPr>
        <w:t>[78,79]</w:t>
      </w:r>
      <w:r>
        <w:rPr>
          <w:rFonts w:ascii="Times New Roman" w:hAnsi="Times New Roman" w:eastAsia="宋体" w:cs="Times New Roman"/>
          <w:b w:val="0"/>
          <w:color w:val="000000"/>
          <w:sz w:val="24"/>
        </w:rPr>
        <w:t>。现有研究与标准分别覆盖设施效率和水务工程，本研究拟建立二者之间的过程接口，使AI规模、冷却技术与城市服务能力能够在同一边界下分析。</w:t>
      </w:r>
    </w:p>
    <w:p w14:paraId="62122578">
      <w:pPr>
        <w:spacing w:before="0" w:after="0" w:line="360" w:lineRule="auto"/>
        <w:ind w:firstLine="420"/>
      </w:pPr>
      <w:r>
        <w:rPr>
          <w:rFonts w:ascii="Times New Roman" w:hAnsi="Times New Roman"/>
          <w:sz w:val="24"/>
        </w:rPr>
        <w:t>本文关注的缺口可以转化为三个可检验命题。其一，当AI负荷占城市基准供水或关键设施剩余能力达到某一相对区间时，路径比例和淡水依赖率是否发生超出线性放大的持续变化；其二，在年总量相同的情形下，负荷时序、湿球温度和传统需求峰值是否造成显著的CAWCC提前；其三，再生水供给、给水扩容或冷却替换是否会使主导约束发生可识别的迁移。每个命题都由输入、过程指标和边界输出构成完整证据链。</w:t>
      </w:r>
    </w:p>
    <w:p w14:paraId="39638A3E">
      <w:pPr>
        <w:pStyle w:val="23"/>
        <w:pageBreakBefore w:val="0"/>
        <w:ind w:firstLine="0" w:firstLineChars="0"/>
        <w:outlineLvl w:val="1"/>
      </w:pPr>
      <w:bookmarkStart w:id="12" w:name="_Toc15689"/>
      <w:r>
        <w:rPr>
          <w:rFonts w:ascii="Times New Roman" w:hAnsi="Times New Roman" w:eastAsia="黑体" w:cs="Times New Roman"/>
          <w:b/>
          <w:color w:val="000000"/>
          <w:sz w:val="28"/>
        </w:rPr>
        <w:t>2.3 国内外文献综述简析</w:t>
      </w:r>
      <w:bookmarkEnd w:id="12"/>
    </w:p>
    <w:p w14:paraId="75892E0C">
      <w:pPr>
        <w:spacing w:before="0" w:after="0" w:line="360" w:lineRule="auto"/>
        <w:ind w:firstLine="420"/>
      </w:pPr>
      <w:r>
        <w:rPr>
          <w:rFonts w:ascii="Times New Roman" w:hAnsi="Times New Roman"/>
          <w:sz w:val="24"/>
        </w:rPr>
        <w:t>现有研究留下的主要问题是：本课题的空白不是“缺少一种算法”，而是现有知识链条尚未闭合。设施足迹研究能够把计算量转换为水耗，城市水系统研究能够描述供水，污水，再生水循环，但两者之间缺少一个以AI IT容量为驱动、以城市人工水系统为边界、能够在日尺度上验证的过程接口。现有研究也缺少对“相同年度水量为何产生不同系统压力”的时间尺度解释，以及对水源、给水、污水和再生水瓶颈转换的机制识别。</w:t>
      </w:r>
    </w:p>
    <w:p w14:paraId="2CF41326">
      <w:pPr>
        <w:spacing w:before="0" w:after="0" w:line="360" w:lineRule="auto"/>
        <w:ind w:firstLine="420"/>
      </w:pPr>
      <w:r>
        <w:rPr>
          <w:rFonts w:ascii="宋体" w:hAnsi="宋体" w:eastAsia="宋体"/>
          <w:sz w:val="24"/>
        </w:rPr>
        <w:t>本研究据此凝练三条科学矛盾：第一，设施补水的规模增长与城市水流结构变化并非同一件事；第二，相同年用水量可能对应不同的峰值压力和服务可靠性；第三，增加再生水或扩充设施改变的不是单纯容量大小，也会改变决定容量的主导环节。三条矛盾分别对应“发生了什么，为什么边界不同，边界由什么控制”的递进认识。</w:t>
      </w:r>
    </w:p>
    <w:p w14:paraId="6A13A867">
      <w:pPr>
        <w:spacing w:before="0" w:after="0" w:line="360" w:lineRule="auto"/>
        <w:ind w:firstLine="420"/>
      </w:pPr>
      <w:r>
        <w:rPr>
          <w:rFonts w:ascii="Times New Roman" w:hAnsi="Times New Roman" w:eastAsia="宋体"/>
          <w:sz w:val="24"/>
        </w:rPr>
        <w:t>为使“代谢结构重构”具有可检验含义，本文把AI边际响应分为三个层次：第一层是规模响应，即各水流路径比例近似稳定、总量随容量同步变化；第二层是结构响应，即水源结构、Withdrawal，Consumption，Return Flow比例或污水，再生水内部循环发生持续偏移；第三层是约束状态转换，即主导约束从水源转向给水、从给水转向污水/再生水或从水量转向水质。只有同时观察到结构指标的系统性变化并排除单一容量截断造成的机械折点，才将结果解释为结构重构。</w:t>
      </w:r>
    </w:p>
    <w:p w14:paraId="2F1F47E6">
      <w:pPr>
        <w:spacing w:before="0" w:after="0" w:line="360" w:lineRule="auto"/>
        <w:ind w:firstLine="420"/>
      </w:pPr>
      <w:r>
        <w:rPr>
          <w:rFonts w:ascii="Times New Roman" w:hAnsi="Times New Roman" w:eastAsia="宋体" w:cs="Times New Roman"/>
          <w:b w:val="0"/>
          <w:color w:val="000000"/>
          <w:sz w:val="24"/>
        </w:rPr>
        <w:t>从证据结构看，设施研究的优势是冷却和负荷关系较清晰，城市综合模型的优势是供排水路径与内部循环完整，承载力研究的优势是将资源状态与发展规模连接。研究切入点是把三类知识组织为可检验的因果链：首先以守恒关系确认AI新增用水如何分配为消耗和回流；其次在保持年总量可比的条件下改变负荷时序和气候响应；最后通过逐项解除约束观察边界与瓶颈变化。由此，模型承担统一实验平台的作用，论文的核心产出是结构重构发生的条件、时间尺度差异的控制因素，以及设施干预收益转折的机制解释。</w:t>
      </w:r>
    </w:p>
    <w:p w14:paraId="3F315371">
      <w:pPr>
        <w:pStyle w:val="24"/>
        <w:ind w:firstLine="0" w:firstLineChars="0"/>
        <w:outlineLvl w:val="2"/>
      </w:pPr>
      <w:bookmarkStart w:id="13" w:name="_Toc12090"/>
      <w:r>
        <w:rPr>
          <w:rFonts w:ascii="Times New Roman" w:hAnsi="Times New Roman"/>
          <w:sz w:val="24"/>
        </w:rPr>
        <w:t>2.3.1 现有研究的互补性与断裂</w:t>
      </w:r>
      <w:bookmarkEnd w:id="13"/>
    </w:p>
    <w:p w14:paraId="2A25B4F8">
      <w:pPr>
        <w:pStyle w:val="24"/>
        <w:ind w:firstLine="0" w:firstLineChars="0"/>
        <w:outlineLvl w:val="2"/>
      </w:pPr>
      <w:bookmarkStart w:id="14" w:name="_Toc17899"/>
      <w:r>
        <w:rPr>
          <w:rFonts w:ascii="Times New Roman" w:hAnsi="Times New Roman"/>
          <w:sz w:val="24"/>
        </w:rPr>
        <w:t>2.3.2 本研究的切入点</w:t>
      </w:r>
      <w:bookmarkEnd w:id="14"/>
    </w:p>
    <w:p w14:paraId="6C10DEB2">
      <w:pPr>
        <w:spacing w:before="0" w:after="0" w:line="360" w:lineRule="auto"/>
        <w:ind w:firstLine="420"/>
      </w:pPr>
      <w:r>
        <w:rPr>
          <w:rFonts w:ascii="Times New Roman" w:hAnsi="Times New Roman"/>
          <w:sz w:val="24"/>
        </w:rPr>
        <w:t>从研究对象看，数据中心研究擅长描述IT负荷、PUE、冷却和设施水耗，城市水系统研究擅长描述供水、用水、污水、再生水和环境排放，水资源承载力研究擅长把资源状态与发展规模联系起来。三类研究形成了互补基础，但尚未形成一个能够用同一组状态变量和守恒关系进行连续实验的共同接口。现有设施模型通常把水源质量和城市管网能力外置为给定条件，城市水模型则通常把高密度计算负荷简化为一般工业用户，承载力模型又较少刻画小时级连续负荷和冷却技术的热—水转换。</w:t>
      </w:r>
    </w:p>
    <w:p w14:paraId="1C3D3587">
      <w:pPr>
        <w:pStyle w:val="24"/>
        <w:ind w:firstLine="0" w:firstLineChars="0"/>
        <w:outlineLvl w:val="2"/>
      </w:pPr>
      <w:bookmarkStart w:id="15" w:name="_Toc16188"/>
      <w:r>
        <w:rPr>
          <w:rFonts w:ascii="Times New Roman" w:hAnsi="Times New Roman"/>
          <w:sz w:val="24"/>
        </w:rPr>
        <w:t>2.3.3 可检验的科学缺口</w:t>
      </w:r>
      <w:bookmarkEnd w:id="15"/>
    </w:p>
    <w:p w14:paraId="5DC02D62">
      <w:pPr>
        <w:spacing w:before="0" w:after="0" w:line="360" w:lineRule="auto"/>
        <w:ind w:firstLine="420"/>
      </w:pPr>
      <w:r>
        <w:rPr>
          <w:rFonts w:ascii="Times New Roman" w:hAnsi="Times New Roman"/>
          <w:sz w:val="24"/>
        </w:rPr>
        <w:t>本研究把“AI IT容量”定义为外生规模变量，把水源、给水、污水、再生水、储存、输配和服务优先级定义为参数化系统状态，把冷却架构和气候条件定义为过程参数，把CAWCC及其主导瓶颈定义为系统输出。这样，研究不需要把某一座城市的全部复杂性都复制进模型，而是可以在可解释的参数域内连续改变一个因素、保持其他因素不变，识别结构重构和瓶颈迁移的必要条件。</w:t>
      </w:r>
    </w:p>
    <w:p w14:paraId="2E8E3F48">
      <w:pPr>
        <w:pStyle w:val="22"/>
        <w:pageBreakBefore/>
        <w:ind w:firstLine="0" w:firstLineChars="0"/>
        <w:outlineLvl w:val="0"/>
      </w:pPr>
      <w:bookmarkStart w:id="16" w:name="_Toc21069"/>
      <w:r>
        <w:rPr>
          <w:rFonts w:ascii="Times New Roman" w:hAnsi="Times New Roman" w:eastAsia="黑体" w:cs="Times New Roman"/>
          <w:b/>
          <w:color w:val="000000"/>
          <w:sz w:val="30"/>
        </w:rPr>
        <w:t>3 主要内容及方案</w:t>
      </w:r>
      <w:bookmarkEnd w:id="16"/>
    </w:p>
    <w:p w14:paraId="4ADB3769">
      <w:pPr>
        <w:pStyle w:val="23"/>
        <w:pageBreakBefore w:val="0"/>
        <w:ind w:firstLine="0" w:firstLineChars="0"/>
        <w:outlineLvl w:val="1"/>
      </w:pPr>
      <w:bookmarkStart w:id="17" w:name="_Toc13950"/>
      <w:r>
        <w:rPr>
          <w:rFonts w:ascii="Times New Roman" w:hAnsi="Times New Roman" w:eastAsia="黑体" w:cs="Times New Roman"/>
          <w:b/>
          <w:color w:val="000000"/>
          <w:sz w:val="28"/>
        </w:rPr>
        <w:t>3.1 科学问题与研究假设</w:t>
      </w:r>
      <w:bookmarkEnd w:id="17"/>
    </w:p>
    <w:p w14:paraId="247C0A66">
      <w:pPr>
        <w:spacing w:before="0" w:after="0" w:line="360" w:lineRule="auto"/>
        <w:ind w:firstLine="420"/>
      </w:pPr>
      <w:r>
        <w:rPr>
          <w:rFonts w:ascii="Times New Roman" w:hAnsi="Times New Roman" w:eastAsia="宋体" w:cs="Times New Roman"/>
          <w:b w:val="0"/>
          <w:color w:val="000000"/>
          <w:sz w:val="24"/>
        </w:rPr>
        <w:t>围绕研究空白，论文将“AI负荷如何改变城市人工水系统”作为总问题，并分解为三个相互递进的科学问题：</w:t>
      </w:r>
    </w:p>
    <w:p w14:paraId="21A3E997">
      <w:pPr>
        <w:spacing w:before="0" w:after="0" w:line="360" w:lineRule="auto"/>
        <w:ind w:firstLine="420"/>
      </w:pPr>
      <w:r>
        <w:rPr>
          <w:rFonts w:ascii="Times New Roman" w:hAnsi="Times New Roman" w:eastAsia="宋体"/>
          <w:sz w:val="24"/>
        </w:rPr>
        <w:t>科学问题一（代谢响应）：AI算力基础设施通过怎样的取水，消耗，回流，再生利用链条影响城市人工水系统？当AI规模接近城市关键设施的剩余容量时，系统响应何时由水量增加转变为水源结构、循环路径和设施负荷的重构？</w:t>
      </w:r>
    </w:p>
    <w:p w14:paraId="5C92722E">
      <w:pPr>
        <w:spacing w:before="0" w:after="0" w:line="360" w:lineRule="auto"/>
        <w:ind w:firstLine="420"/>
      </w:pPr>
      <w:r>
        <w:rPr>
          <w:rFonts w:ascii="Times New Roman" w:hAnsi="Times New Roman" w:eastAsia="宋体" w:cs="Times New Roman"/>
          <w:b w:val="0"/>
          <w:color w:val="000000"/>
          <w:sz w:val="24"/>
        </w:rPr>
        <w:t>科学问题二（时间尺度边界）：AI负荷的连续性、冷却对高温的敏感性以及与传统城市需水峰值的耦合，如何造成年均、日尺度和极端小时尺度承载边界的差异？年均评价在何种城市状态下会高估可承载AI规模？</w:t>
      </w:r>
    </w:p>
    <w:p w14:paraId="72BBA176">
      <w:pPr>
        <w:spacing w:before="0" w:after="0" w:line="360" w:lineRule="auto"/>
        <w:ind w:firstLine="420"/>
      </w:pPr>
      <w:r>
        <w:rPr>
          <w:rFonts w:ascii="Times New Roman" w:hAnsi="Times New Roman" w:eastAsia="宋体" w:cs="Times New Roman"/>
          <w:b w:val="0"/>
          <w:color w:val="000000"/>
          <w:sz w:val="24"/>
        </w:rPr>
        <w:t>科学问题三（瓶颈转换）：随着AI容量、城市基础设施裕度和再生水配置变化，水源、给水、污水、再生水、局部接入和水质约束如何成为主导或共同主导瓶颈？不同干预措施的有效区间和边际收益转折由什么决定？</w:t>
      </w:r>
    </w:p>
    <w:p w14:paraId="37B163C6">
      <w:r>
        <w:rPr>
          <w:b/>
        </w:rPr>
        <w:t>H1（代谢结构响应假设）：</w:t>
      </w:r>
      <w:r>
        <w:rPr>
          <w:b w:val="0"/>
        </w:rPr>
        <w:t>在城市系统状态、技术架构和供水分配规则保持不变时，低 AI IT 容量区间内，AI 扩张主要表现为取水、耗水、回流和设施负荷的规模增加，水源份额及内部循环结构相对稳定。当 AI IT 容量逐步逼近水源、给水、污水、再生水处理或输配等关键约束时，既定供水分配规则开始受到资源或设施边界限制，实际淡水供给、再生水供给、回流及内部循环比例可能出现持续变化。研究将比较不同供水分配规则下结构变化是否仍然存在，以区分系统约束引起的结构响应与人为水源配置造成的结果。</w:t>
      </w:r>
    </w:p>
    <w:p w14:paraId="66D3EF07">
      <w:r>
        <w:rPr>
          <w:b/>
        </w:rPr>
        <w:t>H2（时间尺度边界假设）：</w:t>
      </w:r>
      <w:r>
        <w:rPr>
          <w:b w:val="0"/>
        </w:rPr>
        <w:t>在保持年总 AI 负荷和年总用水量近似一致的条件下，时间聚合将掩盖 AI 连续负荷、气候敏感冷却需求和城市传统需水峰值的叠加效应，因此预期年均尺度得到的 CAWCC 不低于日尺度结果，日尺度结果不低于极端周小时尺度结果。年均边界与峰值边界的差异主要受 AI 与城市需求峰值重合程度、湿球温度、水源干旱折减和关键设施剩余裕度控制；当储存、干式排热或设施裕度足以削弱峰值约束时，上述时间尺度差异应相应缩小。</w:t>
      </w:r>
    </w:p>
    <w:p w14:paraId="107C75EB">
      <w:r>
        <w:rPr>
          <w:b/>
        </w:rPr>
        <w:t>H3（瓶颈迁移与干预收益假设）：</w:t>
      </w:r>
      <w:r>
        <w:rPr>
          <w:b w:val="0"/>
        </w:rPr>
        <w:t>不同 AI IT 容量和城市系统状态对应不同的主导约束。随着 AI 容量提高，最先达到失效阈值的约束可能在水源、给水处理、局部接入、污水处理、再生水源量、再生水处理与输配以及水质约束之间发生转换。针对当前主导瓶颈实施扩容或技术干预能够提高 CAWCC，但随着其他约束逐步接近失效阈值，单位干预带来的 CAWCC 增量将下降，并可能出现新的主导瓶颈。因此，再生水扩容、给排水设施扩容和冷却技术替换均存在条件化的有效区间和边际收益转折。</w:t>
      </w:r>
    </w:p>
    <w:p w14:paraId="1CF0CDB6">
      <w:pPr>
        <w:pStyle w:val="23"/>
        <w:pageBreakBefore w:val="0"/>
        <w:ind w:firstLine="0" w:firstLineChars="0"/>
        <w:outlineLvl w:val="1"/>
      </w:pPr>
      <w:bookmarkStart w:id="18" w:name="_Toc8815"/>
      <w:r>
        <w:rPr>
          <w:rFonts w:ascii="Times New Roman" w:hAnsi="Times New Roman" w:eastAsia="黑体" w:cs="Times New Roman"/>
          <w:b/>
          <w:color w:val="000000"/>
          <w:sz w:val="28"/>
        </w:rPr>
        <w:t>3.2 研究内容与总体框架</w:t>
      </w:r>
      <w:bookmarkEnd w:id="18"/>
    </w:p>
    <w:p w14:paraId="5BE5642A">
      <w:pPr>
        <w:spacing w:before="0" w:after="0" w:line="360" w:lineRule="auto"/>
        <w:ind w:firstLine="420"/>
      </w:pPr>
      <w:r>
        <w:rPr>
          <w:rFonts w:ascii="宋体" w:hAnsi="宋体" w:eastAsia="宋体"/>
          <w:sz w:val="24"/>
        </w:rPr>
        <w:t>四项研究内容并非四个并列的工程模块：第一项模型建立是统一实验平台，后三项分别承担现象识别、边界解释和干预分析，论文的科学贡献集中在代谢响应、时间尺度边界与瓶颈转换三类认识。</w:t>
      </w:r>
    </w:p>
    <w:p w14:paraId="0712E00A">
      <w:pPr>
        <w:spacing w:before="120" w:after="120" w:line="360" w:lineRule="auto"/>
        <w:ind w:firstLine="420"/>
      </w:pPr>
      <w:r>
        <w:rPr>
          <w:rFonts w:ascii="Times New Roman" w:hAnsi="Times New Roman" w:eastAsia="宋体" w:cs="Times New Roman"/>
          <w:b w:val="0"/>
          <w:color w:val="000000"/>
          <w:sz w:val="24"/>
        </w:rPr>
        <w:t>表3-1 研究内容、核心任务与预期产出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267" w:type="dxa"/>
          </w:tcPr>
          <w:p w14:paraId="28EA782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研究内容</w:t>
            </w:r>
          </w:p>
        </w:tc>
        <w:tc>
          <w:tcPr>
            <w:tcW w:w="2267" w:type="dxa"/>
          </w:tcPr>
          <w:p w14:paraId="46D3E4E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核心任务</w:t>
            </w:r>
          </w:p>
        </w:tc>
        <w:tc>
          <w:tcPr>
            <w:tcW w:w="2267" w:type="dxa"/>
          </w:tcPr>
          <w:p w14:paraId="55C24A5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拟回答的问题</w:t>
            </w:r>
          </w:p>
        </w:tc>
        <w:tc>
          <w:tcPr>
            <w:tcW w:w="2270" w:type="dxa"/>
          </w:tcPr>
          <w:p w14:paraId="04952F5A">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2191D8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一、耦合模型</w:t>
            </w:r>
          </w:p>
        </w:tc>
        <w:tc>
          <w:tcPr>
            <w:tcW w:w="2267" w:type="dxa"/>
          </w:tcPr>
          <w:p w14:paraId="6CC6CE7C">
            <w:pPr>
              <w:keepNext w:val="0"/>
              <w:spacing w:before="40" w:after="40" w:line="276" w:lineRule="auto"/>
              <w:ind w:left="0" w:right="0" w:firstLine="0"/>
              <w:jc w:val="left"/>
              <w:rPr>
                <w:rFonts w:ascii="Times New Roman" w:hAnsi="Times New Roman" w:eastAsia="宋体"/>
              </w:rPr>
            </w:pPr>
            <w:r>
              <w:rPr>
                <w:rFonts w:ascii="宋体" w:hAnsi="宋体" w:eastAsia="宋体"/>
                <w:sz w:val="21"/>
              </w:rPr>
              <w:t>建立AI节点、城市水循环、水量水质守恒和参数证据库</w:t>
            </w:r>
          </w:p>
        </w:tc>
        <w:tc>
          <w:tcPr>
            <w:tcW w:w="2267" w:type="dxa"/>
          </w:tcPr>
          <w:p w14:paraId="7373FFE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AI如何进入城市水流网络</w:t>
            </w:r>
          </w:p>
        </w:tc>
        <w:tc>
          <w:tcPr>
            <w:tcW w:w="2270" w:type="dxa"/>
          </w:tcPr>
          <w:p w14:paraId="471264C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可验证AI-UWM模型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89DC4B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二、代谢响应</w:t>
            </w:r>
          </w:p>
        </w:tc>
        <w:tc>
          <w:tcPr>
            <w:tcW w:w="2267" w:type="dxa"/>
          </w:tcPr>
          <w:p w14:paraId="3030DEF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容量梯度、冷却/水源对照、AI与普通工业对照</w:t>
            </w:r>
          </w:p>
        </w:tc>
        <w:tc>
          <w:tcPr>
            <w:tcW w:w="2267" w:type="dxa"/>
          </w:tcPr>
          <w:p w14:paraId="2253B6B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何时由规模效应转为结构重构</w:t>
            </w:r>
          </w:p>
        </w:tc>
        <w:tc>
          <w:tcPr>
            <w:tcW w:w="2270" w:type="dxa"/>
          </w:tcPr>
          <w:p w14:paraId="434A3EB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327858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三、承载边界</w:t>
            </w:r>
          </w:p>
        </w:tc>
        <w:tc>
          <w:tcPr>
            <w:tcW w:w="2267" w:type="dxa"/>
          </w:tcPr>
          <w:p w14:paraId="465881E0">
            <w:pPr>
              <w:keepNext w:val="0"/>
              <w:spacing w:before="40" w:after="40" w:line="276" w:lineRule="auto"/>
              <w:ind w:left="0" w:right="0" w:firstLine="0"/>
              <w:jc w:val="left"/>
              <w:rPr>
                <w:rFonts w:ascii="Times New Roman" w:hAnsi="Times New Roman" w:eastAsia="宋体"/>
              </w:rPr>
            </w:pPr>
            <w:r>
              <w:rPr>
                <w:rFonts w:ascii="宋体" w:hAnsi="宋体" w:eastAsia="宋体"/>
                <w:sz w:val="21"/>
              </w:rPr>
              <w:t>年均，日，小时、复合气候、CAWCC求解</w:t>
            </w:r>
          </w:p>
        </w:tc>
        <w:tc>
          <w:tcPr>
            <w:tcW w:w="2267" w:type="dxa"/>
          </w:tcPr>
          <w:p w14:paraId="4EC1BE6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平均与峰值边界为何不同</w:t>
            </w:r>
          </w:p>
        </w:tc>
        <w:tc>
          <w:tcPr>
            <w:tcW w:w="2270" w:type="dxa"/>
          </w:tcPr>
          <w:p w14:paraId="02621CA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0FD7D79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四、瓶颈与干预</w:t>
            </w:r>
          </w:p>
        </w:tc>
        <w:tc>
          <w:tcPr>
            <w:tcW w:w="2267" w:type="dxa"/>
          </w:tcPr>
          <w:p w14:paraId="6AA3F71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约束转换、再生水边际收益、负担转移</w:t>
            </w:r>
          </w:p>
        </w:tc>
        <w:tc>
          <w:tcPr>
            <w:tcW w:w="2267" w:type="dxa"/>
          </w:tcPr>
          <w:p w14:paraId="26E4A262">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什么措施在什么条件下有效</w:t>
            </w:r>
          </w:p>
        </w:tc>
        <w:tc>
          <w:tcPr>
            <w:tcW w:w="2270" w:type="dxa"/>
          </w:tcPr>
          <w:p w14:paraId="380A044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瓶颈图谱和规划建议</w:t>
            </w:r>
          </w:p>
        </w:tc>
      </w:tr>
    </w:tbl>
    <w:p w14:paraId="2C7C8C6C">
      <w:pPr>
        <w:spacing w:before="0" w:after="0" w:line="360" w:lineRule="auto"/>
        <w:ind w:firstLine="420"/>
      </w:pPr>
      <w:r>
        <w:rPr>
          <w:rFonts w:ascii="Times New Roman" w:hAnsi="Times New Roman" w:eastAsia="宋体"/>
          <w:sz w:val="24"/>
        </w:rPr>
        <w:t>研究一：AI，城市水系统耦合机制。明确AI设施在城市水网络中的节点位置、边界和水量水质路径，建立最小闭环并完成验证。该研究解决“AI负荷如何转化为Withdrawal、Consumption和Return Flow”的基础问题，为后续所有边界分析提供统一分母和守恒基础。</w:t>
      </w:r>
    </w:p>
    <w:p w14:paraId="26340C21">
      <w:pPr>
        <w:spacing w:before="0" w:after="0" w:line="360" w:lineRule="auto"/>
        <w:ind w:firstLine="420"/>
      </w:pPr>
      <w:r>
        <w:rPr>
          <w:rFonts w:ascii="Times New Roman" w:hAnsi="Times New Roman" w:eastAsia="宋体" w:cs="Times New Roman"/>
          <w:b w:val="0"/>
          <w:color w:val="000000"/>
          <w:sz w:val="24"/>
        </w:rPr>
        <w:t>研究二：AI扩张下城市水代谢响应。沿AI容量梯度改变负荷率、冷却架构和水源配置，比较AI情景与Baseline，并设置等效普通工业冷却对照。研究重点由平均耗水系数转向识别在何种AI容量比、设施裕度和水源组合下，淡水依赖、内部循环和设施负荷出现结构性转折。</w:t>
      </w:r>
    </w:p>
    <w:p w14:paraId="7033930A">
      <w:pPr>
        <w:spacing w:before="0" w:after="0" w:line="360" w:lineRule="auto"/>
        <w:ind w:firstLine="420"/>
      </w:pPr>
      <w:r>
        <w:rPr>
          <w:rFonts w:ascii="Times New Roman" w:hAnsi="Times New Roman" w:eastAsia="宋体" w:cs="Times New Roman"/>
          <w:b w:val="0"/>
          <w:color w:val="000000"/>
          <w:sz w:val="24"/>
        </w:rPr>
        <w:t>研究三：时间尺度依赖的CAWCC。对同一城市状态分别计算年均、日尺度和极端周小时边界，逐步加入高温、干旱和传统需求峰值。通过峰值重合指数、湿球温度、水源折减和设施剩余裕度解释边界提前，回答年均评价何时系统性高估AI承载能力。</w:t>
      </w:r>
    </w:p>
    <w:p w14:paraId="23B23711">
      <w:pPr>
        <w:spacing w:before="0" w:after="0" w:line="360" w:lineRule="auto"/>
        <w:ind w:firstLine="420"/>
      </w:pPr>
      <w:r>
        <w:rPr>
          <w:rFonts w:ascii="Times New Roman" w:hAnsi="Times New Roman" w:eastAsia="宋体"/>
          <w:sz w:val="24"/>
        </w:rPr>
        <w:t>研究四：瓶颈转换与干预边界。对水源、给水、污水、再生水、接入和水质约束分别记录首次达到失效条件的AI容量，绘制城市状态，技术，瓶颈转换图。进一步增加再生水处理/输配、给水和污水能力，比较单位干预带来的CAWCC提升，识别源量受限、质量受限、处理受限、输配受限和竞争受限的边际转折。</w:t>
      </w:r>
    </w:p>
    <w:p w14:paraId="5E48AD81">
      <w:r>
        <w:t>本研究包含三类互补比较。第一类为纵向容量比较：在同一城市系统状态下连续提高 AI IT 容量，识别代谢结构变化、承载边界及主导瓶颈。第二类为横向系统状态比较：在相同或可比 AI 容量条件下比较不同水资源禀赋、设施裕度、再生水配置和气候压力状态，解释城市条件如何改变 AI 水系统承载能力及瓶颈类型。第三类为反事实干预比较：在同一城市状态和 AI 负荷条件下分别改变给水、污水、再生水处理、输配、储存和冷却条件，比较各类措施对 CAWCC 和峰值风险的影响，并识别边际收益递减与瓶颈迁移。三类比较贯穿实验设计、结果章节与论文结构。</w:t>
      </w:r>
    </w:p>
    <w:p w14:paraId="40D93AA6">
      <w:pPr>
        <w:pStyle w:val="23"/>
        <w:pageBreakBefore w:val="0"/>
        <w:ind w:firstLine="0" w:firstLineChars="0"/>
        <w:outlineLvl w:val="1"/>
      </w:pPr>
      <w:bookmarkStart w:id="19" w:name="_Toc770"/>
      <w:r>
        <w:rPr>
          <w:rFonts w:ascii="Times New Roman" w:hAnsi="Times New Roman" w:eastAsia="黑体" w:cs="Times New Roman"/>
          <w:b/>
          <w:color w:val="000000"/>
          <w:sz w:val="28"/>
        </w:rPr>
        <w:t>3.3 总体技术路线</w:t>
      </w:r>
      <w:bookmarkEnd w:id="19"/>
    </w:p>
    <w:p w14:paraId="3E6BE353">
      <w:r>
        <w:t>总体技术路线按“模型建立—纵向实验—横向实验—干预实验”四个层次组织。总体流程遵循“证据审计与参数字典建立→系统边界及状态变量定义→AI 热—水过程与城市水系统水量闭合→参数空间与典型系统状态生成→纵向与横向实验→多时间尺度 CAWCC 求解→瓶颈识别与结构化干预→敏感性与稳健性检验→机制归纳”的顺序，坚持“先保证物理闭合，再开展机制实验；先识别核心边界，再增加扩展分析”，技术路线图按上述四层结构绘制。</w:t>
      </w:r>
    </w:p>
    <w:p w14:paraId="75A31BB4">
      <w:r>
        <w:t>第一层为模型建立。在证据审计与参数字典基础上定义系统边界与状态变量，耦合 AI 热—水过程与城市供排水系统，完成水量闭合，并通过单元测试、守恒测试和极限行为检验形成可复用的 AI-UWM 模型平台。模型内部保持“过程层—城市系统层—边界分析层”结构：过程层将 AI IT 容量和实际负载转换为水量、水质和时间序列负荷；城市系统层连接外部水源、给水处理、配水、传统用户、AI 节点、污水收集处理、再生水深度处理、储存、输配和最终排放，并在每一时间步执行水量守恒、设施能力和服务优先级约束；边界分析层以城市状态、技术架构、气候压力和管理规则为条件，连续扫描 AI IT 容量，计算代谢结构指标、服务可靠性、剩余裕度和 CAWCC。</w:t>
      </w:r>
    </w:p>
    <w:p w14:paraId="289AF900">
      <w:r>
        <w:t>第二层为纵向容量梯度实验。固定城市系统状态、冷却技术和供水分配规则，仅连续提高 AI IT 容量，依次输出代谢结构指标、CAWCC 与主导瓶颈，回答“同一城市随着 AI 扩张会发生什么”，具体设计见 3.7.1.1。</w:t>
      </w:r>
    </w:p>
    <w:p w14:paraId="7F221557">
      <w:r>
        <w:t>第三层为横向系统状态实验。固定 AI 容量或采用统一容量梯度，在 S0 均衡基准、S1 水源充足—给水处理受限、S2 淡水受限—再生水较强、S3 总量充足—局部输配受限四类结构状态与 G0—G3 外部压力情景的组合之间比较 CAWCC、淡水依赖、峰值风险和瓶颈类型，回答“为什么不同城市系统状态的结果不同”，状态与情景矩阵见 3.15。</w:t>
      </w:r>
    </w:p>
    <w:p w14:paraId="5D20E77B">
      <w:r>
        <w:t>第四层为干预实验。在已识别瓶颈的代表性状态上，以绝对物理增量对给水、污水、再生水处理与输配、储存和冷却条件实施逐项干预，重新计算 CAWCC，得到物理边际收益、干预有效区间与瓶颈迁移路径，回答“出现问题后应该优先改哪里”，设计见 3.16。各层结果统一进入敏感性、不确定性与稳健性检验，全过程保留输入参数、模型版本、随机种子、约束状态和输出指标，使“研究问题—模型过程—模拟实验—边界结果—机制解释”之间形成可追溯的证据链。</w:t>
      </w:r>
    </w:p>
    <w:p w14:paraId="21C6A845">
      <w:pPr>
        <w:pStyle w:val="23"/>
        <w:pageBreakBefore w:val="0"/>
        <w:ind w:firstLine="0" w:firstLineChars="0"/>
        <w:outlineLvl w:val="1"/>
      </w:pPr>
      <w:bookmarkStart w:id="20" w:name="_Toc27201"/>
      <w:r>
        <w:rPr>
          <w:rFonts w:ascii="Times New Roman" w:hAnsi="Times New Roman" w:eastAsia="黑体" w:cs="Times New Roman"/>
          <w:b/>
          <w:color w:val="000000"/>
          <w:sz w:val="28"/>
        </w:rPr>
        <w:t>3.4 城市水系统边界与守恒关系</w:t>
      </w:r>
      <w:bookmarkEnd w:id="20"/>
    </w:p>
    <w:p w14:paraId="0C71D5C1">
      <w:pPr>
        <w:spacing w:before="0" w:after="0" w:line="360" w:lineRule="auto"/>
        <w:ind w:firstLine="420"/>
      </w:pPr>
      <w:r>
        <w:rPr>
          <w:rFonts w:ascii="Times New Roman" w:hAnsi="Times New Roman" w:eastAsia="宋体" w:cs="Times New Roman"/>
          <w:b w:val="0"/>
          <w:color w:val="000000"/>
          <w:sz w:val="24"/>
        </w:rPr>
        <w:t>设第t日进入城市人工水系统的外部水量为I_t，最终排向环境的水量为E_t，不可恢复消耗为C_t，显式储量变化为ΔS_t，则顶层守恒关系为I_t=E_t+C_t+ΔS_t。原水经给水处理和配水后进入传统用户与AI节点；用户用水按照消耗和回流分解，AI排污按照厂内回用、处理损失、污水回流和外排分流。给水、污水和再生水各自设置处理能力、输配能力、储量和既有需求，漏损、溢流和未满足需求进入独立账户。</w:t>
      </w:r>
    </w:p>
    <w:p w14:paraId="236B1900">
      <w:pPr>
        <w:pStyle w:val="23"/>
        <w:pageBreakBefore w:val="0"/>
        <w:ind w:firstLine="0" w:firstLineChars="0"/>
        <w:outlineLvl w:val="1"/>
      </w:pPr>
      <w:bookmarkStart w:id="21" w:name="_Toc30475"/>
      <w:r>
        <w:rPr>
          <w:rFonts w:ascii="Times New Roman" w:hAnsi="Times New Roman" w:eastAsia="黑体" w:cs="Times New Roman"/>
          <w:b/>
          <w:color w:val="000000"/>
          <w:sz w:val="28"/>
        </w:rPr>
        <w:t>3.5 AI设施过程模型</w:t>
      </w:r>
      <w:bookmarkEnd w:id="21"/>
    </w:p>
    <w:p w14:paraId="0B355A8A">
      <w:pPr>
        <w:spacing w:before="0" w:after="0" w:line="360" w:lineRule="auto"/>
        <w:ind w:firstLine="420"/>
      </w:pPr>
      <w:r>
        <w:rPr>
          <w:rFonts w:ascii="Times New Roman" w:hAnsi="Times New Roman" w:eastAsia="宋体" w:cs="Times New Roman"/>
          <w:b w:val="0"/>
          <w:color w:val="000000"/>
          <w:sz w:val="24"/>
        </w:rPr>
        <w:t>AI IT容量是主要规模变量。实际IT负荷由容量和负载率共同决定，设施总能耗由IT能耗与PUE关系得到，纳入边界的电能大部分转化为需要排散的热量。服务器侧热捕集采用空气、direct-to-chip液冷和浸没式液冷等架构分类；设施侧末端排热采用干式、湿式和混合方式分类。湿侧热负荷通过显热与潜热分解得到蒸发量，循环水根据浓缩倍数和水质约束计算排污量，补水量由蒸发、漂水和排污共同决定。</w:t>
      </w:r>
    </w:p>
    <w:p w14:paraId="7B4D0A68">
      <w:pPr>
        <w:spacing w:before="0" w:after="0" w:line="360" w:lineRule="auto"/>
        <w:ind w:firstLine="420"/>
      </w:pPr>
      <w:r>
        <w:rPr>
          <w:rFonts w:ascii="Times New Roman" w:hAnsi="Times New Roman" w:eastAsia="宋体" w:cs="Times New Roman"/>
          <w:b w:val="0"/>
          <w:color w:val="000000"/>
          <w:sz w:val="24"/>
        </w:rPr>
        <w:t>冷却排污并不自动等于城市污水回流。模型首先判断厂内回收比例和处理损失，再将剩余部分连接到城市污水系统；若排污水的TDS、温度或药剂负荷超过污水厂或再生水进水要求，则增加独立水质约束。这样可以区分可回用排污、处理损失和城市污水回流，并分析水量充足而水质不适用时再生水系统的约束。</w:t>
      </w:r>
    </w:p>
    <w:p w14:paraId="4B0C4CA1">
      <w:pPr>
        <w:pStyle w:val="23"/>
        <w:pageBreakBefore w:val="0"/>
        <w:ind w:firstLine="0" w:firstLineChars="0"/>
        <w:outlineLvl w:val="1"/>
      </w:pPr>
      <w:bookmarkStart w:id="22" w:name="_Toc12490"/>
      <w:r>
        <w:rPr>
          <w:rFonts w:ascii="Times New Roman" w:hAnsi="Times New Roman" w:eastAsia="黑体" w:cs="Times New Roman"/>
          <w:b/>
          <w:color w:val="000000"/>
          <w:sz w:val="28"/>
        </w:rPr>
        <w:t>3.6 水源、再生水与分配机制</w:t>
      </w:r>
      <w:bookmarkEnd w:id="22"/>
    </w:p>
    <w:p w14:paraId="7059D83B">
      <w:r>
        <w:t>AI 目标再生水份额只是配置意图，实际可供量受污水源量、深度处理能力、再生水储量、输配能力和既有用户需求共同决定。满足居民基本服务和关键公共服务后，剩余可供水量按情景规则分配给其他用户与 AI。模型分别记录目标再生水份额、实际再生水供应、淡水补足量和未满足需求，防止用“目标比例”替代真实供水。</w:t>
      </w:r>
    </w:p>
    <w:p w14:paraId="72BCF8ED">
      <w:r>
        <w:t>给水处理、排水服务和接入能力的参数将结合当地设施资料，并参照供排水设计标准明确工程口径[78,79]；数据中心 WUE 按照水资源使用效率标准统一统计边界[77]。</w:t>
      </w:r>
    </w:p>
    <w:p w14:paraId="72DB9575">
      <w:pPr>
        <w:pStyle w:val="24"/>
      </w:pPr>
      <w:r>
        <w:t>3.6.1 实际可供水量计算</w:t>
      </w:r>
    </w:p>
    <w:p w14:paraId="674AE526">
      <w:r>
        <w:t>AI 可获得的再生水不直接等于规划目标再生水比例，而由污水可回收源量、再生水深度处理能力、储存能力、输配能力及既有再生水用户需求共同决定。定义时刻 t 的最大可供再生水量为：</w:t>
      </w:r>
    </w:p>
    <w:p w14:paraId="393D07F6">
      <w:r>
        <w:t>W_source^rem(t) = W_source^total(t) − W_source^existing(t)</w:t>
      </w:r>
    </w:p>
    <w:p w14:paraId="7F0C6C06">
      <w:r>
        <w:t>K_treat^rem(t) = K_treat^total(t) − L_treat^existing(t)</w:t>
      </w:r>
    </w:p>
    <w:p w14:paraId="092C3A6C">
      <w:r>
        <w:t>K_transfer^rem(t) = K_transfer^total(t) − L_transfer^existing(t)</w:t>
      </w:r>
    </w:p>
    <w:p w14:paraId="4F863C84">
      <w:r>
        <w:t>W_r^avail(t) = max( 0, min( W_source^rem(t), K_treat^rem(t), K_transfer^rem(t), K_storage^avail(t) ) )</w:t>
      </w:r>
    </w:p>
    <w:p w14:paraId="11C9DC5B">
      <w:r>
        <w:t>其中 W_source^total(t) 为可进入再生水系统的有效污水源量，W_source^existing(t) 为既有用户已占用的源量；K_treat^total(t)、K_transfer^total(t) 分别为再生水处理与输配总能力，L_treat^existing(t)、L_transfer^existing(t) 为既有用户占用的相应负荷；K_storage^avail(t) 为可调用储量。由此，AI 能获得的再生水量由整条再生水链条中剩余能力最小的环节决定，与 3.8 的主导瓶颈逻辑保持一致。淡水可供量在满足居民基本生活、关键公共服务和其他不可削减需求后计算：</w:t>
      </w:r>
    </w:p>
    <w:p w14:paraId="2E0ECC6E">
      <w:r>
        <w:t>W_f^avail(t) = W_f^total(t) − W_basic(t) − W_priority(t)</w:t>
      </w:r>
    </w:p>
    <w:p w14:paraId="7856E001">
      <w:r>
        <w:t>其中 W_f^total(t) 为情景总淡水可供量，W_basic(t) 为居民基本生活需水，W_priority(t) 为关键公共服务和其他不可削减需求。因此，AI 实际使用的淡水和再生水不是预先固定的结果，而是在资源与设施约束下按照明确的水源分配规则计算得到的模型输出。</w:t>
      </w:r>
    </w:p>
    <w:p w14:paraId="512B08E6">
      <w:pPr>
        <w:pStyle w:val="24"/>
      </w:pPr>
      <w:r>
        <w:t>3.6.2 AI 水源分配规则</w:t>
      </w:r>
    </w:p>
    <w:p w14:paraId="25C2766E">
      <w:r>
        <w:t>供水分配规则决定淡水和再生水在 AI 与既有用户之间的使用次序，直接决定淡水依赖率等结构指标究竟是模型输出还是情景设定。为避免把规则设定的影响误读为系统行为，研究设置三种并列的供水分配情景：P1 再生水优先、P2 目标比例、P3 淡水优先。核心机制分析优先在有政策证据支持的基准规则下进行；若无明确政策证据，则以 P2 目标比例情景作为核心分析情景，P1 再生水优先和 P3 淡水优先作为两端供水分配规则情景，用于检验结构指标、CAWCC 和瓶颈类型对供水政策规则的稳健性。三种情景均以 3.6.1 的可用量计算为基础。</w:t>
      </w:r>
    </w:p>
    <w:p w14:paraId="33E404B7">
      <w:r>
        <w:rPr>
          <w:b/>
        </w:rPr>
        <w:t>P1 再生水优先情景：</w:t>
      </w:r>
      <w:r>
        <w:t>在满足水质和输配条件的前提下，AI 冷却补水优先使用可获得的再生水，不足部分在淡水剩余能力范围内由淡水补足：</w:t>
      </w:r>
    </w:p>
    <w:p w14:paraId="35A6AC5B">
      <w:r>
        <w:t>W_r^AI(t) = min( D_AI(t), W_r^avail(t) )</w:t>
      </w:r>
    </w:p>
    <w:p w14:paraId="1335F7D4">
      <w:r>
        <w:t>D_remain(t) = D_AI(t) − W_r^AI(t)</w:t>
      </w:r>
    </w:p>
    <w:p w14:paraId="1E79F04F">
      <w:r>
        <w:t>W_f^AI(t) = min( D_remain(t), W_f^avail(t) )</w:t>
      </w:r>
    </w:p>
    <w:p w14:paraId="04163E50">
      <w:r>
        <w:t>U_AI(t) = D_AI(t) − W_r^AI(t) − W_f^AI(t)</w:t>
      </w:r>
    </w:p>
    <w:p w14:paraId="04B389FD">
      <w:r>
        <w:t>其中 D_AI(t) 为 AI 时刻 t 的总补水需求，D_remain(t) 为再生水供水后的剩余需求，U_AI(t) 为未满足需求；仅当 U_AI(t) = 0 时 AI 补水需求被完全满足。</w:t>
      </w:r>
    </w:p>
    <w:p w14:paraId="3939366E">
      <w:r>
        <w:rPr>
          <w:b/>
        </w:rPr>
        <w:t>P2 目标比例情景：</w:t>
      </w:r>
      <w:r>
        <w:t>设 AI 规划目标再生水比例为 r_target。该情景用于模拟具有明确再生水利用比例要求的规划政策，目标再生水需求与实际再生水供应分别为：</w:t>
      </w:r>
    </w:p>
    <w:p w14:paraId="7F53905D">
      <w:r>
        <w:t>W_r^target(t) = r_target × D_AI(t)</w:t>
      </w:r>
    </w:p>
    <w:p w14:paraId="7108155C">
      <w:r>
        <w:t>W_r^AI(t) = min( W_r^target(t), W_r^avail(t) )</w:t>
      </w:r>
    </w:p>
    <w:p w14:paraId="39A1321D">
      <w:r>
        <w:t>D_remain(t) = D_AI(t) − W_r^AI(t)</w:t>
      </w:r>
    </w:p>
    <w:p w14:paraId="50CB3EBC">
      <w:r>
        <w:t>W_f^AI(t) = min( D_remain(t), W_f^avail(t) )</w:t>
      </w:r>
    </w:p>
    <w:p w14:paraId="7AA3B09A">
      <w:r>
        <w:t>U_AI(t) = D_AI(t) − W_r^AI(t) − W_f^AI(t)</w:t>
      </w:r>
    </w:p>
    <w:p w14:paraId="5B0D90A2">
      <w:r>
        <w:rPr>
          <w:b/>
        </w:rPr>
        <w:t>P3 淡水优先情景：</w:t>
      </w:r>
      <w:r>
        <w:rPr>
          <w:b w:val="0"/>
        </w:rPr>
        <w:t>在淡水剩余能力范围内优先满足 AI 补水需求，仅当淡水剩余能力不足时调用再生水：</w:t>
      </w:r>
    </w:p>
    <w:p w14:paraId="5890C17A">
      <w:r>
        <w:t>W_f^AI(t) = min( D_AI(t), W_f^avail(t) )</w:t>
      </w:r>
    </w:p>
    <w:p w14:paraId="509FAFEC">
      <w:r>
        <w:t>D_remain(t) = D_AI(t) − W_f^AI(t)</w:t>
      </w:r>
    </w:p>
    <w:p w14:paraId="57113BE9">
      <w:r>
        <w:t>W_r^AI(t) = min( D_remain(t), W_r^avail(t) )</w:t>
      </w:r>
    </w:p>
    <w:p w14:paraId="0A041F9E">
      <w:r>
        <w:t>U_AI(t) = D_AI(t) − W_f^AI(t) − W_r^AI(t)</w:t>
      </w:r>
    </w:p>
    <w:p w14:paraId="2CA4D009">
      <w:r>
        <w:t>在三种供水分配情景下，若淡水和再生水可用量之和仍不能满足 AI 补水需求，则 U_AI(t) &gt; 0，该状态作为 CAWCC 约束集合中的“AI 供水满足约束”之一；CAWCC 的最终判定仍按照 3.8 所定义的完整约束集合进行，即当水源、给水、局部接入、污水、再生水、水质、AI 供水满足或基本服务等任一核心约束首次失效时，即达到相应条件下的承载边界。纵向容量梯度实验在每一分配情景内独立进行；横向比较与干预实验在核心分析情景下进行，并报告 P1、P3 两端供水分配规则下结论的稳健性。</w:t>
      </w:r>
    </w:p>
    <w:p w14:paraId="02B5BD9F">
      <w:pPr>
        <w:pStyle w:val="23"/>
        <w:pageBreakBefore w:val="0"/>
        <w:ind w:firstLine="0" w:firstLineChars="0"/>
        <w:outlineLvl w:val="1"/>
      </w:pPr>
      <w:bookmarkStart w:id="23" w:name="_Toc11300"/>
      <w:r>
        <w:rPr>
          <w:rFonts w:ascii="Times New Roman" w:hAnsi="Times New Roman" w:eastAsia="黑体" w:cs="Times New Roman"/>
          <w:b/>
          <w:color w:val="000000"/>
          <w:sz w:val="28"/>
        </w:rPr>
        <w:t>3.7 代谢指标与对照设计</w:t>
      </w:r>
      <w:bookmarkEnd w:id="23"/>
    </w:p>
    <w:p w14:paraId="060F00DD">
      <w:pPr>
        <w:spacing w:before="0" w:after="0" w:line="360" w:lineRule="auto"/>
        <w:ind w:firstLine="420"/>
      </w:pPr>
      <w:r>
        <w:rPr>
          <w:rFonts w:ascii="Times New Roman" w:hAnsi="Times New Roman" w:eastAsia="宋体" w:cs="Times New Roman"/>
          <w:b w:val="0"/>
          <w:color w:val="000000"/>
          <w:sz w:val="24"/>
        </w:rPr>
        <w:t>研究同时报告绝对量和归一化量。绝对量包括AI边际取水、消耗、回流、污水负荷和再生水供给；归一化指标包括AI取水/城市基准供水、AI峰值需求/接入能力、淡水依赖率、内部循环率、消耗率和回流率。对互斥且共同分母的路径计算结构距离，用于区分整体规模放大和水流结构重构。设置等年用水量、等峰值热负荷和等接入能力的普通工业冷却节点对照，仅改变负荷连续性、峰值时序和气候响应，据此区分一般高密度工业效应与AI负荷的特异性贡献。</w:t>
      </w:r>
    </w:p>
    <w:p w14:paraId="04E37A30">
      <w:pPr>
        <w:pStyle w:val="24"/>
        <w:ind w:firstLine="0" w:firstLineChars="0"/>
        <w:outlineLvl w:val="2"/>
      </w:pPr>
      <w:bookmarkStart w:id="24" w:name="_Toc9600"/>
      <w:r>
        <w:rPr>
          <w:rFonts w:ascii="Times New Roman" w:hAnsi="Times New Roman"/>
        </w:rPr>
        <w:t>3.7.1 实验矩阵与对照设计</w:t>
      </w:r>
      <w:bookmarkEnd w:id="24"/>
    </w:p>
    <w:p w14:paraId="46EC1A6D">
      <w:r>
        <w:t>实验体系分为纵向容量梯度实验、横向系统状态实验和控制对照实验三类，共同遵循“每一步只改变一个目标条件”的对照原则；技术干预实验作为第三类反事实比较，其具体设计在 3.16 中展开。</w:t>
      </w:r>
    </w:p>
    <w:p w14:paraId="0801EC38">
      <w:r>
        <w:rPr>
          <w:b/>
        </w:rPr>
        <w:t>3.7.1.1 纵向容量梯度实验</w:t>
      </w:r>
    </w:p>
    <w:p w14:paraId="381E9BF6">
      <w:r>
        <w:t>纵向容量梯度实验用于回答“同一城市系统随着 AI 扩张会发生什么”。选定城市系统状态后，固定外部水源条件、给水处理能力、污水处理能力、再生水处理能力、再生水输配能力、传统用户需求、服务优先级、气候状态、冷却技术和供水分配规则，仅使 AI IT 容量沿 C_0 = 0, C_1, C_2, …, C_n 逐级增加，逐级计算 AI 取水量、淡水依赖率、再生水利用率、耗水量、回流量、各子系统负荷率、CAWCC 和主导瓶颈。容量扫描先以较粗网格定位变化区间，再在临界区间局部加密。纵向实验主要回答三个问题：AI 扩张是否只表现为水量规模增加；在什么容量区间开始出现水源结构和内部循环变化；哪一个资源或设施约束首先达到失效条件。</w:t>
      </w:r>
    </w:p>
    <w:p w14:paraId="1EC8E867">
      <w:r>
        <w:rPr>
          <w:b/>
        </w:rPr>
        <w:t>3.7.1.2 横向城市系统状态实验</w:t>
      </w:r>
    </w:p>
    <w:p w14:paraId="5B35EF99">
      <w:r>
        <w:t>横向系统状态实验用于回答“相同 AI 规模为什么在不同城市系统状态下产生不同的水系统压力和承载边界”。本研究不以真实城市排名为目标，而构造具有明确物理含义的参数化城市状态，并按两层组织：城市系统结构状态 S（S0—S3，表3-4）刻画水源、给水、污水、再生水与局部输配的相对余量；外部压力情景 G（G0—G3，表3-5）刻画高温、干旱与需求峰值等外部条件，可叠加到任一结构状态上。沿 AI 容量增加方向的比较属于纵向比较，相同 AI 压力下跨结构状态的比较属于横向比较，两者在技术路线与结果章节中始终分开报告。</w:t>
      </w:r>
    </w:p>
    <w:p w14:paraId="3503434A">
      <w:r>
        <w:rPr>
          <w:b/>
        </w:rPr>
        <w:t>S0 均衡基准型：</w:t>
      </w:r>
      <w:r>
        <w:t>各环节均具有中等余量，作为全部横向比较的统一基准。</w:t>
      </w:r>
    </w:p>
    <w:p w14:paraId="4BDCEDB8">
      <w:r>
        <w:rPr>
          <w:b/>
        </w:rPr>
        <w:t>S1 水源充足—给水处理受限型：</w:t>
      </w:r>
      <w:r>
        <w:t>外部水源余量较高，给水处理余量较低，污水、再生水与局部输配余量中等。主要检验资源有水但水厂处理不过来时，AI 是否较早达到承载边界。</w:t>
      </w:r>
    </w:p>
    <w:p w14:paraId="3C96B24D">
      <w:r>
        <w:rPr>
          <w:b/>
        </w:rPr>
        <w:t>S2 淡水受限—再生水较强型：</w:t>
      </w:r>
      <w:r>
        <w:t>淡水剩余量较低，再生水源量、处理和输配条件较好。主要检验较强的再生水系统能否降低淡水约束并提高 CAWCC。</w:t>
      </w:r>
    </w:p>
    <w:p w14:paraId="4DA4EFA6">
      <w:r>
        <w:rPr>
          <w:b/>
        </w:rPr>
        <w:t>S3 总量充足—局部输配受限型：</w:t>
      </w:r>
      <w:r>
        <w:t>水源、给水处理、污水和再生水处理余量均较高，局部接入或再生水输配余量较低。主要检验全市有水有厂但园区输送不到位时，局部管网约束是否成为实际主导瓶颈。</w:t>
      </w:r>
    </w:p>
    <w:p w14:paraId="20267C49">
      <w:r>
        <w:t>G0—G3 作为第二层情景叠加到任一结构状态上：G0 常规气候，G1 高温，G2 干旱，G3 高温、干旱叠加城市需求峰值。同一结构状态在不同压力情景下的 CAWCC 差异直接回答“气候压力使承载边界提前多少”，避免把高温干旱误设为与 S1—S3 并列的城市类型。</w:t>
      </w:r>
    </w:p>
    <w:p w14:paraId="47E82D6D">
      <w:r>
        <w:t>横向比较采用“同一参考城市规模”口径：S0—S3 保持相同的传统用户基准需求规模、AI 负荷定义和城市总体量级，通过调整水源可供量、给水/污水处理有效能力、再生水处理与输配能力及局部接入能力，使各系统形成预设的高、中、低相对余量。由于城市规模和传统需求基准一致，可在同一 AI 容量（如 C_AI = 1000 MW）下进行结构状态比较，比较淡水依赖、再生水利用、峰值压力、CAWCC 和主导瓶颈；若后续引入不同规模的城市状态，则改用无量纲 AI 压力 λ_AI = D_AI / W_city,baseline（AI 设计补水需求与城市基准供水规模之比）进行比较，禁止在不同规模状态下直接比较同一 MW 值。</w:t>
      </w:r>
    </w:p>
    <w:p w14:paraId="0A5B419C">
      <w:r>
        <w:rPr>
          <w:b/>
        </w:rPr>
        <w:t>3.7.1.3 控制对照实验</w:t>
      </w:r>
    </w:p>
    <w:p w14:paraId="0B2B7EE1">
      <w:r>
        <w:t>为区分一般高密度工业用水效应与 AI 连续负荷效应，设置两类普通工业冷却对照：第一类保持年度总用水量与 AI 情景接近，比较不同负荷时序造成的峰值压力差异；第二类保持峰值热负荷或局部接入规模接近，比较负荷连续性与气候响应差异。各对照均保持城市水系统状态、水源政策和设施能力一致，不要求单一工业对照同时满足全部等效条件。</w:t>
      </w:r>
    </w:p>
    <w:p w14:paraId="554C6C0F">
      <w:r>
        <w:t>多时间尺度与复合压力实验在相同城市状态和近似相同年度总负荷条件下，分别采用年均、连续日尺度和代表性极端周小时尺度输入；先分别施加高温、干旱水源折减和传统城市需求峰值，再构造保持时间相关关系的组合压力情景，比较各时间尺度下的 CAWCC、峰值设施负荷、失效时长和服务可靠性，计算时间聚合造成的边界提前量。</w:t>
      </w:r>
    </w:p>
    <w:p w14:paraId="2283D0C2">
      <w:pPr>
        <w:pStyle w:val="24"/>
        <w:ind w:firstLine="0" w:firstLineChars="0"/>
        <w:outlineLvl w:val="2"/>
      </w:pPr>
      <w:bookmarkStart w:id="25" w:name="_Toc1952"/>
      <w:r>
        <w:rPr>
          <w:rFonts w:ascii="Times New Roman" w:hAnsi="Times New Roman"/>
        </w:rPr>
        <w:t>3.7.2 输出指标与统计分析</w:t>
      </w:r>
      <w:bookmarkEnd w:id="25"/>
    </w:p>
    <w:p w14:paraId="1DD75889">
      <w:r>
        <w:t>模型输出分为规模指标、结构指标、承载指标和证据指标四类。规模指标包括城市总取水、AI 边际取水、不可恢复耗水、回流量、污水处理量和再生水供给量；结构指标包括水源份额、淡水依赖率、再生水实际供应份额、消耗率、回流率和内部循环率；承载指标包括 CAWCC、各子系统归一化剩余裕度、首次失效容量、最终失效容量、失效持续时间、恢复时间和时间尺度边界提前量；证据指标包括敏感性排序、不确定性区间以及替代压力剖面和替代结构规则下的方向稳定比例。</w:t>
      </w:r>
    </w:p>
    <w:p w14:paraId="4EE465D9">
      <w:r>
        <w:t>为使水源结构指标可解释、可比较，正式定义 AI 淡水依赖率与再生水实际利用率：</w:t>
      </w:r>
    </w:p>
    <w:p w14:paraId="384F5BCA">
      <w:r>
        <w:t>FDR = W_f^AI / ( W_f^AI + W_r^AI )</w:t>
      </w:r>
    </w:p>
    <w:p w14:paraId="539C2B99">
      <w:r>
        <w:t>RWR = W_r^AI / ( W_f^AI + W_r^AI )</w:t>
      </w:r>
    </w:p>
    <w:p w14:paraId="6F01AA16">
      <w:r>
        <w:t>FDR + RWR = 1</w:t>
      </w:r>
    </w:p>
    <w:p w14:paraId="7E462859">
      <w:r>
        <w:t>其中 W_f^AI 与 W_r^AI 分别为 AI 获得的淡水补水量与再生水补水量，FDR 表征 AI 补水结构中的淡水依赖程度，不等同于淡水不可恢复消耗比例；AI 的 Consumption 另由蒸发、漂水及其他不可恢复损失账户计算。在结果解释中，淡水依赖率的变化必须结合供水分配规则（3.6.2）和各类水源约束共同解释，不能仅根据 AI 容量变化作因果推断：淡水依赖率下降既可能来自再生水系统的物理充裕，也可能只是再生水优先规则下的必然结果，两类原因必须通过 P1—P3 情景对照加以区分。</w:t>
      </w:r>
    </w:p>
    <w:p w14:paraId="277F74AE">
      <w:r>
        <w:t>为识别“规模增加”和“结构重构”的差异，首先将水源、消耗、回流和内部循环等互斥或可比较路径组成结构指标向量，并计算其相对于低 AI 容量基准状态的结构距离。随后对容量—结构指标曲线实施分段回归或变化点识别，在粗网格发现可能转折后进一步加密容量步长。只有当结构距离及至少一个关键路径比例出现持续变化，并且该变化在替代压力剖面或局部解除单一容量约束后仍能保持时，才将其认定为结构重构。</w:t>
      </w:r>
    </w:p>
    <w:p w14:paraId="176304FB">
      <w:r>
        <w:t>时间尺度效应以</w:t>
      </w:r>
    </w:p>
    <w:p w14:paraId="073160A8">
      <w:r>
        <w:t>ΔC_time = CAWCC_annual − CAWCC_peak</w:t>
      </w:r>
    </w:p>
    <w:p w14:paraId="5BCCFCA3">
      <w:r>
        <w:t>表示，并同时报告其相对于年均 CAWCC 的比例，以避免不同规模系统之间不能直接比较。若可行域存在非单调性，则报告完整可行区间、首次失效容量和最终失效容量，不以单一最大容量代替完整边界信息。</w:t>
      </w:r>
    </w:p>
    <w:p w14:paraId="6274CC47">
      <w:pPr>
        <w:pStyle w:val="23"/>
        <w:pageBreakBefore w:val="0"/>
        <w:ind w:firstLine="0" w:firstLineChars="0"/>
        <w:outlineLvl w:val="1"/>
      </w:pPr>
      <w:bookmarkStart w:id="26" w:name="_Toc1366"/>
      <w:r>
        <w:rPr>
          <w:rFonts w:ascii="Times New Roman" w:hAnsi="Times New Roman" w:eastAsia="黑体" w:cs="Times New Roman"/>
          <w:b/>
          <w:color w:val="000000"/>
          <w:sz w:val="28"/>
        </w:rPr>
        <w:t>3.8 条件化承载边界求解</w:t>
      </w:r>
      <w:bookmarkEnd w:id="26"/>
    </w:p>
    <w:p w14:paraId="35F8724E">
      <w:r>
        <w:t>条件化 AI 水系统承载容量 CAWCC 定义为：在给定城市水系统状态、冷却技术、水源配置、气候压力、服务优先级和风险容忍条件下，同时满足全部核心资源、设施、水质和基本服务约束时可支持的最大 AI IT 容量。设 AI IT 容量为 C，第 j 项约束的状态函数为 g_j(C)，当 g_j(C) ≤ 0 时视为满足该项约束，则：</w:t>
      </w:r>
    </w:p>
    <w:p w14:paraId="7D034558">
      <w:r>
        <w:t>CAWCC = sup { C : g_j(C) ≤ 0, ∀j, R(C) ≥ R_min }</w:t>
      </w:r>
    </w:p>
    <w:p w14:paraId="2454450E">
      <w:r>
        <w:t>其中 R(C) 为基本服务可靠性，R_min 为预先给定的最低服务要求。不同约束的阈值不在模型中任意设定，而应来源于设计能力、工程标准、公开运行资料或明确的情景假设，并在参数证据表中记录其来源和适用条件。</w:t>
      </w:r>
    </w:p>
    <w:p w14:paraId="296662D2">
      <w:r>
        <w:t>求解时首先采用容量网格扫描，记录每一容量水平下各约束的状态及剩余裕度，并检验可行域是否单调。当可行域单调时，在首个失效区间附近缩小容量步长并细化求解；当存在反馈导致的非单调可行域时，不强制使用单一最大值表述，而同时报告全部可行区间、首次失效容量和最终失效容量。所有 CAWCC 结果必须与对应的城市状态、技术架构、水源政策、气候情景、基本服务要求及风险容忍条件同时报告。</w:t>
      </w:r>
    </w:p>
    <w:p w14:paraId="144D3389">
      <w:r>
        <w:t>为使“谁先卡住”成为模型正式输出而非主观判断，对具有明确容量上限的约束 j 定义归一化剩余裕度：</w:t>
      </w:r>
    </w:p>
    <w:p w14:paraId="21412FDA">
      <w:r>
        <w:t>M_j(C) = ( K_j − L_j(C) ) / K_j</w:t>
      </w:r>
    </w:p>
    <w:p w14:paraId="6505A690">
      <w:r>
        <w:t>其中 K_j 为该资源或设施的有效能力，L_j(C) 为 AI IT 容量为 C 时该环节的实际负荷；M_j &gt; 0 表示尚有余量，M_j = 0 表示达到边界，M_j &lt; 0 表示该约束失效。分别求每一约束首次达到边界的临界 AI 容量 C_j*，主导瓶颈即为 argmin_j C_j* 所对应的约束；若两个或多个约束的临界容量差异不超过预设数值容差 δ_C（δ_C 根据边界加密求解的数值分辨率确定，并在模型配置中固定），则记为共同主导瓶颈。例如某系统状态下 C_water* = 1600 MW、C_WTP* = 1200 MW、C_WWTP* = 1800 MW、C_reclaimed* = 1400 MW，则 CAWCC = 1200 MW，主导瓶颈为给水处理能力。</w:t>
      </w:r>
    </w:p>
    <w:p w14:paraId="747F165D">
      <w:r>
        <w:t>表3-2 CAWCC 核心约束及失效判据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B807387">
            <w:r>
              <w:rPr>
                <w:b/>
              </w:rPr>
              <w:t>约束类别</w:t>
            </w:r>
          </w:p>
        </w:tc>
        <w:tc>
          <w:tcPr>
            <w:tcW w:w="3025" w:type="dxa"/>
          </w:tcPr>
          <w:p w14:paraId="39AB786F">
            <w:r>
              <w:rPr>
                <w:b/>
              </w:rPr>
              <w:t>主要状态量</w:t>
            </w:r>
          </w:p>
        </w:tc>
        <w:tc>
          <w:tcPr>
            <w:tcW w:w="3025" w:type="dxa"/>
          </w:tcPr>
          <w:p w14:paraId="673DD415">
            <w:r>
              <w:rPr>
                <w:b/>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70164F5">
            <w:r>
              <w:t>外部水源</w:t>
            </w:r>
          </w:p>
        </w:tc>
        <w:tc>
          <w:tcPr>
            <w:tcW w:w="3025" w:type="dxa"/>
          </w:tcPr>
          <w:p w14:paraId="228BE053">
            <w:r>
              <w:t>总取水需求、可供水量</w:t>
            </w:r>
          </w:p>
        </w:tc>
        <w:tc>
          <w:tcPr>
            <w:tcW w:w="3025" w:type="dxa"/>
          </w:tcPr>
          <w:p w14:paraId="64174A85">
            <w: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303525FB">
            <w:r>
              <w:t>给水处理</w:t>
            </w:r>
          </w:p>
        </w:tc>
        <w:tc>
          <w:tcPr>
            <w:tcW w:w="3025" w:type="dxa"/>
          </w:tcPr>
          <w:p w14:paraId="561891AC">
            <w:r>
              <w:t>日/小时处理负荷</w:t>
            </w:r>
          </w:p>
        </w:tc>
        <w:tc>
          <w:tcPr>
            <w:tcW w:w="3025" w:type="dxa"/>
          </w:tcPr>
          <w:p w14:paraId="76360E7A">
            <w: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34E59AE">
            <w:r>
              <w:t>局部接入</w:t>
            </w:r>
          </w:p>
        </w:tc>
        <w:tc>
          <w:tcPr>
            <w:tcW w:w="3025" w:type="dxa"/>
          </w:tcPr>
          <w:p w14:paraId="5ACD664B">
            <w:r>
              <w:t>AI 峰值供水流量</w:t>
            </w:r>
          </w:p>
        </w:tc>
        <w:tc>
          <w:tcPr>
            <w:tcW w:w="3025" w:type="dxa"/>
          </w:tcPr>
          <w:p w14:paraId="441492AE">
            <w: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639C774E">
            <w:r>
              <w:t>污水处理</w:t>
            </w:r>
          </w:p>
        </w:tc>
        <w:tc>
          <w:tcPr>
            <w:tcW w:w="3025" w:type="dxa"/>
          </w:tcPr>
          <w:p w14:paraId="1EE873D3">
            <w:r>
              <w:t>入厂污水量及峰值</w:t>
            </w:r>
          </w:p>
        </w:tc>
        <w:tc>
          <w:tcPr>
            <w:tcW w:w="3025" w:type="dxa"/>
          </w:tcPr>
          <w:p w14:paraId="0E876AF3">
            <w: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D3101DC">
            <w:r>
              <w:t>再生水源量</w:t>
            </w:r>
          </w:p>
        </w:tc>
        <w:tc>
          <w:tcPr>
            <w:tcW w:w="3025" w:type="dxa"/>
          </w:tcPr>
          <w:p w14:paraId="59A7AAA8">
            <w:r>
              <w:t>可回收污水量</w:t>
            </w:r>
          </w:p>
        </w:tc>
        <w:tc>
          <w:tcPr>
            <w:tcW w:w="3025" w:type="dxa"/>
          </w:tcPr>
          <w:p w14:paraId="62D13FAD">
            <w: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6D3CB56E">
            <w:r>
              <w:t>再生水处理</w:t>
            </w:r>
          </w:p>
        </w:tc>
        <w:tc>
          <w:tcPr>
            <w:tcW w:w="3025" w:type="dxa"/>
          </w:tcPr>
          <w:p w14:paraId="7B33008C">
            <w:r>
              <w:t>深度处理负荷</w:t>
            </w:r>
          </w:p>
        </w:tc>
        <w:tc>
          <w:tcPr>
            <w:tcW w:w="3025" w:type="dxa"/>
          </w:tcPr>
          <w:p w14:paraId="222E89C3">
            <w: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1A2267C1">
            <w:r>
              <w:t>再生水输配</w:t>
            </w:r>
          </w:p>
        </w:tc>
        <w:tc>
          <w:tcPr>
            <w:tcW w:w="3025" w:type="dxa"/>
          </w:tcPr>
          <w:p w14:paraId="692473B1">
            <w:r>
              <w:t>峰值输送量</w:t>
            </w:r>
          </w:p>
        </w:tc>
        <w:tc>
          <w:tcPr>
            <w:tcW w:w="3025" w:type="dxa"/>
          </w:tcPr>
          <w:p w14:paraId="3D4EB126">
            <w:r>
              <w:t>不超过有效输配能力</w:t>
            </w:r>
          </w:p>
        </w:tc>
      </w:tr>
      <w:tr w14:paraId="2CBA9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7FB55AD9">
            <w:r>
              <w:t>水质</w:t>
            </w:r>
          </w:p>
        </w:tc>
        <w:tc>
          <w:tcPr>
            <w:tcW w:w="3025" w:type="dxa"/>
          </w:tcPr>
          <w:p w14:paraId="308C5511">
            <w:r>
              <w:t>TDS、温度及必要水质指标</w:t>
            </w:r>
          </w:p>
        </w:tc>
        <w:tc>
          <w:tcPr>
            <w:tcW w:w="3025" w:type="dxa"/>
          </w:tcPr>
          <w:p w14:paraId="283DF95F">
            <w:r>
              <w:t>不超过对应接纳或回用阈值</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Pr>
          <w:p w14:paraId="22C0D1A5">
            <w:r>
              <w:t>基本服务</w:t>
            </w:r>
          </w:p>
        </w:tc>
        <w:tc>
          <w:tcPr>
            <w:tcW w:w="3025" w:type="dxa"/>
          </w:tcPr>
          <w:p w14:paraId="60043825">
            <w:r>
              <w:t>居民及关键公共服务满足率</w:t>
            </w:r>
          </w:p>
        </w:tc>
        <w:tc>
          <w:tcPr>
            <w:tcW w:w="3025" w:type="dxa"/>
          </w:tcPr>
          <w:p w14:paraId="46F58E1A">
            <w:r>
              <w:t>不低于预设最低服务要求</w:t>
            </w:r>
          </w:p>
        </w:tc>
      </w:tr>
    </w:tbl>
    <w:p w14:paraId="1C8A141D">
      <w:pPr>
        <w:pStyle w:val="23"/>
        <w:pageBreakBefore w:val="0"/>
        <w:ind w:firstLine="0" w:firstLineChars="0"/>
        <w:outlineLvl w:val="1"/>
      </w:pPr>
      <w:bookmarkStart w:id="27" w:name="_Toc13285"/>
      <w:r>
        <w:rPr>
          <w:rFonts w:ascii="Times New Roman" w:hAnsi="Times New Roman" w:eastAsia="黑体" w:cs="Times New Roman"/>
          <w:b/>
          <w:color w:val="000000"/>
          <w:sz w:val="28"/>
        </w:rPr>
        <w:t>3.9 时间尺度、可靠性与复合压力</w:t>
      </w:r>
      <w:bookmarkEnd w:id="27"/>
    </w:p>
    <w:p w14:paraId="6881E35B">
      <w:pPr>
        <w:spacing w:before="0" w:after="0" w:line="360" w:lineRule="auto"/>
        <w:ind w:firstLine="420"/>
      </w:pPr>
      <w:r>
        <w:rPr>
          <w:rFonts w:ascii="Times New Roman" w:hAnsi="Times New Roman" w:eastAsia="宋体" w:cs="Times New Roman"/>
          <w:b w:val="0"/>
          <w:color w:val="000000"/>
          <w:sz w:val="24"/>
        </w:rPr>
        <w:t>研究将结合CMIP6试验框架和IPCC物理科学评估选择气候情景</w:t>
      </w:r>
      <w:r>
        <w:rPr>
          <w:rFonts w:ascii="Times New Roman" w:hAnsi="Times New Roman" w:eastAsia="宋体" w:cs="Times New Roman"/>
          <w:b w:val="0"/>
          <w:color w:val="000000"/>
          <w:sz w:val="24"/>
          <w:vertAlign w:val="superscript"/>
        </w:rPr>
        <w:t>[80,81]</w:t>
      </w:r>
      <w:r>
        <w:rPr>
          <w:rFonts w:ascii="宋体" w:hAnsi="宋体" w:eastAsia="宋体" w:cs="Times New Roman"/>
          <w:b w:val="0"/>
          <w:color w:val="000000"/>
          <w:sz w:val="24"/>
        </w:rPr>
        <w:t>，依据复合事件研究保留高温、干旱与需求峰值的依赖关系</w:t>
      </w:r>
      <w:r>
        <w:rPr>
          <w:rFonts w:ascii="Times New Roman" w:hAnsi="Times New Roman" w:eastAsia="宋体" w:cs="Times New Roman"/>
          <w:b w:val="0"/>
          <w:color w:val="000000"/>
          <w:sz w:val="24"/>
          <w:vertAlign w:val="superscript"/>
        </w:rPr>
        <w:t>[82]</w:t>
      </w:r>
      <w:r>
        <w:rPr>
          <w:rFonts w:ascii="宋体" w:hAnsi="宋体" w:eastAsia="宋体" w:cs="Times New Roman"/>
          <w:b w:val="0"/>
          <w:color w:val="000000"/>
          <w:sz w:val="24"/>
        </w:rPr>
        <w:t>。年均分析用于获得长期规模关系，日尺度分析用于识别季节和需求峰值，小时校核用于检验极端周内的短时失稳。高温、干旱和传统需求峰值分别构造单因素与组合压力，保留它们的时间相关结构，形成与单因素压力可比较的组合情景。可靠性以基本服务满足的时间比例表示，恢复性关注失效后的恢复速度，脆弱性以缺水量和持续时间刻画。年均边界与峰值边界之差用于量化时间聚合造成的边界提前。</w:t>
      </w:r>
    </w:p>
    <w:p w14:paraId="7723C84D">
      <w:pPr>
        <w:pStyle w:val="23"/>
        <w:pageBreakBefore w:val="0"/>
        <w:ind w:firstLine="0" w:firstLineChars="0"/>
        <w:outlineLvl w:val="1"/>
      </w:pPr>
      <w:bookmarkStart w:id="28" w:name="_Toc13647"/>
      <w:r>
        <w:rPr>
          <w:rFonts w:ascii="Times New Roman" w:hAnsi="Times New Roman" w:eastAsia="黑体" w:cs="Times New Roman"/>
          <w:b/>
          <w:color w:val="000000"/>
          <w:sz w:val="28"/>
        </w:rPr>
        <w:t>3.10 不确定性与敏感性分析</w:t>
      </w:r>
      <w:bookmarkEnd w:id="28"/>
    </w:p>
    <w:p w14:paraId="40E80587">
      <w:r>
        <w:t>不确定性分析重点回答三个问题：哪些参数决定代谢结构转折和 CAWCC，参数之间的相关关系是否改变敏感性排序，以及主要结论在不同参数和压力剖面下是否稳定。负载率、PUE、浓缩倍数 CoC、污水回流率、再生水回收率、关键设施有效能力和必要水质阈值采用有工程依据的区间或条件分布表达；气候压力、水源政策和设施扩容时点采用离散情景集合表达。</w:t>
      </w:r>
    </w:p>
    <w:p w14:paraId="6D92BC47">
      <w:r>
        <w:t>敏感性分析采用两阶段方法。第一阶段对全部候选连续参数实施 Morris 筛选，识别对 C*、CAWCC 和边界提前量影响最大的少数参数，并剔除低影响变量。第二阶段仅针对筛选出的核心参数开展定量归因：当输入参数可以近似视为相互独立时采用 Sobol 方差分解；当核心参数之间存在不可忽略的统计相关关系时采用 Shapley effects。Sobol 和 Shapley 不作为必须同时完成的两套方法，而根据最终参数结构选择其中适用的一种，以保证敏感性分析服务于科学问题而非增加方法复杂度。</w:t>
      </w:r>
    </w:p>
    <w:p w14:paraId="4B9A458F">
      <w:r>
        <w:t>除参数敏感性外，对主要结论至少实施两类结构稳健性检验：一是改变高温、干旱和需求峰值的时间排列或压力剖面；二是替换关键冷却关系或约束优先规则。仅当核心结论在合理扰动下保持方向一致时，才作为论文主要结论。</w:t>
      </w:r>
    </w:p>
    <w:p w14:paraId="69A6066A">
      <w:pPr>
        <w:pStyle w:val="23"/>
        <w:pageBreakBefore w:val="0"/>
        <w:ind w:firstLine="0" w:firstLineChars="0"/>
        <w:outlineLvl w:val="1"/>
      </w:pPr>
      <w:bookmarkStart w:id="29" w:name="_Toc15679"/>
      <w:r>
        <w:rPr>
          <w:rFonts w:ascii="Times New Roman" w:hAnsi="Times New Roman" w:eastAsia="黑体" w:cs="Times New Roman"/>
          <w:b/>
          <w:color w:val="000000"/>
          <w:sz w:val="28"/>
        </w:rPr>
        <w:t>3.11 数据方案与案例策略</w:t>
      </w:r>
      <w:bookmarkEnd w:id="29"/>
    </w:p>
    <w:p w14:paraId="32F780BE">
      <w:r>
        <w:t>表3-3 分层数据方案与证据用途</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55EA9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236C469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数据层级</w:t>
            </w:r>
          </w:p>
        </w:tc>
        <w:tc>
          <w:tcPr>
            <w:tcW w:w="2267" w:type="dxa"/>
          </w:tcPr>
          <w:p w14:paraId="1E5EE687">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数据内容</w:t>
            </w:r>
          </w:p>
        </w:tc>
        <w:tc>
          <w:tcPr>
            <w:tcW w:w="2267" w:type="dxa"/>
          </w:tcPr>
          <w:p w14:paraId="5D8EE97A">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获取与使用方式</w:t>
            </w:r>
          </w:p>
        </w:tc>
        <w:tc>
          <w:tcPr>
            <w:tcW w:w="2270" w:type="dxa"/>
          </w:tcPr>
          <w:p w14:paraId="5BE705BF">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对结论的作用</w:t>
            </w:r>
          </w:p>
        </w:tc>
      </w:tr>
      <w:tr w14:paraId="08AC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44ED5BD1">
            <w:pPr>
              <w:spacing w:line="276" w:lineRule="auto"/>
            </w:pPr>
            <w:r>
              <w:rPr>
                <w:rFonts w:ascii="宋体" w:hAnsi="宋体" w:eastAsia="宋体"/>
                <w:sz w:val="21"/>
              </w:rPr>
              <w:t>参数化系统输入</w:t>
            </w:r>
          </w:p>
        </w:tc>
        <w:tc>
          <w:tcPr>
            <w:tcW w:w="2267" w:type="dxa"/>
          </w:tcPr>
          <w:p w14:paraId="6DAC62C6">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连续日尺度供水、污水、再生水、气象及设施能力</w:t>
            </w:r>
          </w:p>
        </w:tc>
        <w:tc>
          <w:tcPr>
            <w:tcW w:w="2267" w:type="dxa"/>
          </w:tcPr>
          <w:p w14:paraId="164AA1BF">
            <w:pPr>
              <w:spacing w:line="276" w:lineRule="auto"/>
            </w:pPr>
            <w:r>
              <w:rPr>
                <w:rFonts w:ascii="宋体" w:hAnsi="宋体" w:eastAsia="宋体"/>
                <w:sz w:val="21"/>
              </w:rPr>
              <w:t>公开统计、年报、公开统计、标准和工程文献；用于构造参数域和情景剖面</w:t>
            </w:r>
          </w:p>
        </w:tc>
        <w:tc>
          <w:tcPr>
            <w:tcW w:w="2270" w:type="dxa"/>
          </w:tcPr>
          <w:p w14:paraId="0091C42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约束参数域范围与峰值压力情景</w:t>
            </w:r>
          </w:p>
        </w:tc>
      </w:tr>
      <w:tr w14:paraId="682E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2D486B8C">
            <w:pPr>
              <w:spacing w:line="276" w:lineRule="auto"/>
            </w:pPr>
            <w:r>
              <w:rPr>
                <w:rFonts w:ascii="宋体" w:hAnsi="宋体" w:eastAsia="宋体"/>
                <w:sz w:val="21"/>
              </w:rPr>
              <w:t>参数范围校核</w:t>
            </w:r>
          </w:p>
        </w:tc>
        <w:tc>
          <w:tcPr>
            <w:tcW w:w="2267" w:type="dxa"/>
          </w:tcPr>
          <w:p w14:paraId="77456FA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水资源禀赋、热环境、供排水能力、再生水利用和典型运行指标</w:t>
            </w:r>
          </w:p>
        </w:tc>
        <w:tc>
          <w:tcPr>
            <w:tcW w:w="2267" w:type="dxa"/>
          </w:tcPr>
          <w:p w14:paraId="3B2CCF48">
            <w:pPr>
              <w:spacing w:line="276" w:lineRule="auto"/>
            </w:pPr>
            <w:r>
              <w:rPr>
                <w:rFonts w:ascii="宋体" w:hAnsi="宋体" w:eastAsia="宋体"/>
                <w:sz w:val="21"/>
              </w:rPr>
              <w:t>公开资料和可比统计；用于检验参数范围与机制方向</w:t>
            </w:r>
          </w:p>
        </w:tc>
        <w:tc>
          <w:tcPr>
            <w:tcW w:w="2270" w:type="dxa"/>
          </w:tcPr>
          <w:p w14:paraId="176C408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检验参数范围、方向和瓶颈类型</w:t>
            </w:r>
          </w:p>
        </w:tc>
      </w:tr>
      <w:tr w14:paraId="45CCA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E34D3C0">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工程与文献</w:t>
            </w:r>
          </w:p>
        </w:tc>
        <w:tc>
          <w:tcPr>
            <w:tcW w:w="2267" w:type="dxa"/>
          </w:tcPr>
          <w:p w14:paraId="23F154C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冷却架构、PUE、CoC、蒸发排污、水质和处理能耗</w:t>
            </w:r>
          </w:p>
        </w:tc>
        <w:tc>
          <w:tcPr>
            <w:tcW w:w="2267" w:type="dxa"/>
          </w:tcPr>
          <w:p w14:paraId="05CFC25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标准、工程文献、公开Benchmark</w:t>
            </w:r>
          </w:p>
        </w:tc>
        <w:tc>
          <w:tcPr>
            <w:tcW w:w="2270" w:type="dxa"/>
          </w:tcPr>
          <w:p w14:paraId="7188E11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形成条件分布和结构对照</w:t>
            </w:r>
          </w:p>
        </w:tc>
      </w:tr>
      <w:tr w14:paraId="5F9CD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73A863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敏感数据</w:t>
            </w:r>
          </w:p>
        </w:tc>
        <w:tc>
          <w:tcPr>
            <w:tcW w:w="2267" w:type="dxa"/>
          </w:tcPr>
          <w:p w14:paraId="7FB0C332">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企业逐小时负载、用水、水质和局部接入</w:t>
            </w:r>
          </w:p>
        </w:tc>
        <w:tc>
          <w:tcPr>
            <w:tcW w:w="2267" w:type="dxa"/>
          </w:tcPr>
          <w:p w14:paraId="5155EB7A">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若可获得则用于校核；否则使用区间与替代剖面</w:t>
            </w:r>
          </w:p>
        </w:tc>
        <w:tc>
          <w:tcPr>
            <w:tcW w:w="2270" w:type="dxa"/>
          </w:tcPr>
          <w:p w14:paraId="4183AF9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不作为模型成立的单一前提</w:t>
            </w:r>
          </w:p>
        </w:tc>
      </w:tr>
    </w:tbl>
    <w:p w14:paraId="61C6B685">
      <w:r>
        <w:t>为增强参数化模拟与真实城市系统之间的联系，本研究选取至少一个公开水务资料相对完整的城市作为外部锚定案例。锚定案例不用于反演或宣称该城市的精确 AI 承载容量，而用于检验模型输入和典型情景的量级及方向是否合理。重点核对年度与季节供水规模、供水和污水处理能力、传统用户需水变化、污水回流比例、再生水利用比例以及典型气象条件。若公开资料不足以支持逐小时校准，则保持模型的参数化定位，并明确区分“实测或公开统计参数”“工程文献参数”和“情景假设参数”。跨城市或跨状态结论仅使用无量纲裕度、结构指标和机制方向进行比较，不将参数化系统的绝对 CAWCC 直接解释为某一城市的规划许可容量。</w:t>
      </w:r>
    </w:p>
    <w:p w14:paraId="5DA754DB">
      <w:r>
        <w:t>在上述锚定基础上，本研究采用“真实城市参数锚定 + 参数化城市状态比较”的双轨案例策略。真实城市案例的作用是验证“参数像不像现实”，即对供水规模、给水和污水处理能力、再生水利用比例、传统需求及气象条件进行量级校核；参数化城市状态的作用是回答“什么条件导致什么结果”，即在 S0—S3 结构状态与 G0—G3 压力情景上开展横向比较（3.7.1.2、3.15）。两类案例分工明确、不相互替代：前者保证参数范围的现实合理性，后者支撑机制识别及适用参数域刻画。</w:t>
      </w:r>
    </w:p>
    <w:p w14:paraId="2321CBE0">
      <w:pPr>
        <w:pStyle w:val="23"/>
        <w:pageBreakBefore w:val="0"/>
        <w:ind w:firstLine="0" w:firstLineChars="0"/>
        <w:outlineLvl w:val="1"/>
      </w:pPr>
      <w:bookmarkStart w:id="30" w:name="_Toc9879"/>
      <w:r>
        <w:rPr>
          <w:rFonts w:ascii="Times New Roman" w:hAnsi="Times New Roman" w:eastAsia="黑体" w:cs="Times New Roman"/>
          <w:b/>
          <w:color w:val="000000"/>
          <w:sz w:val="28"/>
        </w:rPr>
        <w:t>3.12 模型验证与证据等级</w:t>
      </w:r>
      <w:bookmarkEnd w:id="30"/>
    </w:p>
    <w:p w14:paraId="6E266394">
      <w:r>
        <w:t>模型验证采用六个层次。第一层为代码和守恒验证，包括单元测试、水量守恒、储量变化、内部回用不重复计量及边界条件测试；第二层为工程过程基准验证，将冷却补水、蒸发、排污及再生水处理等关键过程与标准、工程文献或公开 Benchmark 的合理范围比较；第三层为极限行为检验，包括 AI 容量趋近于零、设施能力极大、水源极度受限以及完全取消湿式排热等边界情景，检查模型响应方向是否符合物理预期；第四层为参数证据审计，对每个重要参数记录来源、年份、适用工况、取值范围和证据等级；第五层为外部锚定检验，将至少一个公开资料较完整城市的供水、污水、再生水和气象统计特征与参数化模型的量级和响应方向进行比较；第六层为结构稳健性检验，通过替</w:t>
      </w:r>
      <w:bookmarkStart w:id="54" w:name="_GoBack"/>
      <w:bookmarkEnd w:id="54"/>
      <w:r>
        <w:t>换冷却关系、压力剖面和约束优先级判断核心机制结论是否依赖单一模型设定。</w:t>
      </w:r>
    </w:p>
    <w:p w14:paraId="63960D1E">
      <w:r>
        <w:t>研究不以获得特定企业逐小时运行数据作为模型成立的前提，也不以特定城市时间序列拟合精度作为主要评价指标。模型的主要证据目标是证明：物理过程闭合、工程量级合理、边界行为正确、参数来源可追溯，并且代谢结构转折、时间尺度边界提前和瓶颈迁移等主要机制在合理的参数扰动和结构替代下保持稳定。外部城市数据主要用于参数范围和机制方向锚定，不据此宣称模型已经完成针对具体城市的预测性校准。</w:t>
      </w:r>
    </w:p>
    <w:p w14:paraId="344B622B">
      <w:pPr>
        <w:spacing w:before="0" w:after="0" w:line="360" w:lineRule="auto"/>
        <w:ind w:firstLine="420"/>
      </w:pPr>
      <w:r>
        <w:rPr>
          <w:rFonts w:ascii="Times New Roman" w:hAnsi="Times New Roman"/>
          <w:sz w:val="24"/>
        </w:rPr>
        <w:t>对每一个约束记录剩余裕度、首次达到阈值的容量、持续失效时长和恢复条件。若增加某项设施能力后原约束得到缓解但另一约束迅速接近阈值，则识别为瓶颈迁移，而不是简单地报告容量增加。干预实验包括水源扩充、给水处理扩充、污水处理扩充、再生水深度处理、再生水输配、储存、冷却技术替换和负荷时序平滑。以单位干预带来的CAWCC提升和峰值压力下降衡量边际收益，并报告干预可能造成的能耗、成本或水质管理代价。</w:t>
      </w:r>
    </w:p>
    <w:p w14:paraId="0E6BF485">
      <w:pPr>
        <w:pStyle w:val="23"/>
        <w:pageBreakBefore w:val="0"/>
        <w:ind w:firstLine="0" w:firstLineChars="0"/>
        <w:outlineLvl w:val="1"/>
      </w:pPr>
      <w:bookmarkStart w:id="31" w:name="_Toc13835"/>
      <w:r>
        <w:rPr>
          <w:rFonts w:ascii="Times New Roman" w:hAnsi="Times New Roman" w:eastAsia="黑体" w:cs="Times New Roman"/>
          <w:b/>
          <w:color w:val="000000"/>
          <w:sz w:val="28"/>
        </w:rPr>
        <w:t>3.13 研究任务安排与优先级</w:t>
      </w:r>
      <w:bookmarkEnd w:id="31"/>
    </w:p>
    <w:p w14:paraId="027AA04F">
      <w:r>
        <w:t>硕士论文按照“核心闭合—核心实验—扩展分析”三个层级控制研究范围。</w:t>
      </w:r>
    </w:p>
    <w:p w14:paraId="37D835DF">
      <w:r>
        <w:t>第一层为必须完成的核心任务，包括 AI-UWM 水量物理闭合、AI 容量梯度下的代谢响应、年均—日尺度—极端周小时尺度 CAWCC 比较，以及水源—给水—污水—再生水—接入约束之间的主导瓶颈识别与迁移分析。上述任务分别对应模型可信性、H1、H2 和 H3，是论文形成完整科学闭环的最低要求。</w:t>
      </w:r>
    </w:p>
    <w:p w14:paraId="4E1754F5">
      <w:r>
        <w:t>第二层为在核心结果稳定后开展的增强任务，包括再生水扩容边际收益分析以及主要参数的不确定性和敏感性分析。该部分用于提高机制解释和结果稳健性，但不得反向扩大核心模型范围。</w:t>
      </w:r>
    </w:p>
    <w:p w14:paraId="4B64D983">
      <w:r>
        <w:t>第三层为拓展任务，包括完整水质过程、水—能—碳综合比较及成本分析。这些内容不作为硕士论文必须完成的前提，仅在前两层任务已经形成稳定结果且时间与数据条件允许时开展。若拓展任务未完成，不影响论文围绕“代谢结构重构—时间尺度边界—瓶颈迁移”形成完整结论。</w:t>
      </w:r>
    </w:p>
    <w:p w14:paraId="409512A7">
      <w:pPr>
        <w:pStyle w:val="23"/>
        <w:ind w:firstLine="0" w:firstLineChars="0"/>
        <w:outlineLvl w:val="1"/>
      </w:pPr>
      <w:bookmarkStart w:id="32" w:name="_Toc30829"/>
      <w:r>
        <w:rPr>
          <w:rFonts w:ascii="Times New Roman" w:hAnsi="Times New Roman"/>
          <w:sz w:val="24"/>
        </w:rPr>
        <w:t>3.14 参数化输入与非物理组合控制</w:t>
      </w:r>
      <w:bookmarkEnd w:id="32"/>
    </w:p>
    <w:p w14:paraId="3396F9C2">
      <w:pPr>
        <w:spacing w:before="0" w:after="0" w:line="360" w:lineRule="auto"/>
        <w:ind w:firstLine="420"/>
      </w:pPr>
      <w:r>
        <w:rPr>
          <w:rFonts w:ascii="宋体" w:hAnsi="宋体" w:eastAsia="宋体"/>
          <w:sz w:val="24"/>
        </w:rPr>
        <w:t>参数化系统并不等于任意组合参数。研究首先设置硬约束：水源可供量、处理能力、储量和输配能力均为非负，实际再生水供应不超过污水源量、深度处理、储存和输配能力的共同上限，居民基本服务优先于可调度用户，厂内回用不重复计量。其次设置相关结构：高温与冷却需水、干旱与水源折减、负荷率与电耗、浓缩倍数与排污量之间保持工程上合理的方向关系。最后采用分层抽样或空间填充设计生成参数组合，避免由独立随机抽样产生难以解释的“非物理城市”。</w:t>
      </w:r>
    </w:p>
    <w:p w14:paraId="258ED413">
      <w:pPr>
        <w:pStyle w:val="23"/>
        <w:ind w:firstLine="0" w:firstLineChars="0"/>
        <w:outlineLvl w:val="1"/>
      </w:pPr>
      <w:bookmarkStart w:id="33" w:name="_Toc9592"/>
      <w:r>
        <w:rPr>
          <w:rFonts w:ascii="Times New Roman" w:hAnsi="Times New Roman"/>
          <w:sz w:val="24"/>
        </w:rPr>
        <w:t>3.15 典型情景与参数域</w:t>
      </w:r>
      <w:bookmarkEnd w:id="33"/>
    </w:p>
    <w:p w14:paraId="7341C840">
      <w:pPr>
        <w:spacing w:before="0" w:after="0" w:line="360" w:lineRule="auto"/>
        <w:ind w:firstLine="420"/>
      </w:pPr>
      <w:r>
        <w:rPr>
          <w:rFonts w:ascii="宋体" w:hAnsi="宋体" w:eastAsia="宋体"/>
          <w:sz w:val="24"/>
        </w:rPr>
        <w:t>典型情景包括水资源充足但设施余量不足、淡水受限但再生水充足、再生水源量充足但水质受限、污水处理能力不足、给水和局部接入能力不足、高温与干旱复合压力以及居民服务优先级提高等。每类情景均记录参数范围、约束状态和代表性指标，不以单一基准情景替代整个参数域。对于证据不足的参数，采用区间和条件分布，并在结果中报告敏感性排序，避免将假设值误作实测事实。</w:t>
      </w:r>
    </w:p>
    <w:p w14:paraId="21A28A27">
      <w:r>
        <w:t>为使横向实验的参数域可复现、可比较，将上述典型情景整理为两层情景矩阵：城市系统结构状态（表3-4）与外部压力情景（表3-5），共同构成 3.7.1.2 横向实验的对照状态。各余量采用高、中、低三级相对水平表示，不对应具体城市；其数值映射统一采用余量率 Margin = ( Capacity − BaselineLoad ) / Capacity，高、中、低对应的具体区间依据真实城市锚定资料、工程运行范围及文献统计确定，并在参数证据表中明确上下界，开题阶段仅以等级标签表达实验结构、正式模拟前完成数值映射。水质受限、服务优先级变化等其他情景作为补充情景叠加使用。</w:t>
      </w:r>
    </w:p>
    <w:p w14:paraId="56657CBD">
      <w:r>
        <w:t>表3-4 城市系统结构状态（S 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00"/>
        <w:gridCol w:w="1280"/>
        <w:gridCol w:w="1280"/>
        <w:gridCol w:w="1280"/>
        <w:gridCol w:w="1280"/>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1E1DAAF5">
            <w:r>
              <w:rPr>
                <w:b/>
              </w:rPr>
              <w:t>结构状态</w:t>
            </w:r>
          </w:p>
        </w:tc>
        <w:tc>
          <w:tcPr>
            <w:tcW w:w="1280" w:type="dxa"/>
          </w:tcPr>
          <w:p w14:paraId="5E0D6468">
            <w:r>
              <w:rPr>
                <w:b/>
              </w:rPr>
              <w:t>水源余量</w:t>
            </w:r>
          </w:p>
        </w:tc>
        <w:tc>
          <w:tcPr>
            <w:tcW w:w="1280" w:type="dxa"/>
          </w:tcPr>
          <w:p w14:paraId="0008019F">
            <w:r>
              <w:rPr>
                <w:b/>
              </w:rPr>
              <w:t>给水余量</w:t>
            </w:r>
          </w:p>
        </w:tc>
        <w:tc>
          <w:tcPr>
            <w:tcW w:w="1280" w:type="dxa"/>
          </w:tcPr>
          <w:p w14:paraId="3C342D4C">
            <w:r>
              <w:rPr>
                <w:b/>
              </w:rPr>
              <w:t>污水余量</w:t>
            </w:r>
          </w:p>
        </w:tc>
        <w:tc>
          <w:tcPr>
            <w:tcW w:w="1280" w:type="dxa"/>
          </w:tcPr>
          <w:p w14:paraId="5E55AF18">
            <w:r>
              <w:rPr>
                <w:b/>
              </w:rPr>
              <w:t>再生水能力</w:t>
            </w:r>
          </w:p>
        </w:tc>
        <w:tc>
          <w:tcPr>
            <w:tcW w:w="1280" w:type="dxa"/>
          </w:tcPr>
          <w:p w14:paraId="0DE2FA4E">
            <w:r>
              <w:rPr>
                <w:b/>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0018473D">
            <w:r>
              <w:t>S0 均衡基准型</w:t>
            </w:r>
          </w:p>
        </w:tc>
        <w:tc>
          <w:tcPr>
            <w:tcW w:w="1280" w:type="dxa"/>
          </w:tcPr>
          <w:p w14:paraId="72AE942B">
            <w:r>
              <w:t>中</w:t>
            </w:r>
          </w:p>
        </w:tc>
        <w:tc>
          <w:tcPr>
            <w:tcW w:w="1280" w:type="dxa"/>
          </w:tcPr>
          <w:p w14:paraId="351CD1F9">
            <w:r>
              <w:t>中</w:t>
            </w:r>
          </w:p>
        </w:tc>
        <w:tc>
          <w:tcPr>
            <w:tcW w:w="1280" w:type="dxa"/>
          </w:tcPr>
          <w:p w14:paraId="2B79253C">
            <w:r>
              <w:t>中</w:t>
            </w:r>
          </w:p>
        </w:tc>
        <w:tc>
          <w:tcPr>
            <w:tcW w:w="1280" w:type="dxa"/>
          </w:tcPr>
          <w:p w14:paraId="2A3DA7D8">
            <w:r>
              <w:t>中</w:t>
            </w:r>
          </w:p>
        </w:tc>
        <w:tc>
          <w:tcPr>
            <w:tcW w:w="1280" w:type="dxa"/>
          </w:tcPr>
          <w:p w14:paraId="0CFFD6B6">
            <w: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0120AE10">
            <w:r>
              <w:t>S1 水源充足—给水处理受限</w:t>
            </w:r>
          </w:p>
        </w:tc>
        <w:tc>
          <w:tcPr>
            <w:tcW w:w="1280" w:type="dxa"/>
          </w:tcPr>
          <w:p w14:paraId="050E6935">
            <w:r>
              <w:t>高</w:t>
            </w:r>
          </w:p>
        </w:tc>
        <w:tc>
          <w:tcPr>
            <w:tcW w:w="1280" w:type="dxa"/>
          </w:tcPr>
          <w:p w14:paraId="60379ACF">
            <w:r>
              <w:t>低</w:t>
            </w:r>
          </w:p>
        </w:tc>
        <w:tc>
          <w:tcPr>
            <w:tcW w:w="1280" w:type="dxa"/>
          </w:tcPr>
          <w:p w14:paraId="0C3D4A93">
            <w:r>
              <w:t>中</w:t>
            </w:r>
          </w:p>
        </w:tc>
        <w:tc>
          <w:tcPr>
            <w:tcW w:w="1280" w:type="dxa"/>
          </w:tcPr>
          <w:p w14:paraId="6FCEC8F1">
            <w:r>
              <w:t>中</w:t>
            </w:r>
          </w:p>
        </w:tc>
        <w:tc>
          <w:tcPr>
            <w:tcW w:w="1280" w:type="dxa"/>
          </w:tcPr>
          <w:p w14:paraId="3A751E7E">
            <w: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2A08DBE9">
            <w:r>
              <w:t>S2 淡水受限—再生水较强</w:t>
            </w:r>
          </w:p>
        </w:tc>
        <w:tc>
          <w:tcPr>
            <w:tcW w:w="1280" w:type="dxa"/>
          </w:tcPr>
          <w:p w14:paraId="2CABFD42">
            <w:r>
              <w:t>低</w:t>
            </w:r>
          </w:p>
        </w:tc>
        <w:tc>
          <w:tcPr>
            <w:tcW w:w="1280" w:type="dxa"/>
          </w:tcPr>
          <w:p w14:paraId="2DD79D9D">
            <w:r>
              <w:t>中</w:t>
            </w:r>
          </w:p>
        </w:tc>
        <w:tc>
          <w:tcPr>
            <w:tcW w:w="1280" w:type="dxa"/>
          </w:tcPr>
          <w:p w14:paraId="6FDA7F9D">
            <w:r>
              <w:t>高</w:t>
            </w:r>
          </w:p>
        </w:tc>
        <w:tc>
          <w:tcPr>
            <w:tcW w:w="1280" w:type="dxa"/>
          </w:tcPr>
          <w:p w14:paraId="407837E1">
            <w:r>
              <w:t>高</w:t>
            </w:r>
          </w:p>
        </w:tc>
        <w:tc>
          <w:tcPr>
            <w:tcW w:w="1280" w:type="dxa"/>
          </w:tcPr>
          <w:p w14:paraId="4321F78F">
            <w: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600" w:type="dxa"/>
          </w:tcPr>
          <w:p w14:paraId="3DD4026F">
            <w:r>
              <w:t>S3 总量充足—局部输配受限</w:t>
            </w:r>
          </w:p>
        </w:tc>
        <w:tc>
          <w:tcPr>
            <w:tcW w:w="1280" w:type="dxa"/>
          </w:tcPr>
          <w:p w14:paraId="784ABDBC">
            <w:r>
              <w:t>高</w:t>
            </w:r>
          </w:p>
        </w:tc>
        <w:tc>
          <w:tcPr>
            <w:tcW w:w="1280" w:type="dxa"/>
          </w:tcPr>
          <w:p w14:paraId="226B1517">
            <w:r>
              <w:t>高</w:t>
            </w:r>
          </w:p>
        </w:tc>
        <w:tc>
          <w:tcPr>
            <w:tcW w:w="1280" w:type="dxa"/>
          </w:tcPr>
          <w:p w14:paraId="62AAD06B">
            <w:r>
              <w:t>高</w:t>
            </w:r>
          </w:p>
        </w:tc>
        <w:tc>
          <w:tcPr>
            <w:tcW w:w="1280" w:type="dxa"/>
          </w:tcPr>
          <w:p w14:paraId="4CD60F0B">
            <w:r>
              <w:t>高</w:t>
            </w:r>
          </w:p>
        </w:tc>
        <w:tc>
          <w:tcPr>
            <w:tcW w:w="1280" w:type="dxa"/>
          </w:tcPr>
          <w:p w14:paraId="4000D070">
            <w:r>
              <w:t>低</w:t>
            </w:r>
          </w:p>
        </w:tc>
      </w:tr>
    </w:tbl>
    <w:p w14:paraId="740AA55E">
      <w:r>
        <w:t>表3-5 外部压力情景（G 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709BC1AD">
            <w:r>
              <w:rPr>
                <w:b/>
              </w:rPr>
              <w:t>情景</w:t>
            </w:r>
          </w:p>
        </w:tc>
        <w:tc>
          <w:tcPr>
            <w:tcW w:w="2200" w:type="dxa"/>
          </w:tcPr>
          <w:p w14:paraId="740EED2C">
            <w:r>
              <w:rPr>
                <w:b/>
              </w:rPr>
              <w:t>温度</w:t>
            </w:r>
          </w:p>
        </w:tc>
        <w:tc>
          <w:tcPr>
            <w:tcW w:w="2200" w:type="dxa"/>
          </w:tcPr>
          <w:p w14:paraId="1E1ED919">
            <w:r>
              <w:rPr>
                <w:b/>
              </w:rPr>
              <w:t>水源可供量</w:t>
            </w:r>
          </w:p>
        </w:tc>
        <w:tc>
          <w:tcPr>
            <w:tcW w:w="2200" w:type="dxa"/>
          </w:tcPr>
          <w:p w14:paraId="72C6E523">
            <w:r>
              <w:rPr>
                <w:b/>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7C6F460D">
            <w:r>
              <w:t>G0 常规</w:t>
            </w:r>
          </w:p>
        </w:tc>
        <w:tc>
          <w:tcPr>
            <w:tcW w:w="2200" w:type="dxa"/>
          </w:tcPr>
          <w:p w14:paraId="75B44C85">
            <w:r>
              <w:t>常规</w:t>
            </w:r>
          </w:p>
        </w:tc>
        <w:tc>
          <w:tcPr>
            <w:tcW w:w="2200" w:type="dxa"/>
          </w:tcPr>
          <w:p w14:paraId="1F0B5486">
            <w:r>
              <w:t>正常</w:t>
            </w:r>
          </w:p>
        </w:tc>
        <w:tc>
          <w:tcPr>
            <w:tcW w:w="2200" w:type="dxa"/>
          </w:tcPr>
          <w:p w14:paraId="249447D0">
            <w: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2759B933">
            <w:r>
              <w:t>G1 高温</w:t>
            </w:r>
          </w:p>
        </w:tc>
        <w:tc>
          <w:tcPr>
            <w:tcW w:w="2200" w:type="dxa"/>
          </w:tcPr>
          <w:p w14:paraId="2A7D9FE6">
            <w:r>
              <w:t>高</w:t>
            </w:r>
          </w:p>
        </w:tc>
        <w:tc>
          <w:tcPr>
            <w:tcW w:w="2200" w:type="dxa"/>
          </w:tcPr>
          <w:p w14:paraId="26A0CE77">
            <w:r>
              <w:t>正常</w:t>
            </w:r>
          </w:p>
        </w:tc>
        <w:tc>
          <w:tcPr>
            <w:tcW w:w="2200" w:type="dxa"/>
          </w:tcPr>
          <w:p w14:paraId="683C9340">
            <w: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7A13C76E">
            <w:r>
              <w:t>G2 干旱</w:t>
            </w:r>
          </w:p>
        </w:tc>
        <w:tc>
          <w:tcPr>
            <w:tcW w:w="2200" w:type="dxa"/>
          </w:tcPr>
          <w:p w14:paraId="04216D46">
            <w:r>
              <w:t>常规/偏高</w:t>
            </w:r>
          </w:p>
        </w:tc>
        <w:tc>
          <w:tcPr>
            <w:tcW w:w="2200" w:type="dxa"/>
          </w:tcPr>
          <w:p w14:paraId="3BA8677E">
            <w:r>
              <w:t>折减</w:t>
            </w:r>
          </w:p>
        </w:tc>
        <w:tc>
          <w:tcPr>
            <w:tcW w:w="2200" w:type="dxa"/>
          </w:tcPr>
          <w:p w14:paraId="2D4F290F">
            <w: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Pr>
          <w:p w14:paraId="233A1C1F">
            <w:r>
              <w:t>G3 复合压力</w:t>
            </w:r>
          </w:p>
        </w:tc>
        <w:tc>
          <w:tcPr>
            <w:tcW w:w="2200" w:type="dxa"/>
          </w:tcPr>
          <w:p w14:paraId="5BD32EF9">
            <w:r>
              <w:t>高</w:t>
            </w:r>
          </w:p>
        </w:tc>
        <w:tc>
          <w:tcPr>
            <w:tcW w:w="2200" w:type="dxa"/>
          </w:tcPr>
          <w:p w14:paraId="72F650E4">
            <w:r>
              <w:t>折减</w:t>
            </w:r>
          </w:p>
        </w:tc>
        <w:tc>
          <w:tcPr>
            <w:tcW w:w="2200" w:type="dxa"/>
          </w:tcPr>
          <w:p w14:paraId="31874829">
            <w:r>
              <w:t>峰值</w:t>
            </w:r>
          </w:p>
        </w:tc>
      </w:tr>
    </w:tbl>
    <w:p w14:paraId="56413294">
      <w:pPr>
        <w:pStyle w:val="23"/>
        <w:ind w:firstLine="0" w:firstLineChars="0"/>
        <w:outlineLvl w:val="1"/>
        <w:rPr>
          <w:rFonts w:ascii="Times New Roman" w:hAnsi="Times New Roman"/>
          <w:sz w:val="24"/>
        </w:rPr>
      </w:pPr>
      <w:bookmarkStart w:id="34" w:name="_Toc11885"/>
      <w:r>
        <w:rPr>
          <w:rFonts w:ascii="Times New Roman" w:hAnsi="Times New Roman"/>
          <w:sz w:val="24"/>
        </w:rPr>
        <w:t>3.16 瓶颈识别与干预分析</w:t>
      </w:r>
      <w:bookmarkEnd w:id="34"/>
    </w:p>
    <w:p w14:paraId="30C5AA4B">
      <w:r>
        <w:t>干预比较首先回答“增加某一单位物理能力能够释放多少 AI 承载容量”，而不直接回答投资经济性最优问题。为避免不同设施按百分比扩容缺乏可比性，干预幅度一律采用绝对物理增量（如给水处理能力 +1 万 m³/d）或标准化能力增量表示。实验设计遵循“先找瓶颈、再干预”的顺序，分为三步。</w:t>
      </w:r>
    </w:p>
    <w:p w14:paraId="597AFB64">
      <w:r>
        <w:t>第一步，运行基准情景，得到 CAWCC_0，并按 3.8 的判据确定当前主导瓶颈（例如再生水处理能力）。</w:t>
      </w:r>
    </w:p>
    <w:p w14:paraId="78A05956">
      <w:r>
        <w:t>第二步，仅对当前主导瓶颈实施绝对增量序列（如再生水处理能力 +1、+2、+3 万 m³/d……），每步重新计算 CAWCC，得到物理边际收益：</w:t>
      </w:r>
    </w:p>
    <w:p w14:paraId="5C5743DF">
      <w:r>
        <w:t>MR_i = ΔCAWCC / ΔK_i</w:t>
      </w:r>
    </w:p>
    <w:p w14:paraId="5A5AEA50">
      <w:r>
        <w:t>其中 ΔK_i 为第 i 类设施的绝对能力增量。干预分为两类：A 类为连续设施能力干预，覆盖给水处理、污水处理、再生水深度处理和再生水输配扩容，可直接计算物理边际收益 MR_i，并进一步报告无量纲弹性 E_i = ( ΔCAWCC / CAWCC ) / ( ΔK_i / K_i )，便于不同设施之间横向比较；B 类为技术情景干预，覆盖湿式—干式—混合冷却替换、空气冷却、direct-to-chip、浸没式液冷、储水配置及负荷削峰等离散技术选项，直接报告 ΔCAWCC 与相对变化 ΔCAWCC / CAWCC_0，不与 A 类放入同一边际收益排名。两类干预每次原则上只改变一个目标条件；技术情景不与全部系统参数完全交叉组合，以控制实验规模。</w:t>
      </w:r>
    </w:p>
    <w:p w14:paraId="66442B11">
      <w:r>
        <w:t>第三步，观察边际收益变化：当对同一瓶颈继续扩容而 CAWCC 增量趋近于零时，检查各约束归一化剩余裕度 M_j，确认是否出现新约束（例如瓶颈由再生水处理迁移为再生水输配，再迁移为给水接入），由此得到瓶颈迁移路径和各类干预的有效区间。最终形成“城市系统状态—供水分配规则—AI 容量—主导瓶颈—有效干预”的条件对应关系，而不是“再生水扩容优于给水扩容”一类无条件排序。</w:t>
      </w:r>
    </w:p>
    <w:p w14:paraId="224EDDF0">
      <w:r>
        <w:t>为直接回答“扩给水还是扩再生水”，在两个典型城市状态下增加二维干预实验。考虑到再生水处理能力与再生水输配能力可能各自成为瓶颈，不将二者合并为单一纵轴，而分别构造两张响应面：响应面 A 以给水处理能力增量为横轴、再生水处理能力增量为纵轴；响应面 B 以给水处理能力增量为横轴、再生水输配能力增量为纵轴，逐格计算 CAWCC。响应面可直观区分三类区域：给水方向扩容有效而另一方向收益趋近于零，说明当前系统主要受给水约束；另一方向扩容有效而给水方向收益低，说明当前系统主要受淡水或再生水约束；两个方向继续扩容而 CAWCC 不再明显增加，说明瓶颈已迁移至第三环节。</w:t>
      </w:r>
    </w:p>
    <w:p w14:paraId="0721DFB2">
      <w:r>
        <w:t>若后续能够获得可靠的设施扩容成本数据，可进一步定义 ΔCAWCC / ΔCost_i，用以比较单位投资释放的 AI 承载容量。经济成本比较属于扩展分析，不作为核心论文成立的必要前提，以避免课题从水系统机制研究扩张为基础设施经济优化。</w:t>
      </w:r>
    </w:p>
    <w:p w14:paraId="0CD69868">
      <w:pPr>
        <w:pStyle w:val="23"/>
        <w:ind w:firstLine="0" w:firstLineChars="0"/>
        <w:outlineLvl w:val="1"/>
        <w:rPr>
          <w:rFonts w:ascii="Times New Roman" w:hAnsi="Times New Roman"/>
          <w:sz w:val="24"/>
        </w:rPr>
      </w:pPr>
    </w:p>
    <w:p w14:paraId="452A3B36">
      <w:pPr>
        <w:pStyle w:val="22"/>
        <w:pageBreakBefore/>
        <w:ind w:firstLine="0" w:firstLineChars="0"/>
        <w:outlineLvl w:val="0"/>
      </w:pPr>
      <w:bookmarkStart w:id="35" w:name="_Toc23871"/>
      <w:r>
        <w:rPr>
          <w:rFonts w:ascii="Times New Roman" w:hAnsi="Times New Roman" w:eastAsia="黑体" w:cs="Times New Roman"/>
          <w:b/>
          <w:color w:val="000000"/>
          <w:sz w:val="30"/>
        </w:rPr>
        <w:t>4 预期达到的目标</w:t>
      </w:r>
      <w:bookmarkEnd w:id="35"/>
    </w:p>
    <w:p w14:paraId="6966E2E1">
      <w:pPr>
        <w:pStyle w:val="23"/>
        <w:pageBreakBefore w:val="0"/>
        <w:ind w:firstLine="0" w:firstLineChars="0"/>
        <w:outlineLvl w:val="1"/>
      </w:pPr>
      <w:bookmarkStart w:id="36" w:name="_Toc17900"/>
      <w:r>
        <w:rPr>
          <w:rFonts w:ascii="Times New Roman" w:hAnsi="Times New Roman" w:eastAsia="黑体" w:cs="Times New Roman"/>
          <w:b/>
          <w:color w:val="000000"/>
          <w:sz w:val="28"/>
        </w:rPr>
        <w:t>4.1 预期科学认识</w:t>
      </w:r>
      <w:bookmarkEnd w:id="36"/>
    </w:p>
    <w:p w14:paraId="45EFBD85">
      <w:pPr>
        <w:spacing w:before="0" w:after="0" w:line="360" w:lineRule="auto"/>
        <w:ind w:firstLine="420"/>
      </w:pPr>
      <w:r>
        <w:rPr>
          <w:rFonts w:ascii="Times New Roman" w:hAnsi="Times New Roman" w:eastAsia="宋体" w:cs="Times New Roman"/>
          <w:b w:val="0"/>
          <w:color w:val="000000"/>
          <w:sz w:val="24"/>
        </w:rPr>
        <w:t>明确AI负荷相对于城市基准水流达到何种相对规模后，系统响应由总量增加转为代谢结构重构。</w:t>
      </w:r>
    </w:p>
    <w:p w14:paraId="45A58175">
      <w:pPr>
        <w:spacing w:before="0" w:after="0" w:line="360" w:lineRule="auto"/>
        <w:ind w:firstLine="420"/>
      </w:pPr>
      <w:r>
        <w:rPr>
          <w:rFonts w:ascii="宋体" w:hAnsi="宋体" w:eastAsia="宋体" w:cs="Times New Roman"/>
          <w:b w:val="0"/>
          <w:color w:val="000000"/>
          <w:sz w:val="24"/>
        </w:rPr>
        <w:t>识别年均、日尺度和极端时段容量边界差异的控制因素，说明峰值重合和设施裕度在不同城市中的作用。</w:t>
      </w:r>
    </w:p>
    <w:p w14:paraId="685A141D">
      <w:pPr>
        <w:spacing w:before="0" w:after="0" w:line="360" w:lineRule="auto"/>
        <w:ind w:firstLine="420"/>
      </w:pPr>
      <w:r>
        <w:rPr>
          <w:rFonts w:ascii="宋体" w:hAnsi="宋体" w:eastAsia="宋体"/>
          <w:sz w:val="24"/>
        </w:rPr>
        <w:t>建立水源，给水，污水，再生水，接入约束的瓶颈转换条件，区分稳健主导区与竞争约束区。</w:t>
      </w:r>
    </w:p>
    <w:p w14:paraId="4B672CCD">
      <w:pPr>
        <w:spacing w:before="0" w:after="0" w:line="360" w:lineRule="auto"/>
        <w:ind w:firstLine="420"/>
      </w:pPr>
      <w:r>
        <w:rPr>
          <w:rFonts w:ascii="宋体" w:hAnsi="宋体" w:eastAsia="宋体" w:cs="Times New Roman"/>
          <w:b w:val="0"/>
          <w:color w:val="000000"/>
          <w:sz w:val="24"/>
        </w:rPr>
        <w:t>解释再生水扩容何时有效、何时受源量或水质等条件限制，并识别节水措施可能造成的能耗、碳排放或成本转移。</w:t>
      </w:r>
    </w:p>
    <w:p w14:paraId="6458820D">
      <w:pPr>
        <w:pStyle w:val="23"/>
        <w:pageBreakBefore w:val="0"/>
        <w:ind w:firstLine="0" w:firstLineChars="0"/>
        <w:outlineLvl w:val="1"/>
      </w:pPr>
      <w:bookmarkStart w:id="37" w:name="_Toc30187"/>
      <w:r>
        <w:rPr>
          <w:rFonts w:ascii="Times New Roman" w:hAnsi="Times New Roman" w:eastAsia="黑体" w:cs="Times New Roman"/>
          <w:b/>
          <w:color w:val="000000"/>
          <w:sz w:val="28"/>
        </w:rPr>
        <w:t>4.2 预期创新</w:t>
      </w:r>
      <w:bookmarkEnd w:id="37"/>
    </w:p>
    <w:p w14:paraId="6410D675">
      <w:r>
        <w:rPr>
          <w:b/>
        </w:rPr>
        <w:t>创新一（研究对象与系统接口）：</w:t>
      </w:r>
      <w:r>
        <w:rPr>
          <w:b w:val="0"/>
        </w:rPr>
        <w:t>将 AI 算力基础设施由独立设施水足迹核算对象转化为城市人工水系统中的显式过程节点，建立“IT 容量—实际负载—热排散—冷却补水—消耗与排污—污水处理—再生水回用”与城市供排水系统之间的水量闭合接口，使 AI 扩张能够在城市水循环整体边界内进行分析。</w:t>
      </w:r>
    </w:p>
    <w:p w14:paraId="00FE25D5">
      <w:r>
        <w:rPr>
          <w:b/>
        </w:rPr>
        <w:t>创新二（时间尺度机制）：</w:t>
      </w:r>
      <w:r>
        <w:rPr>
          <w:b w:val="0"/>
        </w:rPr>
        <w:t>在保持年度总负荷可比的条件下，将 AI 连续运行、气候敏感冷却和传统城市需水峰值纳入同一实验框架，比较年均、日尺度和极端周小时尺度下的条件化承载边界，识别时间聚合导致承载能力高估的条件及其控制因素。</w:t>
      </w:r>
    </w:p>
    <w:p w14:paraId="60CB0DDC">
      <w:r>
        <w:rPr>
          <w:b/>
        </w:rPr>
        <w:t>创新三（条件边界与瓶颈迁移）：</w:t>
      </w:r>
      <w:r>
        <w:rPr>
          <w:b w:val="0"/>
        </w:rPr>
        <w:t>将 AI 水系统承载能力表述为由水源、给水、局部接入、污水、再生水和必要水质条件共同决定的条件化可行边界，并通过约束临界容量和结构化干预实验识别主导瓶颈迁移以及再生水和设施扩容的边际收益转折，为不同城市系统状态下的算力布局与水务协同规划提供机制化解释。</w:t>
      </w:r>
    </w:p>
    <w:p w14:paraId="3979AD1A">
      <w:pPr>
        <w:pStyle w:val="23"/>
        <w:pageBreakBefore w:val="0"/>
        <w:ind w:firstLine="0" w:firstLineChars="0"/>
        <w:outlineLvl w:val="1"/>
      </w:pPr>
      <w:bookmarkStart w:id="38" w:name="_Toc2957"/>
      <w:commentRangeStart w:id="1"/>
      <w:r>
        <w:rPr>
          <w:rFonts w:ascii="Times New Roman" w:hAnsi="Times New Roman" w:eastAsia="黑体" w:cs="Times New Roman"/>
          <w:b/>
          <w:color w:val="000000"/>
          <w:sz w:val="28"/>
        </w:rPr>
        <w:t>4.3 预期成果</w:t>
      </w:r>
      <w:commentRangeEnd w:id="1"/>
      <w:r>
        <w:commentReference w:id="1"/>
      </w:r>
      <w:bookmarkEnd w:id="38"/>
    </w:p>
    <w:p w14:paraId="715FDCEE">
      <w:pPr>
        <w:spacing w:before="0" w:after="0" w:line="360" w:lineRule="auto"/>
        <w:ind w:firstLine="420"/>
      </w:pPr>
      <w:r>
        <w:rPr>
          <w:rFonts w:ascii="Times New Roman" w:hAnsi="Times New Roman" w:eastAsia="宋体" w:cs="Times New Roman"/>
          <w:b w:val="0"/>
          <w:color w:val="000000"/>
          <w:sz w:val="24"/>
        </w:rPr>
        <w:t>形成经过代码验证、工程过程Benchmark、极限行为检验、结构稳健性检验和外部参数域校核的AI-UWM模型及版本化代码。</w:t>
      </w:r>
    </w:p>
    <w:p w14:paraId="6C4C6006">
      <w:pPr>
        <w:spacing w:before="0" w:after="0" w:line="360" w:lineRule="auto"/>
        <w:ind w:firstLine="420"/>
      </w:pPr>
      <w:r>
        <w:rPr>
          <w:rFonts w:ascii="Times New Roman" w:hAnsi="Times New Roman" w:eastAsia="宋体"/>
          <w:sz w:val="24"/>
        </w:rPr>
        <w:t>形成AI容量，代谢结构，分系统峰值压力响应面和适用参数域。</w:t>
      </w:r>
    </w:p>
    <w:p w14:paraId="22500872">
      <w:pPr>
        <w:spacing w:before="0" w:after="0" w:line="360" w:lineRule="auto"/>
        <w:ind w:firstLine="420"/>
      </w:pPr>
      <w:r>
        <w:rPr>
          <w:rFonts w:ascii="Times New Roman" w:hAnsi="Times New Roman" w:eastAsia="宋体" w:cs="Times New Roman"/>
          <w:b w:val="0"/>
          <w:color w:val="000000"/>
          <w:sz w:val="24"/>
        </w:rPr>
        <w:t>形成工程安全与风险条件下的CAWCC边界、边界提前量和瓶颈转换图谱。</w:t>
      </w:r>
    </w:p>
    <w:p w14:paraId="7D55109D">
      <w:pPr>
        <w:spacing w:before="0" w:after="0" w:line="360" w:lineRule="auto"/>
        <w:ind w:firstLine="420"/>
      </w:pPr>
      <w:r>
        <w:rPr>
          <w:rFonts w:ascii="宋体" w:hAnsi="宋体" w:eastAsia="宋体" w:cs="Times New Roman"/>
          <w:b w:val="0"/>
          <w:color w:val="000000"/>
          <w:sz w:val="24"/>
        </w:rPr>
        <w:t>发表围绕模型、时间尺度边界和瓶颈/干预机制的系列论文，提交数据字典、参数证据表和可重复运行脚本。</w:t>
      </w:r>
    </w:p>
    <w:p w14:paraId="3D8CE7FC">
      <w:pPr>
        <w:pStyle w:val="23"/>
        <w:ind w:firstLine="0" w:firstLineChars="0"/>
        <w:outlineLvl w:val="1"/>
      </w:pPr>
      <w:bookmarkStart w:id="39" w:name="_Toc28342"/>
      <w:r>
        <w:rPr>
          <w:rFonts w:ascii="Times New Roman" w:hAnsi="Times New Roman"/>
          <w:sz w:val="24"/>
        </w:rPr>
        <w:t>4.4 成果评价指标</w:t>
      </w:r>
      <w:bookmarkEnd w:id="39"/>
    </w:p>
    <w:p w14:paraId="7434481A">
      <w:pPr>
        <w:spacing w:before="0" w:after="0" w:line="360" w:lineRule="auto"/>
        <w:ind w:firstLine="420"/>
      </w:pPr>
      <w:r>
        <w:rPr>
          <w:rFonts w:ascii="Times New Roman" w:hAnsi="Times New Roman"/>
          <w:sz w:val="24"/>
        </w:rPr>
        <w:t>模型成果以可重复运行和可审计为基本要求：完成水量、水质、储量和内部回用的守恒测试，形成参数证据表、情景配置文件和版本化运行脚本；科学成果至少形成三类可量化输出，即代谢结构重构阈值、年均与峰值CAWCC的边界提前量、以及水源—给水—污水—再生水—水质约束的瓶颈转换条件；应用成果形成不同系统状态下的响应面、适用参数域和干预边界。结论必须在替代参数、替代压力剖面和至少一种结构规则改变后保持方向一致，才作为主要结论。</w:t>
      </w:r>
    </w:p>
    <w:p w14:paraId="069E86D8">
      <w:pPr>
        <w:pStyle w:val="23"/>
        <w:ind w:firstLine="0" w:firstLineChars="0"/>
        <w:outlineLvl w:val="1"/>
      </w:pPr>
      <w:bookmarkStart w:id="40" w:name="_Toc23102"/>
      <w:r>
        <w:rPr>
          <w:rFonts w:ascii="Times New Roman" w:hAnsi="Times New Roman"/>
          <w:sz w:val="24"/>
        </w:rPr>
        <w:t>4.5 学术学位适配与研究贡献</w:t>
      </w:r>
      <w:bookmarkEnd w:id="40"/>
    </w:p>
    <w:p w14:paraId="527EB6BD">
      <w:pPr>
        <w:spacing w:before="0" w:after="0" w:line="360" w:lineRule="auto"/>
        <w:ind w:firstLine="420"/>
      </w:pPr>
      <w:r>
        <w:rPr>
          <w:rFonts w:ascii="Times New Roman" w:hAnsi="Times New Roman"/>
          <w:sz w:val="24"/>
        </w:rPr>
        <w:t>本研究以科学问题、可检验假设和机制解释为主线，符合学术学位对独立开展学术研究的要求。模型并非最终目的，而是统一实验平台；论文贡献集中在AI负荷如何改变人工水系统结构、为何产生时间尺度依赖承载边界以及瓶颈如何迁移三个认识层面。与此同时，CAWCC响应面、参数域和干预边界为算力布局和水务规划提供工程解释，使理论贡献与实践价值保持同一逻辑链。</w:t>
      </w:r>
    </w:p>
    <w:p w14:paraId="783AACDA">
      <w:pPr>
        <w:pStyle w:val="23"/>
        <w:ind w:firstLine="0" w:firstLineChars="0"/>
        <w:outlineLvl w:val="1"/>
      </w:pPr>
      <w:bookmarkStart w:id="41" w:name="_Toc5385"/>
      <w:r>
        <w:rPr>
          <w:rFonts w:ascii="Times New Roman" w:hAnsi="Times New Roman"/>
        </w:rPr>
        <w:t>4.6 主要结论的形成规则</w:t>
      </w:r>
      <w:bookmarkEnd w:id="41"/>
    </w:p>
    <w:p w14:paraId="2075438D">
      <w:pPr>
        <w:spacing w:line="360" w:lineRule="auto"/>
        <w:ind w:firstLine="420"/>
      </w:pPr>
      <w:r>
        <w:rPr>
          <w:rFonts w:ascii="宋体" w:hAnsi="宋体" w:eastAsia="宋体"/>
        </w:rPr>
        <w:t>论文只把经过三道筛选的结果列为主要结论。第一道筛选要求模型通过守恒、边界和过程基准测试；第二道筛选要求结果在重复抽样和至少两种压力剖面下方向一致；第三道筛选要求机制解释能够对应一个可识别的结构指标或约束状态转换。未通过筛选的结果作为敏感性发现或待验证假设单独报告。这样既保留模型探索能力，也避免把特定参数组合的现象夸大为一般规律。</w:t>
      </w:r>
    </w:p>
    <w:p w14:paraId="7ABD6B84">
      <w:r>
        <w:t>主要结论一律以条件化形式表述：在何种城市系统状态与供水分配规则下，何类约束最容易成为主导瓶颈；在该状态下，哪一类设施或技术干预能够最有效地提高 CAWCC；随着系统状态和 AI 容量变化，原有有效干预为何失效并向新的约束环节迁移。论文不以“再生水一定优于给水扩容”或“某类冷却技术一定最好”等无条件排序作为结论，此类判断仅在对应参数域和情景条件下成立。</w:t>
      </w:r>
    </w:p>
    <w:p w14:paraId="5C893B0C">
      <w:pPr>
        <w:pStyle w:val="22"/>
        <w:pageBreakBefore w:val="0"/>
        <w:ind w:firstLine="0" w:firstLineChars="0"/>
        <w:outlineLvl w:val="0"/>
      </w:pPr>
      <w:bookmarkStart w:id="42" w:name="_Toc30513"/>
      <w:r>
        <w:rPr>
          <w:rFonts w:ascii="Times New Roman" w:hAnsi="Times New Roman" w:eastAsia="黑体" w:cs="Times New Roman"/>
          <w:b/>
          <w:color w:val="000000"/>
          <w:sz w:val="30"/>
        </w:rPr>
        <w:t>5 已完成的学术研究工作</w:t>
      </w:r>
      <w:bookmarkEnd w:id="42"/>
    </w:p>
    <w:p w14:paraId="43D9611B">
      <w:pPr>
        <w:spacing w:before="0" w:after="0" w:line="360" w:lineRule="auto"/>
        <w:ind w:firstLine="420"/>
      </w:pPr>
      <w:r>
        <w:rPr>
          <w:rFonts w:ascii="Times New Roman" w:hAnsi="Times New Roman" w:eastAsia="宋体" w:cs="Times New Roman"/>
          <w:b w:val="0"/>
          <w:color w:val="000000"/>
          <w:sz w:val="24"/>
        </w:rPr>
        <w:t>前期已完成城市资源代谢模拟框架的主体结构，形成水源、给水、终端需求、污水处理和再生利用的日尺度计算模块，并建立了情景切换与不确定性分析接口。现有原型已经能够按节点记录外部输入、内部回用、最终排放和储量变化；下一步是在这一可运行骨架上接入AI冷却节点，从而把研究重点放在AI节点引入后的科学响应。</w:t>
      </w:r>
    </w:p>
    <w:p w14:paraId="5BB2288C">
      <w:pPr>
        <w:spacing w:before="0" w:after="0" w:line="360" w:lineRule="auto"/>
        <w:ind w:firstLine="420"/>
      </w:pPr>
      <w:r>
        <w:rPr>
          <w:rFonts w:ascii="宋体" w:hAnsi="宋体" w:eastAsia="宋体"/>
          <w:sz w:val="24"/>
        </w:rPr>
        <w:t>现有研究积累形成三项可直接用于论文工作的基础：一是已将城市水系统表示为节点，路径网络，并区分外部输入、内部回用和最终排放；二是已把服务器侧热捕集与设施侧末端热排散分开，能够在同一框架中比较空气、液冷、干式和湿式方案；三是已建立参数证据分级表，分别记录公开统计、工程文献、企业披露和情景假设，为后续校准和敏感性分析提供可追溯入口。</w:t>
      </w:r>
    </w:p>
    <w:p w14:paraId="0B1A426C">
      <w:pPr>
        <w:pStyle w:val="22"/>
        <w:pageBreakBefore w:val="0"/>
        <w:ind w:firstLine="0" w:firstLineChars="0"/>
        <w:outlineLvl w:val="0"/>
      </w:pPr>
      <w:bookmarkStart w:id="43" w:name="_Toc14609"/>
      <w:r>
        <w:rPr>
          <w:rFonts w:ascii="Times New Roman" w:hAnsi="Times New Roman" w:eastAsia="黑体" w:cs="Times New Roman"/>
          <w:b/>
          <w:color w:val="000000"/>
          <w:sz w:val="30"/>
        </w:rPr>
        <w:t>6 进度安排</w:t>
      </w:r>
      <w:bookmarkEnd w:id="43"/>
    </w:p>
    <w:p w14:paraId="607ECEE0">
      <w:pPr>
        <w:spacing w:before="120" w:after="120" w:line="360" w:lineRule="auto"/>
        <w:ind w:firstLine="420"/>
      </w:pPr>
      <w:r>
        <w:rPr>
          <w:rFonts w:ascii="Times New Roman" w:hAnsi="Times New Roman" w:eastAsia="宋体" w:cs="Times New Roman"/>
          <w:b w:val="0"/>
          <w:color w:val="000000"/>
          <w:sz w:val="24"/>
        </w:rPr>
        <w:t>表6-1 研究阶段、主要工作与阶段产出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429665F4">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阶段</w:t>
            </w:r>
          </w:p>
        </w:tc>
        <w:tc>
          <w:tcPr>
            <w:tcW w:w="2267" w:type="dxa"/>
          </w:tcPr>
          <w:p w14:paraId="4999D5B0">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时间</w:t>
            </w:r>
          </w:p>
        </w:tc>
        <w:tc>
          <w:tcPr>
            <w:tcW w:w="2267" w:type="dxa"/>
          </w:tcPr>
          <w:p w14:paraId="14D57C16">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主要工作</w:t>
            </w:r>
          </w:p>
        </w:tc>
        <w:tc>
          <w:tcPr>
            <w:tcW w:w="2270" w:type="dxa"/>
          </w:tcPr>
          <w:p w14:paraId="28CFA97F">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F17E3E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第一阶段</w:t>
            </w:r>
          </w:p>
        </w:tc>
        <w:tc>
          <w:tcPr>
            <w:tcW w:w="2267" w:type="dxa"/>
          </w:tcPr>
          <w:p w14:paraId="761470BB">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2026.0</w:t>
            </w:r>
            <w:r>
              <w:rPr>
                <w:rFonts w:hint="eastAsia"/>
                <w:sz w:val="21"/>
                <w:lang w:val="en-US" w:eastAsia="zh-CN"/>
              </w:rPr>
              <w:t>6</w:t>
            </w:r>
            <w:r>
              <w:rPr>
                <w:rFonts w:ascii="宋体" w:hAnsi="宋体" w:eastAsia="宋体"/>
                <w:sz w:val="21"/>
              </w:rPr>
              <w:t>，2027.06</w:t>
            </w:r>
          </w:p>
        </w:tc>
        <w:tc>
          <w:tcPr>
            <w:tcW w:w="2267" w:type="dxa"/>
          </w:tcPr>
          <w:p w14:paraId="0347188D">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数据审计、案例筛选、文献综述、最小闭环、单元测试</w:t>
            </w:r>
          </w:p>
        </w:tc>
        <w:tc>
          <w:tcPr>
            <w:tcW w:w="2270" w:type="dxa"/>
          </w:tcPr>
          <w:p w14:paraId="53F4D34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6BEDA3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第二阶段</w:t>
            </w:r>
          </w:p>
        </w:tc>
        <w:tc>
          <w:tcPr>
            <w:tcW w:w="2267" w:type="dxa"/>
          </w:tcPr>
          <w:p w14:paraId="0290DC2B">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2027.07，2028.03</w:t>
            </w:r>
          </w:p>
        </w:tc>
        <w:tc>
          <w:tcPr>
            <w:tcW w:w="2267" w:type="dxa"/>
          </w:tcPr>
          <w:p w14:paraId="785FAECB">
            <w:pPr>
              <w:spacing w:line="276" w:lineRule="auto"/>
            </w:pPr>
            <w:r>
              <w:rPr>
                <w:rFonts w:ascii="宋体" w:hAnsi="宋体" w:eastAsia="宋体"/>
                <w:sz w:val="21"/>
              </w:rPr>
              <w:t>参数化系统输入校核、替代压力剖面检验、参数范围校核和对照实验</w:t>
            </w:r>
          </w:p>
        </w:tc>
        <w:tc>
          <w:tcPr>
            <w:tcW w:w="2270" w:type="dxa"/>
          </w:tcPr>
          <w:p w14:paraId="3B59D12F">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3F023CD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第三阶段</w:t>
            </w:r>
          </w:p>
        </w:tc>
        <w:tc>
          <w:tcPr>
            <w:tcW w:w="2267" w:type="dxa"/>
          </w:tcPr>
          <w:p w14:paraId="3E6EA77E">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2028.04，2028.12</w:t>
            </w:r>
          </w:p>
        </w:tc>
        <w:tc>
          <w:tcPr>
            <w:tcW w:w="2267" w:type="dxa"/>
          </w:tcPr>
          <w:p w14:paraId="2CE8E214">
            <w:pPr>
              <w:keepNext w:val="0"/>
              <w:spacing w:before="40" w:after="40" w:line="276" w:lineRule="auto"/>
              <w:ind w:left="0" w:right="0" w:firstLine="0"/>
              <w:jc w:val="left"/>
              <w:rPr>
                <w:rFonts w:ascii="Times New Roman" w:hAnsi="Times New Roman" w:eastAsia="宋体"/>
              </w:rPr>
            </w:pPr>
            <w:r>
              <w:rPr>
                <w:rFonts w:ascii="宋体" w:hAnsi="宋体" w:eastAsia="宋体"/>
                <w:sz w:val="21"/>
              </w:rPr>
              <w:t>年均，日，小时比较、高温干旱复合压力、CAWCC</w:t>
            </w:r>
          </w:p>
        </w:tc>
        <w:tc>
          <w:tcPr>
            <w:tcW w:w="2270" w:type="dxa"/>
          </w:tcPr>
          <w:p w14:paraId="7A1112ED">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1B628C6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第四阶段</w:t>
            </w:r>
          </w:p>
        </w:tc>
        <w:tc>
          <w:tcPr>
            <w:tcW w:w="2267" w:type="dxa"/>
          </w:tcPr>
          <w:p w14:paraId="42066DAE">
            <w:pPr>
              <w:keepNext w:val="0"/>
              <w:spacing w:before="40" w:after="40" w:line="276" w:lineRule="auto"/>
              <w:ind w:left="0" w:right="0" w:firstLine="0"/>
              <w:jc w:val="left"/>
              <w:rPr>
                <w:rFonts w:ascii="Times New Roman" w:hAnsi="Times New Roman" w:eastAsia="宋体"/>
              </w:rPr>
            </w:pPr>
            <w:r>
              <w:rPr>
                <w:rFonts w:ascii="宋体" w:hAnsi="宋体" w:eastAsia="宋体"/>
                <w:sz w:val="21"/>
              </w:rPr>
              <w:t>2029.01，2029.09</w:t>
            </w:r>
          </w:p>
        </w:tc>
        <w:tc>
          <w:tcPr>
            <w:tcW w:w="2267" w:type="dxa"/>
          </w:tcPr>
          <w:p w14:paraId="7FD01A73">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不确定性、瓶颈转换、再生水和设施干预</w:t>
            </w:r>
          </w:p>
        </w:tc>
        <w:tc>
          <w:tcPr>
            <w:tcW w:w="2270" w:type="dxa"/>
          </w:tcPr>
          <w:p w14:paraId="7DD53A58">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225BB28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第五阶段</w:t>
            </w:r>
          </w:p>
        </w:tc>
        <w:tc>
          <w:tcPr>
            <w:tcW w:w="2267" w:type="dxa"/>
          </w:tcPr>
          <w:p w14:paraId="58F5542F">
            <w:pPr>
              <w:keepNext w:val="0"/>
              <w:spacing w:before="40" w:after="40" w:line="276" w:lineRule="auto"/>
              <w:ind w:left="0" w:right="0" w:firstLine="0"/>
              <w:jc w:val="left"/>
              <w:rPr>
                <w:rFonts w:ascii="Times New Roman" w:hAnsi="Times New Roman" w:eastAsia="宋体"/>
              </w:rPr>
            </w:pPr>
            <w:commentRangeStart w:id="2"/>
            <w:r>
              <w:rPr>
                <w:rFonts w:ascii="宋体" w:hAnsi="宋体" w:eastAsia="宋体"/>
                <w:sz w:val="21"/>
              </w:rPr>
              <w:t>2029.10，2030.06</w:t>
            </w:r>
            <w:commentRangeEnd w:id="2"/>
            <w:r>
              <w:commentReference w:id="2"/>
            </w:r>
          </w:p>
        </w:tc>
        <w:tc>
          <w:tcPr>
            <w:tcW w:w="2267" w:type="dxa"/>
          </w:tcPr>
          <w:p w14:paraId="23C6EEF4">
            <w:pPr>
              <w:keepNext w:val="0"/>
              <w:spacing w:before="40" w:after="40" w:line="276" w:lineRule="auto"/>
              <w:ind w:left="0" w:right="0" w:firstLine="0"/>
              <w:jc w:val="left"/>
              <w:rPr>
                <w:rFonts w:ascii="Times New Roman" w:hAnsi="Times New Roman" w:eastAsia="宋体"/>
              </w:rPr>
            </w:pPr>
            <w:r>
              <w:rPr>
                <w:rFonts w:ascii="宋体" w:hAnsi="宋体" w:eastAsia="宋体"/>
                <w:sz w:val="21"/>
              </w:rPr>
              <w:t>固定容量水，能，碳比较、论文整合、预答辩与送审</w:t>
            </w:r>
          </w:p>
        </w:tc>
        <w:tc>
          <w:tcPr>
            <w:tcW w:w="2270" w:type="dxa"/>
          </w:tcPr>
          <w:p w14:paraId="1E03C4FA">
            <w:pPr>
              <w:keepNext w:val="0"/>
              <w:spacing w:before="40" w:after="40" w:line="276" w:lineRule="auto"/>
              <w:ind w:left="0" w:right="0" w:firstLine="0"/>
              <w:jc w:val="left"/>
              <w:rPr>
                <w:rFonts w:ascii="Times New Roman" w:hAnsi="Times New Roman" w:eastAsia="宋体"/>
              </w:rPr>
            </w:pPr>
            <w:r>
              <w:rPr>
                <w:rFonts w:hint="eastAsia" w:ascii="宋体" w:hAnsi="宋体" w:eastAsia="宋体" w:cs="Times New Roman"/>
                <w:b w:val="0"/>
                <w:color w:val="000000"/>
                <w:sz w:val="21"/>
                <w:lang w:eastAsia="zh-CN"/>
              </w:rPr>
              <w:t>硕士</w:t>
            </w:r>
            <w:r>
              <w:rPr>
                <w:rFonts w:ascii="宋体" w:hAnsi="宋体" w:eastAsia="宋体" w:cs="Times New Roman"/>
                <w:b w:val="0"/>
                <w:color w:val="000000"/>
                <w:sz w:val="21"/>
              </w:rPr>
              <w:t>论文、代码和数据治理文档</w:t>
            </w:r>
          </w:p>
        </w:tc>
      </w:tr>
    </w:tbl>
    <w:p w14:paraId="06127B58">
      <w:pPr>
        <w:pStyle w:val="23"/>
        <w:ind w:firstLine="0" w:firstLineChars="0"/>
        <w:outlineLvl w:val="1"/>
      </w:pPr>
      <w:bookmarkStart w:id="44" w:name="_Toc6803"/>
      <w:r>
        <w:rPr>
          <w:rFonts w:ascii="Times New Roman" w:hAnsi="Times New Roman"/>
        </w:rPr>
        <w:t>6.1 阶段任务与交付物</w:t>
      </w:r>
      <w:bookmarkEnd w:id="44"/>
    </w:p>
    <w:p w14:paraId="3758409C">
      <w:r>
        <w:t>第一阶段完成文献证据矩阵、参数字典、系统边界、状态变量定义以及最小水量闭合模型，重点完成 AI 冷却节点与城市水系统的接口、单元测试、守恒测试和极限行为检验，形成可重复运行的 AI-UWM 原型及方法研究基础。</w:t>
      </w:r>
    </w:p>
    <w:p w14:paraId="174242C5">
      <w:r>
        <w:t>第二阶段完成参数化系统输入校核、外部城市锚定、AI 容量梯度实验、普通工业对照和主要技术情景比较，重点识别规模响应与代谢结构重构的差异，形成结构指标、重构临界容量及第一阶段科学结果。</w:t>
      </w:r>
    </w:p>
    <w:p w14:paraId="07B7808A">
      <w:r>
        <w:t>第三阶段完成年均、连续日尺度和极端周小时尺度实验，构造高温、干旱、传统需求峰值及其组合压力，系统求解不同条件下的 CAWCC、边界提前量和服务可靠性，形成时间尺度依赖承载边界的核心结果。</w:t>
      </w:r>
    </w:p>
    <w:p w14:paraId="222CB7ED">
      <w:r>
        <w:t>第四阶段完成主要参数不确定性分析、主导瓶颈及共同瓶颈识别，并针对再生水、给水、污水、储存、冷却技术和负荷削峰开展结构化干预实验，形成瓶颈迁移图谱、干预有效区间和边际收益结果。</w:t>
      </w:r>
    </w:p>
    <w:p w14:paraId="23FD5D43">
      <w:r>
        <w:t>第五阶段在核心论文主线稳定的基础上，根据数据和时间条件选择性开展必要的水—能—碳或水质扩展分析，并集中完成论文整合、图表统一、模型版本归档、数据与参数证据整理以及预答辩和送审。拓展分析未完成时，不影响以代谢结构重构、时间尺度 CAWCC 和瓶颈迁移为核心的硕士论文闭环。</w:t>
      </w:r>
    </w:p>
    <w:p w14:paraId="3F5C3547">
      <w:pPr>
        <w:pStyle w:val="22"/>
        <w:pageBreakBefore w:val="0"/>
        <w:ind w:firstLine="0" w:firstLineChars="0"/>
        <w:outlineLvl w:val="0"/>
      </w:pPr>
      <w:bookmarkStart w:id="45" w:name="_Toc8218"/>
      <w:r>
        <w:rPr>
          <w:rFonts w:ascii="Times New Roman" w:hAnsi="Times New Roman" w:eastAsia="黑体" w:cs="Times New Roman"/>
          <w:b/>
          <w:color w:val="000000"/>
          <w:sz w:val="30"/>
        </w:rPr>
        <w:t>7 为完成课题所需的条件</w:t>
      </w:r>
      <w:bookmarkEnd w:id="45"/>
    </w:p>
    <w:p w14:paraId="1C3F9983">
      <w:pPr>
        <w:pStyle w:val="23"/>
        <w:pageBreakBefore w:val="0"/>
        <w:ind w:firstLine="0" w:firstLineChars="0"/>
        <w:outlineLvl w:val="1"/>
      </w:pPr>
      <w:bookmarkStart w:id="46" w:name="_Toc29455"/>
      <w:r>
        <w:rPr>
          <w:rFonts w:ascii="Times New Roman" w:hAnsi="Times New Roman" w:eastAsia="黑体" w:cs="Times New Roman"/>
          <w:b/>
          <w:color w:val="000000"/>
          <w:sz w:val="28"/>
        </w:rPr>
        <w:t>7.1 理论、数据、软件与计算条件</w:t>
      </w:r>
      <w:bookmarkEnd w:id="46"/>
    </w:p>
    <w:p w14:paraId="57D6C175">
      <w:pPr>
        <w:spacing w:before="0" w:after="0" w:line="360" w:lineRule="auto"/>
        <w:ind w:firstLine="420"/>
      </w:pPr>
      <w:r>
        <w:rPr>
          <w:rFonts w:ascii="宋体" w:hAnsi="宋体" w:eastAsia="宋体" w:cs="Times New Roman"/>
          <w:b w:val="0"/>
          <w:color w:val="000000"/>
          <w:sz w:val="24"/>
        </w:rPr>
        <w:t>理论可行性：城市代谢、综合水系统、数据中心冷却和可靠性评价已有成熟理论接口，本研究的增量在于耦合和机制解释。</w:t>
      </w:r>
    </w:p>
    <w:p w14:paraId="7B04E49A">
      <w:pPr>
        <w:spacing w:before="0" w:after="0" w:line="360" w:lineRule="auto"/>
        <w:ind w:firstLine="420"/>
      </w:pPr>
      <w:r>
        <w:rPr>
          <w:rFonts w:ascii="Times New Roman" w:hAnsi="Times New Roman" w:eastAsia="宋体" w:cs="Times New Roman"/>
          <w:b w:val="0"/>
          <w:color w:val="000000"/>
          <w:sz w:val="24"/>
        </w:rPr>
        <w:t>数据可行性：核心城市水务和气象数据可由公开统计与管理资料支撑；商业敏感数据采取工程Benchmark、区间参数和条件剖面替代。</w:t>
      </w:r>
    </w:p>
    <w:p w14:paraId="01F32231">
      <w:pPr>
        <w:spacing w:before="0" w:after="0" w:line="360" w:lineRule="auto"/>
        <w:ind w:firstLine="420"/>
      </w:pPr>
      <w:r>
        <w:rPr>
          <w:rFonts w:ascii="宋体" w:hAnsi="宋体" w:eastAsia="宋体" w:cs="Times New Roman"/>
          <w:b w:val="0"/>
          <w:color w:val="000000"/>
          <w:sz w:val="24"/>
        </w:rPr>
        <w:t>计算可行性：模型按模块开发，优先在边界附近计算；高维敏感性分析只对证据充分的变量实施。</w:t>
      </w:r>
    </w:p>
    <w:p w14:paraId="4CB28AC8">
      <w:pPr>
        <w:spacing w:before="0" w:after="0" w:line="360" w:lineRule="auto"/>
        <w:ind w:firstLine="420"/>
      </w:pPr>
      <w:r>
        <w:rPr>
          <w:rFonts w:ascii="宋体" w:hAnsi="宋体" w:eastAsia="宋体"/>
          <w:sz w:val="24"/>
        </w:rPr>
        <w:t>论文可行性：模型建立、代谢响应、承载边界、瓶颈与干预四部分具有相对独立的研究问题，可形成连续论文产出。</w:t>
      </w:r>
    </w:p>
    <w:p w14:paraId="7348F27D">
      <w:pPr>
        <w:spacing w:before="0" w:after="0" w:line="360" w:lineRule="auto"/>
        <w:ind w:firstLine="420"/>
      </w:pPr>
      <w:r>
        <w:rPr>
          <w:rFonts w:ascii="宋体" w:hAnsi="宋体" w:eastAsia="宋体"/>
          <w:sz w:val="24"/>
        </w:rPr>
        <w:t>模型实施重点包括证据更新、典型参数组合生成、压力剖面构造、重复采样、版本化复现和结果审计。</w:t>
      </w:r>
    </w:p>
    <w:p w14:paraId="50537E59">
      <w:pPr>
        <w:spacing w:line="360" w:lineRule="auto"/>
        <w:ind w:firstLine="420"/>
      </w:pPr>
      <w:r>
        <w:rPr>
          <w:rFonts w:ascii="Times New Roman" w:hAnsi="Times New Roman"/>
        </w:rPr>
        <w:t>研究所需数据主要由公开统计年鉴、国家和行业标准、工程文献、公开气候序列以及可获得的城市水务资料组成。模型采用Python或同类科学计算环境实现，使用版本控制记录配置文件、随机种子、运行日志和输出图表；参数扫描采用可并行的批处理方式，结果保存为结构化表格和可追溯图形。计算条件以普通工作站即可完成基准实验，极端情景和不确定性采样再根据样本量启用并行计算。</w:t>
      </w:r>
    </w:p>
    <w:p w14:paraId="0A8D2CAA">
      <w:pPr>
        <w:pStyle w:val="23"/>
        <w:pageBreakBefore w:val="0"/>
        <w:ind w:firstLine="0" w:firstLineChars="0"/>
        <w:outlineLvl w:val="1"/>
      </w:pPr>
      <w:bookmarkStart w:id="47" w:name="_Toc27266"/>
      <w:r>
        <w:rPr>
          <w:rFonts w:ascii="Times New Roman" w:hAnsi="Times New Roman" w:eastAsia="黑体" w:cs="Times New Roman"/>
          <w:b/>
          <w:color w:val="000000"/>
          <w:sz w:val="28"/>
        </w:rPr>
        <w:t>7.2 研究组织与成果管理</w:t>
      </w:r>
      <w:bookmarkEnd w:id="47"/>
    </w:p>
    <w:p w14:paraId="5CD7E6B5">
      <w:pPr>
        <w:spacing w:before="0" w:after="0" w:line="360" w:lineRule="auto"/>
        <w:ind w:firstLine="420"/>
      </w:pPr>
      <w:r>
        <w:rPr>
          <w:rFonts w:ascii="宋体" w:hAnsi="宋体" w:eastAsia="宋体" w:cs="Times New Roman"/>
          <w:b w:val="0"/>
          <w:color w:val="000000"/>
          <w:sz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22"/>
        <w:pageBreakBefore w:val="0"/>
        <w:ind w:firstLine="0" w:firstLineChars="0"/>
        <w:outlineLvl w:val="0"/>
      </w:pPr>
      <w:bookmarkStart w:id="48" w:name="_Toc8803"/>
      <w:r>
        <w:rPr>
          <w:rFonts w:ascii="Times New Roman" w:hAnsi="Times New Roman" w:eastAsia="黑体" w:cs="Times New Roman"/>
          <w:b/>
          <w:color w:val="000000"/>
          <w:sz w:val="30"/>
        </w:rPr>
        <w:t>8 研究过程中可能遇到的问题及解决措施</w:t>
      </w:r>
      <w:bookmarkEnd w:id="48"/>
    </w:p>
    <w:p w14:paraId="42EC31FE">
      <w:pPr>
        <w:spacing w:before="120" w:after="120" w:line="360" w:lineRule="auto"/>
        <w:ind w:firstLine="420"/>
      </w:pPr>
      <w:r>
        <w:rPr>
          <w:rFonts w:ascii="Times New Roman" w:hAnsi="Times New Roman" w:eastAsia="宋体" w:cs="Times New Roman"/>
          <w:b w:val="0"/>
          <w:color w:val="000000"/>
          <w:sz w:val="24"/>
        </w:rPr>
        <w:t>表8-1 关键难点、研究影响与解决路径</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Pr>
          <w:p w14:paraId="54BCDDEA">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难点</w:t>
            </w:r>
          </w:p>
        </w:tc>
        <w:tc>
          <w:tcPr>
            <w:tcW w:w="3023" w:type="dxa"/>
          </w:tcPr>
          <w:p w14:paraId="20AD0984">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可能后果</w:t>
            </w:r>
          </w:p>
        </w:tc>
        <w:tc>
          <w:tcPr>
            <w:tcW w:w="3025" w:type="dxa"/>
          </w:tcPr>
          <w:p w14:paraId="0E75BAA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color w:val="000000"/>
                <w:sz w:val="2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5B633C57">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AI运行数据不足</w:t>
            </w:r>
          </w:p>
        </w:tc>
        <w:tc>
          <w:tcPr>
            <w:tcW w:w="3023" w:type="dxa"/>
          </w:tcPr>
          <w:p w14:paraId="31ED21BC">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难以校准逐小时负荷和水耗</w:t>
            </w:r>
          </w:p>
        </w:tc>
        <w:tc>
          <w:tcPr>
            <w:tcW w:w="3025" w:type="dxa"/>
          </w:tcPr>
          <w:p w14:paraId="1E76CBE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采用公开工程参数、文献Benchmark和保留日总量的条件剖面；把不可辨识性单独报告</w:t>
            </w:r>
          </w:p>
        </w:tc>
      </w:tr>
      <w:tr w14:paraId="7585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7ADA1EB5">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水量与水质耦合复杂</w:t>
            </w:r>
          </w:p>
        </w:tc>
        <w:tc>
          <w:tcPr>
            <w:tcW w:w="3023" w:type="dxa"/>
          </w:tcPr>
          <w:p w14:paraId="6C297CEB">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水量余量掩盖水质失效</w:t>
            </w:r>
          </w:p>
        </w:tc>
        <w:tc>
          <w:tcPr>
            <w:tcW w:w="3025" w:type="dxa"/>
          </w:tcPr>
          <w:p w14:paraId="16087762">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追踪TDS、温度和药剂负荷，设置水质独立约束</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372D5FD7">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反馈导致可行域非单调</w:t>
            </w:r>
          </w:p>
        </w:tc>
        <w:tc>
          <w:tcPr>
            <w:tcW w:w="3023" w:type="dxa"/>
          </w:tcPr>
          <w:p w14:paraId="244B3DFE">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只报告最大值会掩盖中间失效</w:t>
            </w:r>
          </w:p>
        </w:tc>
        <w:tc>
          <w:tcPr>
            <w:tcW w:w="3025" w:type="dxa"/>
          </w:tcPr>
          <w:p w14:paraId="11567EA9">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495F9B2D">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城市间可比性不足</w:t>
            </w:r>
          </w:p>
        </w:tc>
        <w:tc>
          <w:tcPr>
            <w:tcW w:w="3023" w:type="dxa"/>
          </w:tcPr>
          <w:p w14:paraId="7718DA51">
            <w:pPr>
              <w:keepNext w:val="0"/>
              <w:spacing w:before="40" w:after="40" w:line="276" w:lineRule="auto"/>
              <w:ind w:left="0" w:right="0" w:firstLine="0"/>
              <w:jc w:val="left"/>
              <w:rPr>
                <w:rFonts w:ascii="Times New Roman" w:hAnsi="Times New Roman" w:eastAsia="宋体"/>
              </w:rPr>
            </w:pPr>
            <w:r>
              <w:rPr>
                <w:rFonts w:ascii="宋体" w:hAnsi="宋体" w:eastAsia="宋体" w:cs="Times New Roman"/>
                <w:b w:val="0"/>
                <w:color w:val="000000"/>
                <w:sz w:val="21"/>
              </w:rPr>
              <w:t>跨城市结论被过度外推</w:t>
            </w:r>
          </w:p>
        </w:tc>
        <w:tc>
          <w:tcPr>
            <w:tcW w:w="3025" w:type="dxa"/>
          </w:tcPr>
          <w:p w14:paraId="200DD65D">
            <w:pPr>
              <w:spacing w:line="276" w:lineRule="auto"/>
            </w:pPr>
            <w:r>
              <w:rPr>
                <w:rFonts w:ascii="宋体" w:hAnsi="宋体" w:eastAsia="宋体"/>
                <w:sz w:val="21"/>
              </w:rPr>
              <w:t>使用无量纲裕度和适用参数域，参数范围校核只承担方向核验</w:t>
            </w:r>
          </w:p>
        </w:tc>
      </w:tr>
    </w:tbl>
    <w:p w14:paraId="4ED0A000">
      <w:pPr>
        <w:spacing w:before="0" w:after="0" w:line="360" w:lineRule="auto"/>
        <w:ind w:firstLine="420"/>
      </w:pPr>
      <w:r>
        <w:rPr>
          <w:rFonts w:ascii="Times New Roman" w:hAnsi="Times New Roman" w:eastAsia="宋体" w:cs="Times New Roman"/>
          <w:b w:val="0"/>
          <w:color w:val="000000"/>
          <w:sz w:val="24"/>
        </w:rPr>
        <w:t>研究结论将分为条件规律与跨城市机制方向两类：前者对应具体城市状态、技术架构和气候情景，后者要求在外部锚点和结构对照中保持方向一致。参数以证据等级和区间表达，城市本地物理水流与异地电力水足迹分账户呈现，AI节点与等年用水量普通工业节点并列比较。规划建议以容量区间、适用域和主导瓶颈呈现，用于支持方案比较和前期论证。</w:t>
      </w:r>
    </w:p>
    <w:p w14:paraId="6B05DAC1">
      <w:pPr>
        <w:pStyle w:val="23"/>
        <w:ind w:firstLine="0" w:firstLineChars="0"/>
        <w:outlineLvl w:val="1"/>
      </w:pPr>
      <w:bookmarkStart w:id="49" w:name="_Toc4740"/>
      <w:r>
        <w:rPr>
          <w:rFonts w:ascii="Times New Roman" w:hAnsi="Times New Roman"/>
          <w:sz w:val="24"/>
        </w:rPr>
        <w:t>8.1 研究边界变化与复杂度控制</w:t>
      </w:r>
      <w:bookmarkEnd w:id="49"/>
    </w:p>
    <w:p w14:paraId="3CF2EC5F">
      <w:pPr>
        <w:spacing w:before="0" w:after="0" w:line="360" w:lineRule="auto"/>
        <w:ind w:firstLine="420"/>
      </w:pPr>
      <w:r>
        <w:rPr>
          <w:rFonts w:ascii="Times New Roman" w:hAnsi="Times New Roman"/>
          <w:sz w:val="24"/>
        </w:rPr>
        <w:t>系统模拟容易在水量、水质、水—能—碳、成本和跨城市比较之间不断扩张。研究采用“核心闭合—边界实验—扩展分析”的顺序，只有在水量闭合、时间尺度边界和瓶颈转换得到稳定结果后，才加入完整水质和综合环境评价。任何扩展模块都必须明确新增输入、输出和验证方式，不能改变核心CAWCC的定义。</w:t>
      </w:r>
    </w:p>
    <w:p w14:paraId="19BE5530">
      <w:pPr>
        <w:pStyle w:val="23"/>
        <w:ind w:firstLine="0" w:firstLineChars="0"/>
        <w:outlineLvl w:val="1"/>
      </w:pPr>
      <w:bookmarkStart w:id="50" w:name="_Toc25480"/>
      <w:r>
        <w:rPr>
          <w:rFonts w:ascii="Times New Roman" w:hAnsi="Times New Roman"/>
          <w:sz w:val="24"/>
        </w:rPr>
        <w:t>8.2 证据等级与外推</w:t>
      </w:r>
      <w:bookmarkEnd w:id="50"/>
    </w:p>
    <w:p w14:paraId="18517CC6">
      <w:pPr>
        <w:spacing w:before="0" w:after="0" w:line="360" w:lineRule="auto"/>
        <w:ind w:firstLine="420"/>
      </w:pPr>
      <w:r>
        <w:rPr>
          <w:rFonts w:ascii="宋体" w:hAnsi="宋体" w:eastAsia="宋体"/>
          <w:sz w:val="24"/>
        </w:rPr>
        <w:t>参数来自标准、工程文献、公开统计和情景设定，证据强度不同。研究为每个参数记录来源、年份、适用工况、上下界和是否参与主要结论；结果分别标记为工程基准支持、参数域条件规律或机制方向性结论。跨状态比较采用无量纲裕度和结构指标，不把抽象系统结果直接等同于任一真实城市容量。</w:t>
      </w:r>
    </w:p>
    <w:p w14:paraId="2C3E4561">
      <w:pPr>
        <w:pStyle w:val="23"/>
        <w:ind w:firstLine="0" w:firstLineChars="0"/>
        <w:outlineLvl w:val="1"/>
      </w:pPr>
      <w:bookmarkStart w:id="51" w:name="_Toc4657"/>
      <w:r>
        <w:rPr>
          <w:rFonts w:ascii="Times New Roman" w:hAnsi="Times New Roman"/>
          <w:sz w:val="24"/>
        </w:rPr>
        <w:t>8.3 结果稳定性判据</w:t>
      </w:r>
      <w:bookmarkEnd w:id="51"/>
    </w:p>
    <w:p w14:paraId="42CECE59">
      <w:pPr>
        <w:spacing w:before="0" w:after="0" w:line="360" w:lineRule="auto"/>
        <w:ind w:firstLine="420"/>
      </w:pPr>
      <w:r>
        <w:rPr>
          <w:rFonts w:ascii="宋体" w:hAnsi="宋体" w:eastAsia="宋体"/>
          <w:sz w:val="24"/>
        </w:rPr>
        <w:t>对核心结论开展三类稳定性检验：改变参数分布和相关结构，改变高温—干旱—需求峰值的时间排列，替换冷却方程和约束优先级。若结论方向在多数扰动下保持一致，则进入主要结论；若只在狭窄参数区间成立，则以适用域和边界条件表述。通过这种判据区分科学机制和特定设定下的偶然结果。</w:t>
      </w:r>
    </w:p>
    <w:p w14:paraId="3B025765">
      <w:pPr>
        <w:pStyle w:val="23"/>
        <w:ind w:firstLine="0" w:firstLineChars="0"/>
        <w:outlineLvl w:val="1"/>
      </w:pPr>
      <w:bookmarkStart w:id="52" w:name="_Toc20294"/>
      <w:r>
        <w:rPr>
          <w:rFonts w:ascii="Times New Roman" w:hAnsi="Times New Roman"/>
        </w:rPr>
        <w:t>8.4 研究质量保证</w:t>
      </w:r>
      <w:bookmarkEnd w:id="52"/>
    </w:p>
    <w:p w14:paraId="29089D4F">
      <w:pPr>
        <w:spacing w:line="360" w:lineRule="auto"/>
        <w:ind w:firstLine="420"/>
      </w:pPr>
      <w:r>
        <w:rPr>
          <w:rFonts w:ascii="宋体" w:hAnsi="宋体" w:eastAsia="宋体"/>
        </w:rPr>
        <w:t>质量保证贯穿模型、数据和写作三个层面。模型层面实行单元测试、守恒测试、回归测试和版本标签；数据层面实行来源登记、单位统一、异常值说明和参数证据等级；写作层面实行研究问题—假设—方法—结果—限制逐项对应，表格和图件均标注输入条件与适用范围。每次修改后重新运行最小基准案例和一个极端案例，确保新增功能没有破坏既有结论。</w:t>
      </w:r>
    </w:p>
    <w:p w14:paraId="0BE3BC36">
      <w:pPr>
        <w:pStyle w:val="22"/>
        <w:pageBreakBefore/>
        <w:ind w:firstLine="0" w:firstLineChars="0"/>
        <w:outlineLvl w:val="0"/>
      </w:pPr>
      <w:bookmarkStart w:id="53" w:name="_Toc29258"/>
      <w:r>
        <w:rPr>
          <w:rFonts w:ascii="Times New Roman" w:hAnsi="Times New Roman" w:eastAsia="黑体" w:cs="Times New Roman"/>
          <w:b/>
          <w:color w:val="000000"/>
          <w:sz w:val="30"/>
        </w:rPr>
        <w:t>9 参考文献</w:t>
      </w:r>
      <w:bookmarkEnd w:id="53"/>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国家数据局.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International Energy Agency. Key Questions on Energy and AI[R]. Paris: IEA, 2026.</w:t>
      </w:r>
    </w:p>
    <w:p w14:paraId="079E8635">
      <w:pPr>
        <w:spacing w:before="0" w:after="0" w:line="240" w:lineRule="auto"/>
        <w:ind w:left="420" w:hanging="420"/>
      </w:pPr>
      <w:r>
        <w:rPr>
          <w:rFonts w:ascii="Times New Roman" w:hAnsi="Times New Roman" w:eastAsia="宋体" w:cs="Times New Roman"/>
          <w:b w:val="0"/>
          <w:color w:val="000000"/>
          <w:sz w:val="24"/>
        </w:rPr>
        <w:t>[3] International Energy Agency. Energy and AI[R]. Paris: IEA, 2025.</w:t>
      </w:r>
    </w:p>
    <w:p w14:paraId="331827A7">
      <w:pPr>
        <w:spacing w:before="0" w:after="0" w:line="240" w:lineRule="auto"/>
        <w:ind w:left="420" w:hanging="420"/>
      </w:pPr>
      <w:r>
        <w:rPr>
          <w:rFonts w:ascii="Times New Roman" w:hAnsi="Times New Roman" w:eastAsia="宋体" w:cs="Times New Roman"/>
          <w:b w:val="0"/>
          <w:color w:val="000000"/>
          <w:sz w:val="24"/>
        </w:rPr>
        <w:t>[4] Shehabi A, Smith S J, Hubbard A, Newkirk A, Lei N, Siddik M A B, et al. 2024 United States Data Center Energy Usage Report[R]. Berkeley: Lawrence Berkeley National Laboratory, 2024. DOI: 10.71468/P1WC7Q.</w:t>
      </w:r>
    </w:p>
    <w:p w14:paraId="6D51A629">
      <w:pPr>
        <w:spacing w:before="0" w:after="0" w:line="240" w:lineRule="auto"/>
        <w:ind w:left="420" w:hanging="420"/>
      </w:pPr>
      <w:r>
        <w:rPr>
          <w:rFonts w:ascii="Times New Roman" w:hAnsi="Times New Roman" w:eastAsia="宋体" w:cs="Times New Roman"/>
          <w:b w:val="0"/>
          <w:color w:val="000000"/>
          <w:sz w:val="24"/>
        </w:rPr>
        <w:t>[5] Masanet E, Shehabi A, Lei N, Smith S, Koomey J. Recalibrating global data center energy-use estimates[J]. Science, 2020, 367(6481): 984-986. DOI: 10.1126/science.aba3758.</w:t>
      </w:r>
    </w:p>
    <w:p w14:paraId="3666576E">
      <w:pPr>
        <w:spacing w:before="0" w:after="0" w:line="240" w:lineRule="auto"/>
        <w:ind w:left="420" w:hanging="420"/>
      </w:pPr>
      <w:r>
        <w:rPr>
          <w:rFonts w:ascii="Times New Roman" w:hAnsi="Times New Roman" w:eastAsia="宋体" w:cs="Times New Roman"/>
          <w:b w:val="0"/>
          <w:color w:val="000000"/>
          <w:sz w:val="24"/>
        </w:rPr>
        <w:t>[6] de Vries A. The growing energy footprint of artificial intelligence[J]. Joule, 2023, 7(10): 2191-2194. DOI: 10.1016/j.joule.2023.09.004.</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Masanet E R.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Xiao T, Fuso Nerini F, Matthews H D, Tavoni M, You F. Environmental impact and net-zero pathways for sustainable artificial intelligence servers in the USA[J]. Nature Sustainability, 2025, 8: 1541-1553. DOI: 10.1038/s41893-025-01681-y.</w:t>
      </w:r>
    </w:p>
    <w:p w14:paraId="2A220B8A">
      <w:pPr>
        <w:spacing w:before="0" w:after="0" w:line="240" w:lineRule="auto"/>
        <w:ind w:left="420" w:hanging="420"/>
      </w:pPr>
      <w:r>
        <w:rPr>
          <w:rFonts w:ascii="Times New Roman" w:hAnsi="Times New Roman" w:eastAsia="宋体" w:cs="Times New Roman"/>
          <w:b w:val="0"/>
          <w:color w:val="000000"/>
          <w:sz w:val="24"/>
        </w:rPr>
        <w:t>[10] Jiang F, Duan C, Chen B. Facility-level energy-driven water footprint and scarcity implications of Chinese data centers: A bottom-up analysis and scenario-based projection[J]. Applied Energy, 2025, 399: 126522. DOI: 10.1016/j.apenergy.2025.126522.</w:t>
      </w:r>
    </w:p>
    <w:p w14:paraId="248272F1">
      <w:pPr>
        <w:spacing w:before="0" w:after="0" w:line="240" w:lineRule="auto"/>
        <w:ind w:left="420" w:hanging="420"/>
      </w:pPr>
      <w:r>
        <w:rPr>
          <w:rFonts w:ascii="Times New Roman" w:hAnsi="Times New Roman" w:eastAsia="宋体" w:cs="Times New Roman"/>
          <w:b w:val="0"/>
          <w:color w:val="000000"/>
          <w:sz w:val="24"/>
        </w:rPr>
        <w:t>[11] 北京市水务局. 北京市水资源公报（2024年度）[R]. 2025. https://swj.beijing.gov.cn/zwgk/szygb/</w:t>
      </w:r>
    </w:p>
    <w:p w14:paraId="1F92EC81">
      <w:pPr>
        <w:spacing w:before="0" w:after="0" w:line="240" w:lineRule="auto"/>
        <w:ind w:left="420" w:hanging="420"/>
      </w:pPr>
      <w:r>
        <w:rPr>
          <w:rFonts w:ascii="Times New Roman" w:hAnsi="Times New Roman" w:eastAsia="宋体" w:cs="Times New Roman"/>
          <w:b w:val="0"/>
          <w:color w:val="000000"/>
          <w:sz w:val="24"/>
        </w:rPr>
        <w:t>[12] 北京市水务局. 2024年北京市水务工作报告[R]. 2024. https://swj.beijing.gov.cn/zwgk/ghjhzj/202405/t20240521_3690638.html</w:t>
      </w:r>
    </w:p>
    <w:p w14:paraId="13B8CDF8">
      <w:pPr>
        <w:spacing w:before="0" w:after="0" w:line="240" w:lineRule="auto"/>
        <w:ind w:left="420" w:hanging="420"/>
      </w:pPr>
      <w:r>
        <w:rPr>
          <w:rFonts w:ascii="Times New Roman" w:hAnsi="Times New Roman" w:eastAsia="宋体" w:cs="Times New Roman"/>
          <w:b w:val="0"/>
          <w:color w:val="000000"/>
          <w:sz w:val="24"/>
        </w:rPr>
        <w:t>[13] 天津水文水资源. 2024年天津市水资源公报[R]. 2025. https://www.tjwater.net.cn/nd.jsp?fromColId=2&amp;id=1063</w:t>
      </w:r>
    </w:p>
    <w:p w14:paraId="480CA44C">
      <w:pPr>
        <w:spacing w:before="0" w:after="0" w:line="240" w:lineRule="auto"/>
        <w:ind w:left="420" w:hanging="420"/>
      </w:pPr>
      <w:r>
        <w:rPr>
          <w:rFonts w:ascii="Times New Roman" w:hAnsi="Times New Roman" w:eastAsia="宋体" w:cs="Times New Roman"/>
          <w:b w:val="0"/>
          <w:color w:val="000000"/>
          <w:sz w:val="24"/>
        </w:rPr>
        <w:t>[14] 贵州省水利厅. 2024年贵州省水资源公报[R]. 2026. https://gzswj.guizhou.gov.cn/swyw/szy/</w:t>
      </w:r>
    </w:p>
    <w:p w14:paraId="4D0D1697">
      <w:pPr>
        <w:spacing w:before="0" w:after="0" w:line="240" w:lineRule="auto"/>
        <w:ind w:left="420" w:hanging="420"/>
      </w:pPr>
      <w:r>
        <w:rPr>
          <w:rFonts w:ascii="Times New Roman" w:hAnsi="Times New Roman" w:eastAsia="宋体" w:cs="Times New Roman"/>
          <w:b w:val="0"/>
          <w:color w:val="000000"/>
          <w:sz w:val="24"/>
        </w:rPr>
        <w:t>[15] 北京市水务局. 本市去年用量达12.77亿立方米：再生水已成稳定的“第二水源”[EB/OL]. 2024. https://swj.beijing.gov.cn/swdt/swyw/202403/t20240325_3600506.html</w:t>
      </w:r>
    </w:p>
    <w:p w14:paraId="02547DF4">
      <w:pPr>
        <w:spacing w:before="0" w:after="0" w:line="240" w:lineRule="auto"/>
        <w:ind w:left="420" w:hanging="420"/>
      </w:pPr>
      <w:r>
        <w:rPr>
          <w:rFonts w:ascii="Times New Roman" w:hAnsi="Times New Roman" w:eastAsia="宋体" w:cs="Times New Roman"/>
          <w:b w:val="0"/>
          <w:color w:val="000000"/>
          <w:sz w:val="24"/>
        </w:rPr>
        <w:t>[16] Wolman A. The metabolism of cities[J]. Scientific American, 1965, 213(3): 178-190. DOI: 10.1038/scientificamerican0965-178.</w:t>
      </w:r>
    </w:p>
    <w:p w14:paraId="116DE03F">
      <w:pPr>
        <w:spacing w:before="0" w:after="0" w:line="240" w:lineRule="auto"/>
        <w:ind w:left="420" w:hanging="420"/>
      </w:pPr>
      <w:r>
        <w:rPr>
          <w:rFonts w:ascii="Times New Roman" w:hAnsi="Times New Roman" w:eastAsia="宋体" w:cs="Times New Roman"/>
          <w:b w:val="0"/>
          <w:color w:val="000000"/>
          <w:sz w:val="24"/>
        </w:rPr>
        <w:t>[17] Kennedy C, Cuddihy J, Engel-Yan J. The changing metabolism of cities[J]. Journal of Industrial Ecology, 2007, 11(2): 43-59. DOI: 10.1162/jie.2007.1107.</w:t>
      </w:r>
    </w:p>
    <w:p w14:paraId="021228AE">
      <w:pPr>
        <w:spacing w:before="0" w:after="0" w:line="240" w:lineRule="auto"/>
        <w:ind w:left="420" w:hanging="420"/>
      </w:pPr>
      <w:r>
        <w:rPr>
          <w:rFonts w:ascii="Times New Roman" w:hAnsi="Times New Roman" w:eastAsia="宋体" w:cs="Times New Roman"/>
          <w:b w:val="0"/>
          <w:color w:val="000000"/>
          <w:sz w:val="24"/>
        </w:rPr>
        <w:t>[18] Kennedy C, Pincetl S, Bunje P. The study of urban metabolism and its applications to urban planning and design[J]. Environmental Pollution, 2011, 159(8-9): 1965-1973. DOI: 10.1016/j.envpol.2010.10.022.</w:t>
      </w:r>
    </w:p>
    <w:p w14:paraId="376A4FEC">
      <w:pPr>
        <w:spacing w:before="0" w:after="0" w:line="240" w:lineRule="auto"/>
        <w:ind w:left="420" w:hanging="420"/>
      </w:pPr>
      <w:r>
        <w:rPr>
          <w:rFonts w:ascii="Times New Roman" w:hAnsi="Times New Roman" w:eastAsia="宋体" w:cs="Times New Roman"/>
          <w:b w:val="0"/>
          <w:color w:val="000000"/>
          <w:sz w:val="24"/>
        </w:rPr>
        <w:t>[19] Castán Broto V, Allen A, Rapoport E. Interdisciplinary perspectives on urban metabolism[J]. Journal of Industrial Ecology, 2012, 16(6): 851-861. DOI: 10.1111/j.1530-9290.2012.00556.x.</w:t>
      </w:r>
    </w:p>
    <w:p w14:paraId="0D51438A">
      <w:pPr>
        <w:spacing w:before="0" w:after="0" w:line="240" w:lineRule="auto"/>
        <w:ind w:left="420" w:hanging="420"/>
      </w:pPr>
      <w:r>
        <w:rPr>
          <w:rFonts w:ascii="Times New Roman" w:hAnsi="Times New Roman" w:eastAsia="宋体" w:cs="Times New Roman"/>
          <w:b w:val="0"/>
          <w:color w:val="000000"/>
          <w:sz w:val="24"/>
        </w:rPr>
        <w:t>[20] Behzadian K, Kapelan Z, Venkatesh G, Brattebø H, Sægrov S. WaterMet²: a tool for integrated analysis of sustainability-based performance of urban water systems[J]. Drinking Water Engineering and Science, 2014, 7: 63-72. DOI: 10.5194/dwes-7-63-2014.</w:t>
      </w:r>
    </w:p>
    <w:p w14:paraId="6B8C3891">
      <w:pPr>
        <w:spacing w:before="0" w:after="0" w:line="240" w:lineRule="auto"/>
        <w:ind w:left="420" w:hanging="420"/>
      </w:pPr>
      <w:r>
        <w:rPr>
          <w:rFonts w:ascii="Times New Roman" w:hAnsi="Times New Roman" w:eastAsia="宋体" w:cs="Times New Roman"/>
          <w:b w:val="0"/>
          <w:color w:val="000000"/>
          <w:sz w:val="24"/>
        </w:rPr>
        <w:t>[21] Behzadian K, Kapelan Z. Modelling metabolism based performance of an urban water system using WaterMet²[J]. Resources, Conservation and Recycling, 2015, 99: 84-99. DOI: 10.1016/j.resconrec.2015.03.015.</w:t>
      </w:r>
    </w:p>
    <w:p w14:paraId="47E48550">
      <w:pPr>
        <w:spacing w:before="0" w:after="0" w:line="240" w:lineRule="auto"/>
        <w:ind w:left="420" w:hanging="420"/>
      </w:pPr>
      <w:r>
        <w:rPr>
          <w:rFonts w:ascii="Times New Roman" w:hAnsi="Times New Roman" w:eastAsia="宋体" w:cs="Times New Roman"/>
          <w:b w:val="0"/>
          <w:color w:val="000000"/>
          <w:sz w:val="24"/>
        </w:rPr>
        <w:t>[22] Urich C, Rauch W. Modelling the urban water cycle as an integrated part of the city: a review[J]. Water Science and Technology, 2014, 70(11): 1857-1872. DOI: 10.2166/wst.2014.363.</w:t>
      </w:r>
    </w:p>
    <w:p w14:paraId="3F270E76">
      <w:pPr>
        <w:spacing w:before="0" w:after="0" w:line="240" w:lineRule="auto"/>
        <w:ind w:left="420" w:hanging="420"/>
      </w:pPr>
      <w:r>
        <w:rPr>
          <w:rFonts w:ascii="Times New Roman" w:hAnsi="Times New Roman" w:eastAsia="宋体" w:cs="Times New Roman"/>
          <w:b w:val="0"/>
          <w:color w:val="000000"/>
          <w:sz w:val="24"/>
        </w:rPr>
        <w:t>[23] Bach P M, Rauch W, Mikkelsen P S, McCarthy D T, Deletic A. A critical review of integrated urban water modelling—Urban drainage and beyond[J]. Environmental Modelling &amp; Software, 2014, 54: 88-107. DOI: 10.1016/j.envsoft.2013.12.018.</w:t>
      </w:r>
    </w:p>
    <w:p w14:paraId="6A3EF402">
      <w:pPr>
        <w:spacing w:before="0" w:after="0" w:line="240" w:lineRule="auto"/>
        <w:ind w:left="420" w:hanging="420"/>
      </w:pPr>
      <w:r>
        <w:rPr>
          <w:rFonts w:ascii="Times New Roman" w:hAnsi="Times New Roman" w:eastAsia="宋体" w:cs="Times New Roman"/>
          <w:b w:val="0"/>
          <w:color w:val="000000"/>
          <w:sz w:val="24"/>
        </w:rPr>
        <w:t>[24] Dobson B, Liu L, Mijic A. Modelling water quantity and quality for integrated water cycle management with the Water Systems Integrated Modelling framework (WSIMOD) software[J]. Geoscientific Model Development, 2024, 17: 4495-4513. DOI: 10.5194/gmd-17-4495-2024.</w:t>
      </w:r>
    </w:p>
    <w:p w14:paraId="48DA998E">
      <w:pPr>
        <w:spacing w:before="0" w:after="0" w:line="240" w:lineRule="auto"/>
        <w:ind w:left="420" w:hanging="420"/>
      </w:pPr>
      <w:r>
        <w:rPr>
          <w:rFonts w:ascii="Times New Roman" w:hAnsi="Times New Roman" w:eastAsia="宋体" w:cs="Times New Roman"/>
          <w:b w:val="0"/>
          <w:color w:val="000000"/>
          <w:sz w:val="24"/>
        </w:rPr>
        <w:t>[25] Nezami N, Zarghami M, Tizghadam M, Abbasi M. A novel hybrid systemic modeling into sustainable dynamic urban water metabolism management: Case study[J]. Sustainable Cities and Society, 2022, 85: 104065. DOI: 10.1016/j.scs.2022.104065.</w:t>
      </w:r>
    </w:p>
    <w:p w14:paraId="7D3E1D9A">
      <w:pPr>
        <w:spacing w:before="0" w:after="0" w:line="240" w:lineRule="auto"/>
        <w:ind w:left="420" w:hanging="420"/>
      </w:pPr>
      <w:r>
        <w:rPr>
          <w:rFonts w:ascii="Times New Roman" w:hAnsi="Times New Roman" w:eastAsia="宋体" w:cs="Times New Roman"/>
          <w:b w:val="0"/>
          <w:color w:val="000000"/>
          <w:sz w:val="24"/>
        </w:rPr>
        <w:t>[26] Emamjomehzadeh O, Kerachian R, Emami-Skardi M J, Momeni M. Combining urban metabolism and reinforcement learning concepts for sustainable water resources management: A nexus approach[J]. Journal of Environmental Management, 2023, 329: 117046. DOI: 10.1016/j.jenvman.2022.117046.</w:t>
      </w:r>
    </w:p>
    <w:p w14:paraId="088C6125">
      <w:pPr>
        <w:spacing w:before="0" w:after="0" w:line="240" w:lineRule="auto"/>
        <w:ind w:left="420" w:hanging="420"/>
      </w:pPr>
      <w:r>
        <w:rPr>
          <w:rFonts w:ascii="Times New Roman" w:hAnsi="Times New Roman" w:eastAsia="宋体" w:cs="Times New Roman"/>
          <w:b w:val="0"/>
          <w:color w:val="000000"/>
          <w:sz w:val="24"/>
        </w:rPr>
        <w:t>[27] House-Peters L A, Chang H. Urban water demand modeling: Review of concepts, methods, and organizing principles[J]. Water Resources Research, 2011, 47(5): W05401. DOI: 10.1029/2010WR009624.</w:t>
      </w:r>
    </w:p>
    <w:p w14:paraId="51442F3A">
      <w:pPr>
        <w:spacing w:before="0" w:after="0" w:line="240" w:lineRule="auto"/>
        <w:ind w:left="420" w:hanging="420"/>
      </w:pPr>
      <w:r>
        <w:rPr>
          <w:rFonts w:ascii="Times New Roman" w:hAnsi="Times New Roman" w:eastAsia="宋体" w:cs="Times New Roman"/>
          <w:b w:val="0"/>
          <w:color w:val="000000"/>
          <w:sz w:val="24"/>
        </w:rPr>
        <w:t>[28] Kenway S J, Lant P A, Priestley A, Daniels P. The connection between water and energy in cities: a review[J]. Water Science and Technology, 2011, 63(9): 1983-1990. DOI: 10.2166/wst.2011.070.</w:t>
      </w:r>
    </w:p>
    <w:p w14:paraId="0FE2A12E">
      <w:pPr>
        <w:spacing w:before="0" w:after="0" w:line="240" w:lineRule="auto"/>
        <w:ind w:left="420" w:hanging="420"/>
      </w:pPr>
      <w:r>
        <w:rPr>
          <w:rFonts w:ascii="Times New Roman" w:hAnsi="Times New Roman" w:eastAsia="宋体" w:cs="Times New Roman"/>
          <w:b w:val="0"/>
          <w:color w:val="000000"/>
          <w:sz w:val="24"/>
        </w:rPr>
        <w:t>[29] Kenway S J, Binks A, Lane J, Lant P A, Lam K L, Simms A. A systemic framework and analysis of urban water energy[J]. Environmental Modelling &amp; Software, 2015, 73: 272-285. DOI: 10.1016/j.envsoft.2015.08.009.</w:t>
      </w:r>
    </w:p>
    <w:p w14:paraId="7A0AA2D6">
      <w:pPr>
        <w:spacing w:before="0" w:after="0" w:line="240" w:lineRule="auto"/>
        <w:ind w:left="420" w:hanging="420"/>
      </w:pPr>
      <w:r>
        <w:rPr>
          <w:rFonts w:ascii="Times New Roman" w:hAnsi="Times New Roman" w:eastAsia="宋体" w:cs="Times New Roman"/>
          <w:b w:val="0"/>
          <w:color w:val="000000"/>
          <w:sz w:val="24"/>
        </w:rPr>
        <w:t>[30] Nair S, George B, Malano H M, Arora M, Nawarathna B. Water–energy–greenhouse gas nexus of urban water systems: Review of concepts, state-of-art and methods[J]. Resources, Conservation and Recycling, 2014, 89: 1-10. DOI: 10.1016/j.resconrec.2014.05.007.</w:t>
      </w:r>
    </w:p>
    <w:p w14:paraId="204C6022">
      <w:pPr>
        <w:spacing w:before="0" w:after="0" w:line="240" w:lineRule="auto"/>
        <w:ind w:left="420" w:hanging="420"/>
      </w:pPr>
      <w:r>
        <w:rPr>
          <w:rFonts w:ascii="Times New Roman" w:hAnsi="Times New Roman" w:eastAsia="宋体" w:cs="Times New Roman"/>
          <w:b w:val="0"/>
          <w:color w:val="000000"/>
          <w:sz w:val="24"/>
        </w:rPr>
        <w:t>[31] Lee M, Keller A A, Chiang P C, Den W, Wang H, Hou C H, et al. Water-energy nexus for urban water systems: A comparative review on energy intensity and environmental impacts in relation to global water risks[J]. Applied Energy, 2017, 205: 589-601. DOI: 10.1016/j.apenergy.2017.08.002.</w:t>
      </w:r>
    </w:p>
    <w:p w14:paraId="223FFE3F">
      <w:pPr>
        <w:spacing w:before="0" w:after="0" w:line="240" w:lineRule="auto"/>
        <w:ind w:left="420" w:hanging="420"/>
      </w:pPr>
      <w:r>
        <w:rPr>
          <w:rFonts w:ascii="Times New Roman" w:hAnsi="Times New Roman" w:eastAsia="宋体" w:cs="Times New Roman"/>
          <w:b w:val="0"/>
          <w:color w:val="000000"/>
          <w:sz w:val="24"/>
        </w:rPr>
        <w:t>[32] Stokes J R, Horvath A. Energy and air emission effects of water supply[J]. Environmental Science &amp; Technology, 2009, 43(8): 2680-2687. DOI: 10.1021/es801802h.</w:t>
      </w:r>
    </w:p>
    <w:p w14:paraId="1B8B3004">
      <w:pPr>
        <w:spacing w:before="0" w:after="0" w:line="240" w:lineRule="auto"/>
        <w:ind w:left="420" w:hanging="420"/>
      </w:pPr>
      <w:r>
        <w:rPr>
          <w:rFonts w:ascii="Times New Roman" w:hAnsi="Times New Roman" w:eastAsia="宋体" w:cs="Times New Roman"/>
          <w:b w:val="0"/>
          <w:color w:val="000000"/>
          <w:sz w:val="24"/>
        </w:rPr>
        <w:t>[33] Alissa H, Nick T, Raniwala A, et al. Using life cycle assessment to drive innovation for sustainable cool clouds[J]. Nature, 2025, 641: 331-338. DOI: 10.1038/s41586-025-08832-3.</w:t>
      </w:r>
    </w:p>
    <w:p w14:paraId="1721DFEE">
      <w:pPr>
        <w:spacing w:before="0" w:after="0" w:line="240" w:lineRule="auto"/>
        <w:ind w:left="420" w:hanging="420"/>
      </w:pPr>
      <w:r>
        <w:rPr>
          <w:rFonts w:ascii="Times New Roman" w:hAnsi="Times New Roman" w:eastAsia="宋体" w:cs="Times New Roman"/>
          <w:b w:val="0"/>
          <w:color w:val="000000"/>
          <w:sz w:val="24"/>
        </w:rPr>
        <w:t>[34] Strubell E, Ganesh A, McCallum A. Energy and policy considerations for deep learning in NLP[C]//Proceedings of the 57th Annual Meeting of the Association for Computational Linguistics. Florence: ACL, 2019: 3645-3650. DOI: 10.18653/v1/P19-1355.</w:t>
      </w:r>
    </w:p>
    <w:p w14:paraId="60F8EE6E">
      <w:pPr>
        <w:spacing w:before="0" w:after="0" w:line="240" w:lineRule="auto"/>
        <w:ind w:left="420" w:hanging="420"/>
      </w:pPr>
      <w:r>
        <w:rPr>
          <w:rFonts w:ascii="Times New Roman" w:hAnsi="Times New Roman" w:eastAsia="宋体" w:cs="Times New Roman"/>
          <w:b w:val="0"/>
          <w:color w:val="000000"/>
          <w:sz w:val="24"/>
        </w:rPr>
        <w:t>[35] Henderson P, Hu J, Romoff J, Brunskill E, Jurafsky D, Pineau J. Towards the systematic reporting of the energy and carbon footprints of machine learning[J]. Journal of Machine Learning Research, 2020, 21(248): 1-43.</w:t>
      </w:r>
    </w:p>
    <w:p w14:paraId="3B863CF5">
      <w:pPr>
        <w:spacing w:before="0" w:after="0" w:line="240" w:lineRule="auto"/>
        <w:ind w:left="420" w:hanging="420"/>
      </w:pPr>
      <w:r>
        <w:rPr>
          <w:rFonts w:ascii="Times New Roman" w:hAnsi="Times New Roman" w:eastAsia="宋体" w:cs="Times New Roman"/>
          <w:b w:val="0"/>
          <w:color w:val="000000"/>
          <w:sz w:val="24"/>
        </w:rPr>
        <w:t>[36] Lannelongue L, Grealey J, Inouye M. Green Algorithms: Quantifying the carbon footprint of computation[J]. Advanced Science, 2021, 8(12): 2100707. DOI: 10.1002/advs.202100707.</w:t>
      </w:r>
    </w:p>
    <w:p w14:paraId="6A44D311">
      <w:pPr>
        <w:spacing w:before="0" w:after="0" w:line="240" w:lineRule="auto"/>
        <w:ind w:left="420" w:hanging="420"/>
      </w:pPr>
      <w:r>
        <w:rPr>
          <w:rFonts w:ascii="Times New Roman" w:hAnsi="Times New Roman" w:eastAsia="宋体" w:cs="Times New Roman"/>
          <w:b w:val="0"/>
          <w:color w:val="000000"/>
          <w:sz w:val="24"/>
        </w:rPr>
        <w:t>[37] Schwartz R, Dodge J, Smith N A, Etzioni O. Green AI[J]. Communications of the ACM, 2020, 63(12): 54-63. DOI: 10.1145/3381831.</w:t>
      </w:r>
    </w:p>
    <w:p w14:paraId="521316E9">
      <w:pPr>
        <w:spacing w:before="0" w:after="0" w:line="240" w:lineRule="auto"/>
        <w:ind w:left="420" w:hanging="420"/>
      </w:pPr>
      <w:r>
        <w:rPr>
          <w:rFonts w:ascii="Times New Roman" w:hAnsi="Times New Roman" w:eastAsia="宋体" w:cs="Times New Roman"/>
          <w:b w:val="0"/>
          <w:color w:val="000000"/>
          <w:sz w:val="24"/>
        </w:rPr>
        <w:t>[38] Patterson D, Gonzalez J, Hölzle U, Le Q, Liang C, Munguia L M, et al. The carbon footprint of machine learning training will plateau, then shrink[J]. Computer, 2022, 55(7): 18-28. DOI: 10.1109/MC.2022.3148714.</w:t>
      </w:r>
    </w:p>
    <w:p w14:paraId="493021B9">
      <w:pPr>
        <w:spacing w:before="0" w:after="0" w:line="240" w:lineRule="auto"/>
        <w:ind w:left="420" w:hanging="420"/>
      </w:pPr>
      <w:r>
        <w:rPr>
          <w:rFonts w:ascii="Times New Roman" w:hAnsi="Times New Roman" w:eastAsia="宋体" w:cs="Times New Roman"/>
          <w:b w:val="0"/>
          <w:color w:val="000000"/>
          <w:sz w:val="24"/>
        </w:rPr>
        <w:t>[39] Luccioni A S, Viguier S, Ligozat A L. Estimating the carbon footprint of BLOOM, a 176B parameter language model[J]. Journal of Machine Learning Research, 2023, 24(253): 1-15.</w:t>
      </w:r>
    </w:p>
    <w:p w14:paraId="762A545D">
      <w:pPr>
        <w:spacing w:before="0" w:after="0" w:line="240" w:lineRule="auto"/>
        <w:ind w:left="420" w:hanging="420"/>
      </w:pPr>
      <w:r>
        <w:rPr>
          <w:rFonts w:ascii="Times New Roman" w:hAnsi="Times New Roman" w:eastAsia="宋体" w:cs="Times New Roman"/>
          <w:b w:val="0"/>
          <w:color w:val="000000"/>
          <w:sz w:val="24"/>
        </w:rPr>
        <w:t>[40] Luccioni A S, Jernite Y, Strubell E. Power hungry processing: Watts driving the cost of AI deployment?[C]//Proceedings of the 2024 ACM Conference on Fairness, Accountability, and Transparency. New York: ACM, 2024: 85-99. DOI: 10.1145/3630106.3658542.</w:t>
      </w:r>
    </w:p>
    <w:p w14:paraId="3CD32609">
      <w:pPr>
        <w:spacing w:before="0" w:after="0" w:line="240" w:lineRule="auto"/>
        <w:ind w:left="420" w:hanging="420"/>
      </w:pPr>
      <w:r>
        <w:rPr>
          <w:rFonts w:ascii="Times New Roman" w:hAnsi="Times New Roman" w:eastAsia="宋体" w:cs="Times New Roman"/>
          <w:b w:val="0"/>
          <w:color w:val="000000"/>
          <w:sz w:val="24"/>
        </w:rPr>
        <w:t>[41] Wang P, Zhang L Y, Tzachor A, Chen W Q. E-waste challenges of generative artificial intelligence[J]. Nature Computational Science, 2024, 4: 818-823. DOI: 10.1038/s43588-024-00712-6.</w:t>
      </w:r>
    </w:p>
    <w:p w14:paraId="423BF03C">
      <w:pPr>
        <w:spacing w:before="0" w:after="0" w:line="240" w:lineRule="auto"/>
        <w:ind w:left="420" w:hanging="420"/>
      </w:pPr>
      <w:r>
        <w:rPr>
          <w:rFonts w:ascii="Times New Roman" w:hAnsi="Times New Roman" w:eastAsia="宋体" w:cs="Times New Roman"/>
          <w:b w:val="0"/>
          <w:color w:val="000000"/>
          <w:sz w:val="24"/>
        </w:rPr>
        <w:t>[42] Li P, Yang J, Islam M A, Ren S. Making AI Less “Thirsty”: Uncovering and addressing the secret water footprint of AI models[J]. Communications of the ACM, 2025, 68(7): 54-61. DOI: 10.1145/3724499.</w:t>
      </w:r>
    </w:p>
    <w:p w14:paraId="0CF24410">
      <w:pPr>
        <w:spacing w:before="0" w:after="0" w:line="240" w:lineRule="auto"/>
        <w:ind w:left="420" w:hanging="420"/>
      </w:pPr>
      <w:r>
        <w:rPr>
          <w:rFonts w:ascii="Times New Roman" w:hAnsi="Times New Roman" w:eastAsia="宋体" w:cs="Times New Roman"/>
          <w:b w:val="0"/>
          <w:color w:val="000000"/>
          <w:sz w:val="24"/>
        </w:rPr>
        <w:t>[43] Herrera M, Xie X, Menapace A, Zanfei A, Brentan B M. Sustainable AI infrastructure: A scenario-based forecast of water footprint under uncertainty[J]. Journal of Cleaner Production, 2025, 526: 146528. DOI: 10.1016/j.jclepro.2025.146528.</w:t>
      </w:r>
    </w:p>
    <w:p w14:paraId="04F3AA22">
      <w:pPr>
        <w:spacing w:before="0" w:after="0" w:line="240" w:lineRule="auto"/>
        <w:ind w:left="420" w:hanging="420"/>
      </w:pPr>
      <w:r>
        <w:rPr>
          <w:rFonts w:ascii="Times New Roman" w:hAnsi="Times New Roman" w:eastAsia="宋体" w:cs="Times New Roman"/>
          <w:b w:val="0"/>
          <w:color w:val="000000"/>
          <w:sz w:val="24"/>
        </w:rPr>
        <w:t>[44] Han Y, Li P, Wierman A, Ren S. Small Bottle, Big Pipe: Quantifying and Addressing the Impact of Data Centers on Public Water Systems[EB/OL]. arXiv:2603.02705, 2026. DOI: 10.48550/arXiv.2603.02705. （预印本）</w:t>
      </w:r>
    </w:p>
    <w:p w14:paraId="68AA9A0B">
      <w:pPr>
        <w:spacing w:before="0" w:after="0" w:line="240" w:lineRule="auto"/>
        <w:ind w:left="420" w:hanging="420"/>
      </w:pPr>
      <w:r>
        <w:rPr>
          <w:rFonts w:ascii="Times New Roman" w:hAnsi="Times New Roman" w:eastAsia="宋体" w:cs="Times New Roman"/>
          <w:b w:val="0"/>
          <w:color w:val="000000"/>
          <w:sz w:val="24"/>
        </w:rPr>
        <w:t>[45] Akinade B A, Amanambu A C, Frame J M, Ren S. AI Data Centers and the Water Use Feedback Loop[EB/OL]. arXiv:2606.21760, 2026. DOI: 10.48550/arXiv.2606.21760. （预印本）</w:t>
      </w:r>
    </w:p>
    <w:p w14:paraId="3DFB3676">
      <w:pPr>
        <w:spacing w:before="0" w:after="0" w:line="240" w:lineRule="auto"/>
        <w:ind w:left="420" w:hanging="420"/>
      </w:pPr>
      <w:r>
        <w:rPr>
          <w:rFonts w:ascii="Times New Roman" w:hAnsi="Times New Roman" w:eastAsia="宋体" w:cs="Times New Roman"/>
          <w:b w:val="0"/>
          <w:color w:val="000000"/>
          <w:sz w:val="24"/>
        </w:rPr>
        <w:t>[46] Wang A, Zhang C, Xu T, Savić D, Jiang J, Xiao P, et al. Global data–water symbiosis reduces AI infrastructure’s carbon and water footprint[J]. Environmental Science and Ecotechnology, 2026, 31: 100702. DOI: 10.1016/j.ese.2026.100702.</w:t>
      </w:r>
    </w:p>
    <w:p w14:paraId="7AAACFC0">
      <w:pPr>
        <w:spacing w:before="0" w:after="0" w:line="240" w:lineRule="auto"/>
        <w:ind w:left="420" w:hanging="420"/>
      </w:pPr>
      <w:r>
        <w:rPr>
          <w:rFonts w:ascii="Times New Roman" w:hAnsi="Times New Roman" w:eastAsia="宋体" w:cs="Times New Roman"/>
          <w:b w:val="0"/>
          <w:color w:val="000000"/>
          <w:sz w:val="24"/>
        </w:rPr>
        <w:t>[47] Ebrahimi K, Jones G F, Fleischer A S. A review of data center cooling technology, operating conditions and the corresponding low-grade waste heat recovery opportunities[J]. Renewable and Sustainable Energy Reviews, 2014, 31: 622-638. DOI: 10.1016/j.rser.2013.12.007.</w:t>
      </w:r>
    </w:p>
    <w:p w14:paraId="024EC905">
      <w:pPr>
        <w:spacing w:before="0" w:after="0" w:line="240" w:lineRule="auto"/>
        <w:ind w:left="420" w:hanging="420"/>
      </w:pPr>
      <w:r>
        <w:rPr>
          <w:rFonts w:ascii="Times New Roman" w:hAnsi="Times New Roman" w:eastAsia="宋体" w:cs="Times New Roman"/>
          <w:b w:val="0"/>
          <w:color w:val="000000"/>
          <w:sz w:val="24"/>
        </w:rPr>
        <w:t>[48] Zhang H, Shao S, Xu H, Zou H, Tian C. Free cooling of data centers: A review[J]. Renewable and Sustainable Energy Reviews, 2014, 35: 171-182. DOI: 10.1016/j.rser.2014.04.017.</w:t>
      </w:r>
    </w:p>
    <w:p w14:paraId="2F86C596">
      <w:pPr>
        <w:spacing w:before="0" w:after="0" w:line="240" w:lineRule="auto"/>
        <w:ind w:left="420" w:hanging="420"/>
      </w:pPr>
      <w:r>
        <w:rPr>
          <w:rFonts w:ascii="Times New Roman" w:hAnsi="Times New Roman" w:eastAsia="宋体" w:cs="Times New Roman"/>
          <w:b w:val="0"/>
          <w:color w:val="000000"/>
          <w:sz w:val="24"/>
        </w:rPr>
        <w:t>[49] Daraghmeh H M, Wang C C. A review of current status of free cooling in datacenters[J]. Applied Thermal Engineering, 2017, 114: 1224-1239. DOI: 10.1016/j.applthermaleng.2016.10.093.</w:t>
      </w:r>
    </w:p>
    <w:p w14:paraId="0D45DAF9">
      <w:pPr>
        <w:spacing w:before="0" w:after="0" w:line="240" w:lineRule="auto"/>
        <w:ind w:left="420" w:hanging="420"/>
      </w:pPr>
      <w:r>
        <w:rPr>
          <w:rFonts w:ascii="Times New Roman" w:hAnsi="Times New Roman" w:eastAsia="宋体" w:cs="Times New Roman"/>
          <w:b w:val="0"/>
          <w:color w:val="000000"/>
          <w:sz w:val="24"/>
        </w:rPr>
        <w:t>[50] Yuan X, Zhou X, Pan Y, Kosonen R, Cai H, Gao Y, Wang Y. Phase change cooling in data centers: A review[J]. Energy and Buildings, 2021, 236: 110764. DOI: 10.1016/j.enbuild.2021.110764.</w:t>
      </w:r>
    </w:p>
    <w:p w14:paraId="7B7A559F">
      <w:pPr>
        <w:spacing w:before="0" w:after="0" w:line="240" w:lineRule="auto"/>
        <w:ind w:left="420" w:hanging="420"/>
      </w:pPr>
      <w:r>
        <w:rPr>
          <w:rFonts w:ascii="Times New Roman" w:hAnsi="Times New Roman" w:eastAsia="宋体" w:cs="Times New Roman"/>
          <w:b w:val="0"/>
          <w:color w:val="000000"/>
          <w:sz w:val="24"/>
        </w:rPr>
        <w:t>[51] Zhang Y, Zhao Y, Dai S, Nie B, Ma H, Li J, et al. Cooling technologies for data centres and telecommunication base stations—A comprehensive review[J]. Journal of Cleaner Production, 2022, 334: 130280. DOI: 10.1016/j.jclepro.2021.130280.</w:t>
      </w:r>
    </w:p>
    <w:p w14:paraId="72F714B0">
      <w:pPr>
        <w:spacing w:before="0" w:after="0" w:line="240" w:lineRule="auto"/>
        <w:ind w:left="420" w:hanging="420"/>
      </w:pPr>
      <w:r>
        <w:rPr>
          <w:rFonts w:ascii="Times New Roman" w:hAnsi="Times New Roman" w:eastAsia="宋体" w:cs="Times New Roman"/>
          <w:b w:val="0"/>
          <w:color w:val="000000"/>
          <w:sz w:val="24"/>
        </w:rPr>
        <w:t>[52] Chen H, Li D. Current status and challenges for liquid-cooled data centers[J]. Frontiers in Energy Research, 2022, 10: 952680. DOI: 10.3389/fenrg.2022.952680.</w:t>
      </w:r>
    </w:p>
    <w:p w14:paraId="04DB69E6">
      <w:pPr>
        <w:spacing w:before="0" w:after="0" w:line="240" w:lineRule="auto"/>
        <w:ind w:left="420" w:hanging="420"/>
      </w:pPr>
      <w:r>
        <w:rPr>
          <w:rFonts w:ascii="Times New Roman" w:hAnsi="Times New Roman" w:eastAsia="宋体" w:cs="Times New Roman"/>
          <w:b w:val="0"/>
          <w:color w:val="000000"/>
          <w:sz w:val="24"/>
        </w:rPr>
        <w:t>[53] Hsieh M K, Li H, Chien S H, Monnell J D, Chowdhury I, Dzombak D A, Vidic R D. Corrosion control when using secondary treated municipal wastewater as alternative makeup water for cooling tower systems[J]. Water Environment Research, 2010, 82(12): 2346-2356. DOI: 10.2175/106143010X12681059117094.</w:t>
      </w:r>
    </w:p>
    <w:p w14:paraId="16342FC5">
      <w:pPr>
        <w:spacing w:before="0" w:after="0" w:line="240" w:lineRule="auto"/>
        <w:ind w:left="420" w:hanging="420"/>
      </w:pPr>
      <w:r>
        <w:rPr>
          <w:rFonts w:ascii="Times New Roman" w:hAnsi="Times New Roman" w:eastAsia="宋体" w:cs="Times New Roman"/>
          <w:b w:val="0"/>
          <w:color w:val="000000"/>
          <w:sz w:val="24"/>
        </w:rPr>
        <w:t>[54] Choudhury M R, Hsieh M K, Vidic R D, Dzombak D A. Corrosion management in power plant cooling systems using tertiary-treated municipal wastewater as makeup water[J]. Corrosion Science, 2012, 61: 231-241. DOI: 10.1016/j.corsci.2012.04.042.</w:t>
      </w:r>
    </w:p>
    <w:p w14:paraId="6EE46C6D">
      <w:pPr>
        <w:spacing w:before="0" w:after="0" w:line="240" w:lineRule="auto"/>
        <w:ind w:left="420" w:hanging="420"/>
      </w:pPr>
      <w:r>
        <w:rPr>
          <w:rFonts w:ascii="Times New Roman" w:hAnsi="Times New Roman" w:eastAsia="宋体" w:cs="Times New Roman"/>
          <w:b w:val="0"/>
          <w:color w:val="000000"/>
          <w:sz w:val="24"/>
        </w:rPr>
        <w:t>[55] Liu W, Chien S H, Dzombak D A, Vidic R D. Mineral scaling mitigation in cooling systems using tertiary-treated municipal wastewater[J]. Water Research, 2012, 46(14): 4488-4498. DOI: 10.1016/j.watres.2012.05.041.</w:t>
      </w:r>
    </w:p>
    <w:p w14:paraId="24635C4C">
      <w:pPr>
        <w:spacing w:before="0" w:after="0" w:line="240" w:lineRule="auto"/>
        <w:ind w:left="420" w:hanging="420"/>
      </w:pPr>
      <w:r>
        <w:rPr>
          <w:rFonts w:ascii="Times New Roman" w:hAnsi="Times New Roman" w:eastAsia="宋体" w:cs="Times New Roman"/>
          <w:b w:val="0"/>
          <w:color w:val="000000"/>
          <w:sz w:val="24"/>
        </w:rPr>
        <w:t>[56] Chien S H, Chowdhury I, Hsieh M K, Li H, Dzombak D A, Vidic R D. Control of biological growth in recirculating cooling systems using treated secondary effluent as makeup water with monochloramine[J]. Water Research, 2012, 46(19): 6508-6518. DOI: 10.1016/j.watres.2012.09.027.</w:t>
      </w:r>
    </w:p>
    <w:p w14:paraId="1719EDE2">
      <w:pPr>
        <w:spacing w:before="0" w:after="0" w:line="240" w:lineRule="auto"/>
        <w:ind w:left="420" w:hanging="420"/>
      </w:pPr>
      <w:r>
        <w:rPr>
          <w:rFonts w:ascii="Times New Roman" w:hAnsi="Times New Roman" w:eastAsia="宋体" w:cs="Times New Roman"/>
          <w:b w:val="0"/>
          <w:color w:val="000000"/>
          <w:sz w:val="24"/>
        </w:rPr>
        <w:t>[57] Kornboonraksa T. Using tertiary-treated municipal wastewater as makeup water by reverse osmosis membrane[J]. Desalination and Water Treatment, 2016, 57(16): 7422-7431. DOI: 10.1080/19443994.2015.1024937.</w:t>
      </w:r>
    </w:p>
    <w:p w14:paraId="407BA92F">
      <w:pPr>
        <w:spacing w:before="0" w:after="0" w:line="240" w:lineRule="auto"/>
        <w:ind w:left="420" w:hanging="420"/>
      </w:pPr>
      <w:r>
        <w:rPr>
          <w:rFonts w:ascii="Times New Roman" w:hAnsi="Times New Roman" w:eastAsia="宋体" w:cs="Times New Roman"/>
          <w:b w:val="0"/>
          <w:color w:val="000000"/>
          <w:sz w:val="24"/>
        </w:rPr>
        <w:t>[58] Hashimoto T, Stedinger J R, Loucks D P. Reliability, resiliency, and vulnerability criteria for water resource system performance evaluation[J]. Water Resources Research, 1982, 18(1): 14-20. DOI: 10.1029/WR018i001p00014.</w:t>
      </w:r>
    </w:p>
    <w:p w14:paraId="2CD28000">
      <w:pPr>
        <w:spacing w:before="0" w:after="0" w:line="240" w:lineRule="auto"/>
        <w:ind w:left="420" w:hanging="420"/>
      </w:pPr>
      <w:r>
        <w:rPr>
          <w:rFonts w:ascii="Times New Roman" w:hAnsi="Times New Roman" w:eastAsia="宋体" w:cs="Times New Roman"/>
          <w:b w:val="0"/>
          <w:color w:val="000000"/>
          <w:sz w:val="24"/>
        </w:rPr>
        <w:t>[59] Mortazavi-Naeini M, Kuczera G, Kiem A S, Cui L, Henley B, Berghout B, Turner E. Robust optimization to secure urban bulk water supply against extreme drought and uncertain climate change[J]. Environmental Modelling &amp; Software, 2015, 69: 437-451. DOI: 10.1016/j.envsoft.2015.02.021.</w:t>
      </w:r>
    </w:p>
    <w:p w14:paraId="731EF9AB">
      <w:pPr>
        <w:spacing w:before="0" w:after="0" w:line="240" w:lineRule="auto"/>
        <w:ind w:left="420" w:hanging="420"/>
      </w:pPr>
      <w:r>
        <w:rPr>
          <w:rFonts w:ascii="Times New Roman" w:hAnsi="Times New Roman" w:eastAsia="宋体" w:cs="Times New Roman"/>
          <w:b w:val="0"/>
          <w:color w:val="000000"/>
          <w:sz w:val="24"/>
        </w:rPr>
        <w:t>[60] Lempert R J, Groves D G. Identifying and evaluating robust adaptive policy responses to climate change for water management agencies in the American West[J]. Technological Forecasting and Social Change, 2010, 77(6): 960-974. DOI: 10.1016/j.techfore.2010.04.007.</w:t>
      </w:r>
    </w:p>
    <w:p w14:paraId="59E75948">
      <w:pPr>
        <w:spacing w:before="0" w:after="0" w:line="240" w:lineRule="auto"/>
        <w:ind w:left="420" w:hanging="420"/>
      </w:pPr>
      <w:r>
        <w:rPr>
          <w:rFonts w:ascii="Times New Roman" w:hAnsi="Times New Roman" w:eastAsia="宋体" w:cs="Times New Roman"/>
          <w:b w:val="0"/>
          <w:color w:val="000000"/>
          <w:sz w:val="24"/>
        </w:rPr>
        <w:t>[61] Haasnoot M, Kwakkel J H, Walker W E, ter Maat J. Dynamic adaptive policy pathways: A method for crafting robust decisions for a deeply uncertain world[J]. Global Environmental Change, 2013, 23(2): 485-498. DOI: 10.1016/j.gloenvcha.2012.12.006.</w:t>
      </w:r>
    </w:p>
    <w:p w14:paraId="7A388BC2">
      <w:pPr>
        <w:spacing w:before="0" w:after="0" w:line="240" w:lineRule="auto"/>
        <w:ind w:left="420" w:hanging="420"/>
      </w:pPr>
      <w:r>
        <w:rPr>
          <w:rFonts w:ascii="Times New Roman" w:hAnsi="Times New Roman" w:eastAsia="宋体" w:cs="Times New Roman"/>
          <w:b w:val="0"/>
          <w:color w:val="000000"/>
          <w:sz w:val="24"/>
        </w:rPr>
        <w:t>[62] Kwakkel J H, Haasnoot M, Walker W E. Developing dynamic adaptive policy pathways: A computer-assisted approach for developing adaptive strategies for a deeply uncertain world[J]. Climatic Change, 2015, 132(3): 373-386. DOI: 10.1007/s10584-014-1210-4.</w:t>
      </w:r>
    </w:p>
    <w:p w14:paraId="54F19AF2">
      <w:pPr>
        <w:spacing w:before="0" w:after="0" w:line="240" w:lineRule="auto"/>
        <w:ind w:left="420" w:hanging="420"/>
      </w:pPr>
      <w:r>
        <w:rPr>
          <w:rFonts w:ascii="Times New Roman" w:hAnsi="Times New Roman" w:eastAsia="宋体" w:cs="Times New Roman"/>
          <w:b w:val="0"/>
          <w:color w:val="000000"/>
          <w:sz w:val="24"/>
        </w:rPr>
        <w:t>[63] Sadr S M K, Casal-Campos A, Fu G, Farmani R, Ward S, Butler D. Strategic planning of the integrated urban wastewater system using adaptation pathways[J]. Water Research, 2020, 182: 116013. DOI: 10.1016/j.watres.2020.116013.</w:t>
      </w:r>
    </w:p>
    <w:p w14:paraId="4718391B">
      <w:pPr>
        <w:spacing w:before="0" w:after="0" w:line="240" w:lineRule="auto"/>
        <w:ind w:left="420" w:hanging="420"/>
      </w:pPr>
      <w:r>
        <w:rPr>
          <w:rFonts w:ascii="Times New Roman" w:hAnsi="Times New Roman" w:eastAsia="宋体" w:cs="Times New Roman"/>
          <w:b w:val="0"/>
          <w:color w:val="000000"/>
          <w:sz w:val="24"/>
        </w:rPr>
        <w:t>[64] Deb K, Pratap A, Agarwal S, Meyarivan T. A fast and elitist multiobjective genetic algorithm: NSGA-II[J]. IEEE Transactions on Evolutionary Computation, 2002, 6(2): 182-197. DOI: 10.1109/4235.996017.</w:t>
      </w:r>
    </w:p>
    <w:p w14:paraId="2E78E4D2">
      <w:pPr>
        <w:spacing w:before="0" w:after="0" w:line="240" w:lineRule="auto"/>
        <w:ind w:left="420" w:hanging="420"/>
      </w:pPr>
      <w:r>
        <w:rPr>
          <w:rFonts w:ascii="Times New Roman" w:hAnsi="Times New Roman" w:eastAsia="宋体" w:cs="Times New Roman"/>
          <w:b w:val="0"/>
          <w:color w:val="000000"/>
          <w:sz w:val="24"/>
        </w:rPr>
        <w:t>[65] 段春青, 刘昌明, 陈晓楠, 柳文华, 郑红星. 区域水资源承载力概念及研究方法的探讨[J]. 地理学报, 2010, 65(1): 82-90. DOI: 10.11821/xb201001009.</w:t>
      </w:r>
    </w:p>
    <w:p w14:paraId="15D091A8">
      <w:pPr>
        <w:spacing w:before="0" w:after="0" w:line="240" w:lineRule="auto"/>
        <w:ind w:left="420" w:hanging="420"/>
      </w:pPr>
      <w:r>
        <w:rPr>
          <w:rFonts w:ascii="Times New Roman" w:hAnsi="Times New Roman" w:eastAsia="宋体" w:cs="Times New Roman"/>
          <w:b w:val="0"/>
          <w:color w:val="000000"/>
          <w:sz w:val="24"/>
        </w:rPr>
        <w:t>[66] Qin G, Li H, Wang X, Ding J. Research on water resources design carrying capacity[J]. Water, 2016, 8(4): 157. DOI: 10.3390/w8040157.</w:t>
      </w:r>
    </w:p>
    <w:p w14:paraId="4E3804AA">
      <w:pPr>
        <w:spacing w:before="0" w:after="0" w:line="240" w:lineRule="auto"/>
        <w:ind w:left="420" w:hanging="420"/>
      </w:pPr>
      <w:r>
        <w:rPr>
          <w:rFonts w:ascii="Times New Roman" w:hAnsi="Times New Roman" w:eastAsia="宋体" w:cs="Times New Roman"/>
          <w:b w:val="0"/>
          <w:color w:val="000000"/>
          <w:sz w:val="24"/>
        </w:rPr>
        <w:t>[67] Feng L H, Zhang X C, Luo G Y. Application of system dynamics in analyzing the carrying capacity of water resources in Yiwu City, China[J]. Mathematics and Computers in Simulation, 2008, 79(3): 269-278. DOI: 10.1016/j.matcom.2007.11.018.</w:t>
      </w:r>
    </w:p>
    <w:p w14:paraId="4F167466">
      <w:pPr>
        <w:spacing w:before="0" w:after="0" w:line="240" w:lineRule="auto"/>
        <w:ind w:left="420" w:hanging="420"/>
      </w:pPr>
      <w:r>
        <w:rPr>
          <w:rFonts w:ascii="Times New Roman" w:hAnsi="Times New Roman" w:eastAsia="宋体" w:cs="Times New Roman"/>
          <w:b w:val="0"/>
          <w:color w:val="000000"/>
          <w:sz w:val="24"/>
        </w:rPr>
        <w:t>[68] Wang X J, Zhang J Y, Liu J F, Wang G Q, He R M, Elmahdi A, Elsawah S. Water resources planning and management based on system dynamics: A case study of Yulin city[J]. Environment, Development and Sustainability, 2011, 13(2): 331-351. DOI: 10.1007/s10668-010-9264-6.</w:t>
      </w:r>
    </w:p>
    <w:p w14:paraId="28D91A73">
      <w:pPr>
        <w:spacing w:before="0" w:after="0" w:line="240" w:lineRule="auto"/>
        <w:ind w:left="420" w:hanging="420"/>
      </w:pPr>
      <w:r>
        <w:rPr>
          <w:rFonts w:ascii="Times New Roman" w:hAnsi="Times New Roman" w:eastAsia="宋体" w:cs="Times New Roman"/>
          <w:b w:val="0"/>
          <w:color w:val="000000"/>
          <w:sz w:val="24"/>
        </w:rPr>
        <w:t>[69] Wang G, Xiao C, Qi Z, Meng F, Liang X. Development tendency analysis for the water resource carrying capacity based on system dynamics model and the improved fuzzy comprehensive evaluation method in Changchun City, China[J]. Ecological Indicators, 2021, 122: 107232. DOI: 10.1016/j.ecolind.2020.107232.</w:t>
      </w:r>
    </w:p>
    <w:p w14:paraId="062C4F1A">
      <w:pPr>
        <w:spacing w:before="0" w:after="0" w:line="240" w:lineRule="auto"/>
        <w:ind w:left="420" w:hanging="420"/>
      </w:pPr>
      <w:r>
        <w:rPr>
          <w:rFonts w:ascii="Times New Roman" w:hAnsi="Times New Roman" w:eastAsia="宋体" w:cs="Times New Roman"/>
          <w:b w:val="0"/>
          <w:color w:val="000000"/>
          <w:sz w:val="24"/>
        </w:rPr>
        <w:t>[70] Wang X, Liu L, Zhang S, Gao C. Dynamic simulation and comprehensive evaluation of the water resources carrying capacity in Guangzhou City, China[J]. Ecological Indicators, 2022, 135: 108528. DOI: 10.1016/j.ecolind.2021.108528.</w:t>
      </w:r>
    </w:p>
    <w:p w14:paraId="61132F48">
      <w:pPr>
        <w:spacing w:before="0" w:after="0" w:line="240" w:lineRule="auto"/>
        <w:ind w:left="420" w:hanging="420"/>
      </w:pPr>
      <w:r>
        <w:rPr>
          <w:rFonts w:ascii="Times New Roman" w:hAnsi="Times New Roman" w:eastAsia="宋体" w:cs="Times New Roman"/>
          <w:b w:val="0"/>
          <w:color w:val="000000"/>
          <w:sz w:val="24"/>
        </w:rPr>
        <w:t>[71] Jia Z, Cai Y, Chen Y, Zeng W. Regionalization of water environmental carrying capacity for supporting the sustainable water resources management and development in China[J]. Resources, Conservation and Recycling, 2018, 134: 282-293. DOI: 10.1016/j.resconrec.2018.03.030.</w:t>
      </w:r>
    </w:p>
    <w:p w14:paraId="3659F0B1">
      <w:pPr>
        <w:spacing w:before="0" w:after="0" w:line="240" w:lineRule="auto"/>
        <w:ind w:left="420" w:hanging="420"/>
      </w:pPr>
      <w:r>
        <w:rPr>
          <w:rFonts w:ascii="Times New Roman" w:hAnsi="Times New Roman" w:eastAsia="宋体" w:cs="Times New Roman"/>
          <w:b w:val="0"/>
          <w:color w:val="000000"/>
          <w:sz w:val="24"/>
        </w:rPr>
        <w:t>[72] Zhou X Y, Zheng B, Khu S T. Validation of the hypothesis on carrying capacity limits using the water environment carrying capacity[J]. Science of the Total Environment, 2019, 665: 774-784. DOI: 10.1016/j.scitotenv.2019.02.146.</w:t>
      </w:r>
    </w:p>
    <w:p w14:paraId="390BE598">
      <w:pPr>
        <w:spacing w:before="0" w:after="0" w:line="240" w:lineRule="auto"/>
        <w:ind w:left="420" w:hanging="420"/>
      </w:pPr>
      <w:r>
        <w:rPr>
          <w:rFonts w:ascii="Times New Roman" w:hAnsi="Times New Roman" w:eastAsia="宋体" w:cs="Times New Roman"/>
          <w:b w:val="0"/>
          <w:color w:val="000000"/>
          <w:sz w:val="24"/>
        </w:rPr>
        <w:t>[73] Cui D, Zeng W, Ma B, Zhuo Y, Xie Y. Ecological network analysis of an urban water metabolic system: Integrated metabolic processes of physical and virtual water[J]. Science of the Total Environment, 2021, 787: 147432. DOI: 10.1016/j.scitotenv.2021.147432.</w:t>
      </w:r>
    </w:p>
    <w:p w14:paraId="41FA0227">
      <w:pPr>
        <w:spacing w:before="0" w:after="0" w:line="240" w:lineRule="auto"/>
        <w:ind w:left="420" w:hanging="420"/>
      </w:pPr>
      <w:r>
        <w:rPr>
          <w:rFonts w:ascii="Times New Roman" w:hAnsi="Times New Roman" w:eastAsia="宋体" w:cs="Times New Roman"/>
          <w:b w:val="0"/>
          <w:color w:val="000000"/>
          <w:sz w:val="24"/>
        </w:rPr>
        <w:t>[74] Fan J L, Kong L S, Wang H, Zhang X. A water-energy nexus review from the perspective of urban metabolism[J]. Ecological Modelling, 2019, 392: 128-136. DOI: 10.1016/j.ecolmodel.2018.11.019.</w:t>
      </w:r>
    </w:p>
    <w:p w14:paraId="7A3E99E9">
      <w:pPr>
        <w:spacing w:before="0" w:after="0" w:line="240" w:lineRule="auto"/>
        <w:ind w:left="420" w:hanging="420"/>
      </w:pPr>
      <w:r>
        <w:rPr>
          <w:rFonts w:ascii="Times New Roman" w:hAnsi="Times New Roman" w:eastAsia="宋体" w:cs="Times New Roman"/>
          <w:b w:val="0"/>
          <w:color w:val="000000"/>
          <w:sz w:val="24"/>
        </w:rPr>
        <w:t>[75] He C, Liu Z, Wu J, Pan X, Fang Z, Li J, Bryan B A. Future global urban water scarcity and potential solutions[J]. Nature Communications, 2021, 12: 4667. DOI: 10.1038/s41467-021-25026-3.</w:t>
      </w:r>
    </w:p>
    <w:p w14:paraId="40320417">
      <w:pPr>
        <w:spacing w:before="0" w:after="0" w:line="240" w:lineRule="auto"/>
        <w:ind w:left="420" w:hanging="420"/>
      </w:pPr>
      <w:r>
        <w:rPr>
          <w:rFonts w:ascii="Times New Roman" w:hAnsi="Times New Roman" w:eastAsia="宋体" w:cs="Times New Roman"/>
          <w:b w:val="0"/>
          <w:color w:val="000000"/>
          <w:sz w:val="24"/>
        </w:rPr>
        <w:t>[76] Li R, Zhang D, Dong X, Gong D, Mo L. How can urban wastewater and reclaimed water systems tackle an uncertain future without regret?—Solutions based on adaptive pathway planning[J]. Journal of Environmental Management, 2026, 410: 130062. DOI: 10.1016/j.jenvman.2026.130062.</w:t>
      </w:r>
    </w:p>
    <w:p w14:paraId="790108C1">
      <w:pPr>
        <w:spacing w:before="0" w:after="0" w:line="240" w:lineRule="auto"/>
        <w:ind w:left="420" w:hanging="420"/>
      </w:pPr>
      <w:r>
        <w:rPr>
          <w:rFonts w:ascii="Times New Roman" w:hAnsi="Times New Roman" w:eastAsia="宋体" w:cs="Times New Roman"/>
          <w:b w:val="0"/>
          <w:color w:val="000000"/>
          <w:sz w:val="24"/>
        </w:rPr>
        <w:t>[77] 国家市场监督管理总局, 国家标准化管理委员会. 数据中心 资源利用 第6部分：水资源使用效率: GB/T 32910.6-2025[S]. 2025.</w:t>
      </w:r>
    </w:p>
    <w:p w14:paraId="1D1BB0C4">
      <w:pPr>
        <w:spacing w:before="0" w:after="0" w:line="240" w:lineRule="auto"/>
        <w:ind w:left="420" w:hanging="420"/>
      </w:pPr>
      <w:r>
        <w:rPr>
          <w:rFonts w:ascii="Times New Roman" w:hAnsi="Times New Roman" w:eastAsia="宋体" w:cs="Times New Roman"/>
          <w:b w:val="0"/>
          <w:color w:val="000000"/>
          <w:sz w:val="24"/>
        </w:rPr>
        <w:t>[78] 中华人民共和国住房和城乡建设部. 室外给水设计标准: GB 50013-2018[S]. 北京: 中国计划出版社, 2018.</w:t>
      </w:r>
    </w:p>
    <w:p w14:paraId="3A56C6C6">
      <w:pPr>
        <w:spacing w:before="0" w:after="0" w:line="240" w:lineRule="auto"/>
        <w:ind w:left="420" w:hanging="420"/>
      </w:pPr>
      <w:r>
        <w:rPr>
          <w:rFonts w:ascii="Times New Roman" w:hAnsi="Times New Roman" w:eastAsia="宋体" w:cs="Times New Roman"/>
          <w:b w:val="0"/>
          <w:color w:val="000000"/>
          <w:sz w:val="24"/>
        </w:rPr>
        <w:t>[79] 中华人民共和国住房和城乡建设部. 室外排水设计标准: GB 50014-2021[S]. 北京: 中国计划出版社, 2021.</w:t>
      </w:r>
    </w:p>
    <w:p w14:paraId="496BAB5E">
      <w:pPr>
        <w:spacing w:before="0" w:after="0" w:line="240" w:lineRule="auto"/>
        <w:ind w:left="420" w:hanging="420"/>
      </w:pPr>
      <w:r>
        <w:rPr>
          <w:rFonts w:ascii="Times New Roman" w:hAnsi="Times New Roman" w:eastAsia="宋体" w:cs="Times New Roman"/>
          <w:b w:val="0"/>
          <w:color w:val="000000"/>
          <w:sz w:val="24"/>
        </w:rPr>
        <w:t>[80] Eyring V, Bony S, Meehl G A, Senior C A, Stevens B, Stouffer R J, Taylor K E. Overview of the Coupled Model Intercomparison Project Phase 6 (CMIP6) experimental design and organization[J]. Geoscientific Model Development, 2016, 9: 1937-1958. DOI: 10.5194/gmd-9-1937-2016.</w:t>
      </w:r>
    </w:p>
    <w:p w14:paraId="7762A0AF">
      <w:pPr>
        <w:spacing w:before="0" w:after="0" w:line="240" w:lineRule="auto"/>
        <w:ind w:left="420" w:hanging="420"/>
      </w:pPr>
      <w:r>
        <w:rPr>
          <w:rFonts w:ascii="Times New Roman" w:hAnsi="Times New Roman" w:eastAsia="宋体" w:cs="Times New Roman"/>
          <w:b w:val="0"/>
          <w:color w:val="000000"/>
          <w:sz w:val="24"/>
        </w:rPr>
        <w:t>[81] IPCC. Climate Change 2021: The Physical Science Basis. Contribution of Working Group I to the Sixth Assessment Report of the Intergovernmental Panel on Climate Change[M]. Cambridge: Cambridge University Press, 2021. DOI: 10.1017/9781009157896.</w:t>
      </w:r>
    </w:p>
    <w:p w14:paraId="7AC41C61">
      <w:pPr>
        <w:spacing w:before="0" w:after="0" w:line="240" w:lineRule="auto"/>
        <w:ind w:left="420" w:hanging="420"/>
      </w:pPr>
      <w:r>
        <w:rPr>
          <w:rFonts w:ascii="Times New Roman" w:hAnsi="Times New Roman" w:eastAsia="宋体" w:cs="Times New Roman"/>
          <w:b w:val="0"/>
          <w:color w:val="000000"/>
          <w:sz w:val="24"/>
        </w:rPr>
        <w:t>[82] Zscheischler J, Westra S, van den Hurk B J J M, Seneviratne S I, Ward P J, Pitman A, et al. Future climate risk from compound events[J]. Nature Climate Change, 2018, 8: 469-477. DOI: 10.1038/s41558-018-0156-3.</w:t>
      </w:r>
    </w:p>
    <w:p w14:paraId="42AE14D7">
      <w:pPr>
        <w:spacing w:before="0" w:after="0" w:line="240" w:lineRule="auto"/>
        <w:ind w:left="420" w:hanging="420"/>
      </w:pPr>
      <w:r>
        <w:rPr>
          <w:rFonts w:ascii="Times New Roman" w:hAnsi="Times New Roman" w:eastAsia="宋体" w:cs="Times New Roman"/>
          <w:b w:val="0"/>
          <w:color w:val="000000"/>
          <w:sz w:val="24"/>
        </w:rPr>
        <w:t>[83] Morris M D. Factorial sampling plans for preliminary computational experiments[J]. Technometrics, 1991, 33(2): 161-174. DOI: 10.1080/00401706.1991.10484804.</w:t>
      </w:r>
    </w:p>
    <w:p w14:paraId="7F86DFAF">
      <w:pPr>
        <w:spacing w:before="0" w:after="0" w:line="240" w:lineRule="auto"/>
        <w:ind w:left="420" w:hanging="420"/>
      </w:pPr>
      <w:r>
        <w:rPr>
          <w:rFonts w:ascii="Times New Roman" w:hAnsi="Times New Roman" w:eastAsia="宋体" w:cs="Times New Roman"/>
          <w:b w:val="0"/>
          <w:color w:val="000000"/>
          <w:sz w:val="24"/>
        </w:rPr>
        <w:t>[84] Campolongo F, Cariboni J, Saltelli A. An effective screening design for sensitivity analysis of large models[J]. Environmental Modelling &amp; Software, 2007, 22(10): 1509-1518. DOI: 10.1016/j.envsoft.2006.10.004.</w:t>
      </w:r>
    </w:p>
    <w:p w14:paraId="6FADA619">
      <w:pPr>
        <w:spacing w:before="0" w:after="0" w:line="240" w:lineRule="auto"/>
        <w:ind w:left="420" w:hanging="420"/>
      </w:pPr>
      <w:r>
        <w:rPr>
          <w:rFonts w:ascii="Times New Roman" w:hAnsi="Times New Roman" w:eastAsia="宋体" w:cs="Times New Roman"/>
          <w:b w:val="0"/>
          <w:color w:val="000000"/>
          <w:sz w:val="24"/>
        </w:rPr>
        <w:t>[85] Sobol I M. Global sensitivity indices for nonlinear mathematical models and their Monte Carlo estimates[J]. Mathematics and Computers in Simulation, 2001, 55(1-3): 271-280. DOI: 10.1016/S0378-4754(00)00270-6.</w:t>
      </w:r>
    </w:p>
    <w:p w14:paraId="2989789B">
      <w:pPr>
        <w:spacing w:before="0" w:after="0" w:line="240" w:lineRule="auto"/>
        <w:ind w:left="420" w:hanging="420"/>
      </w:pPr>
      <w:r>
        <w:rPr>
          <w:rFonts w:ascii="Times New Roman" w:hAnsi="Times New Roman" w:eastAsia="宋体" w:cs="Times New Roman"/>
          <w:b w:val="0"/>
          <w:color w:val="000000"/>
          <w:sz w:val="24"/>
        </w:rPr>
        <w:t>[86] Saltelli A, Ratto M, Andres T, Campolongo F, Cariboni J, Gatelli D, et al. Global Sensitivity Analysis: The Primer[M]. Chichester: John Wiley &amp; Sons, 2008. DOI: 10.1002/9780470725184.</w:t>
      </w:r>
    </w:p>
    <w:p w14:paraId="724F73D4">
      <w:pPr>
        <w:spacing w:before="0" w:after="0" w:line="240" w:lineRule="auto"/>
        <w:ind w:left="420" w:hanging="420"/>
      </w:pPr>
      <w:r>
        <w:rPr>
          <w:rFonts w:ascii="Times New Roman" w:hAnsi="Times New Roman" w:eastAsia="宋体" w:cs="Times New Roman"/>
          <w:b w:val="0"/>
          <w:color w:val="000000"/>
          <w:sz w:val="24"/>
        </w:rPr>
        <w:t>[87] Razavi S, Gupta H V. What do we mean by sensitivity analysis? The need for comprehensive characterization of “global” sensitivity in Earth and environmental systems models[J]. Water Resources Research, 2015, 51(5): 3070-3092. DOI: 10.1002/2014WR016527.</w:t>
      </w:r>
    </w:p>
    <w:p w14:paraId="2E88881D">
      <w:pPr>
        <w:spacing w:before="0" w:after="0" w:line="240" w:lineRule="auto"/>
        <w:ind w:left="420" w:hanging="420"/>
      </w:pPr>
      <w:r>
        <w:rPr>
          <w:rFonts w:ascii="Times New Roman" w:hAnsi="Times New Roman" w:eastAsia="宋体" w:cs="Times New Roman"/>
          <w:b w:val="0"/>
          <w:color w:val="000000"/>
          <w:sz w:val="24"/>
        </w:rPr>
        <w:t>[88] Song E, Nelson B L, Staum J. Shapley Effects for Global Sensitivity Analysis: Theory and Computation[J]. SIAM/ASA Journal on Uncertainty Quantification, 2016, 4(1): 1060-1083. DOI: 10.1137/15M1048070.</w:t>
      </w:r>
    </w:p>
    <w:p w14:paraId="33DF674C">
      <w:pPr>
        <w:spacing w:before="0" w:after="0" w:line="240" w:lineRule="auto"/>
        <w:ind w:left="420" w:hanging="420"/>
      </w:pPr>
      <w:r>
        <w:rPr>
          <w:rFonts w:ascii="Times New Roman" w:hAnsi="Times New Roman" w:eastAsia="宋体" w:cs="Times New Roman"/>
          <w:b w:val="0"/>
          <w:color w:val="000000"/>
          <w:sz w:val="24"/>
        </w:rPr>
        <w:t>[89] Gupta H V, Kling H, Yilmaz K K, Martinez G F. Decomposition of the mean squared error and NSE performance criteria: Implications for improving hydrological modelling[J]. Journal of Hydrology, 2009, 377(1-2): 80-91. DOI: 10.1016/j.jhydrol.2009.08.003.</w:t>
      </w:r>
    </w:p>
    <w:p w14:paraId="5AEF3B65">
      <w:pPr>
        <w:spacing w:before="0" w:after="0" w:line="240" w:lineRule="auto"/>
        <w:ind w:left="420" w:hanging="420"/>
      </w:pPr>
      <w:r>
        <w:rPr>
          <w:rFonts w:ascii="Times New Roman" w:hAnsi="Times New Roman"/>
          <w:sz w:val="24"/>
        </w:rPr>
        <w:t>[90] Pearl J. Causal inference in statistics: An overview[J]. Statistics Surveys, 2010, 3: 96-146. DOI: 10.1214/09-SS057.</w:t>
      </w:r>
    </w:p>
    <w:p w14:paraId="7FF9A9B8">
      <w:pPr>
        <w:spacing w:before="0" w:after="0" w:line="240" w:lineRule="auto"/>
        <w:ind w:left="420" w:hanging="420"/>
      </w:pPr>
      <w:r>
        <w:rPr>
          <w:rFonts w:ascii="Times New Roman" w:hAnsi="Times New Roman"/>
          <w:sz w:val="24"/>
        </w:rPr>
        <w:t>[91] Pearl J. Causal diagrams for empirical research[J]. Biometrika, 1995, 82(4): 669-688. DOI: 10.1093/biomet/82.4.669.</w:t>
      </w:r>
    </w:p>
    <w:p w14:paraId="3DF8D7DC">
      <w:pPr>
        <w:spacing w:before="0" w:after="0" w:line="240" w:lineRule="auto"/>
        <w:ind w:left="420" w:hanging="420"/>
      </w:pPr>
      <w:r>
        <w:rPr>
          <w:rFonts w:ascii="Times New Roman" w:hAnsi="Times New Roman"/>
          <w:sz w:val="24"/>
        </w:rPr>
        <w:t>[92] Hernán M A, Robins J M. Causal Inference: What If[M]. Boca Raton: Chapman &amp; Hall/CRC, 2020.</w:t>
      </w:r>
    </w:p>
    <w:p w14:paraId="7F710B3E">
      <w:pPr>
        <w:spacing w:before="0" w:after="0" w:line="240" w:lineRule="auto"/>
        <w:ind w:left="420" w:hanging="420"/>
      </w:pPr>
      <w:r>
        <w:rPr>
          <w:rFonts w:ascii="Times New Roman" w:hAnsi="Times New Roman"/>
          <w:sz w:val="24"/>
        </w:rPr>
        <w:t>[93] Imai K, Keele L, Tingley D. A general approach to causal mediation analysis[J]. Psychological Methods, 2010, 15(4): 309-334. DOI: 10.1037/a0020761.</w:t>
      </w:r>
    </w:p>
    <w:p w14:paraId="585C9F03">
      <w:pPr>
        <w:spacing w:before="0" w:after="0" w:line="240" w:lineRule="auto"/>
        <w:ind w:left="420" w:hanging="420"/>
      </w:pPr>
      <w:r>
        <w:rPr>
          <w:rFonts w:ascii="Times New Roman" w:hAnsi="Times New Roman"/>
          <w:sz w:val="24"/>
        </w:rPr>
        <w:t>[94] VanderWeele T J. Explanation in Causal Inference: Methods for Mediation and Interaction[M]. New York: Oxford University Press, 2015.</w:t>
      </w:r>
    </w:p>
    <w:sectPr>
      <w:headerReference r:id="rId7" w:type="default"/>
      <w:footerReference r:id="rId8" w:type="default"/>
      <w:pgSz w:w="11909" w:h="16834"/>
      <w:pgMar w:top="1417" w:right="1417" w:bottom="1247" w:left="1417" w:header="850" w:footer="850"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邵敬哲" w:date="2026-09-07T23:50:59Z" w:initials="">
    <w:p w14:paraId="6343C254">
      <w:pPr>
        <w:pStyle w:val="3"/>
        <w:rPr>
          <w:rFonts w:hint="eastAsia" w:eastAsia="宋体"/>
          <w:lang w:val="en-US" w:eastAsia="zh-CN"/>
        </w:rPr>
      </w:pPr>
      <w:r>
        <w:rPr>
          <w:rFonts w:hint="eastAsia"/>
          <w:lang w:val="en-US" w:eastAsia="zh-CN"/>
        </w:rPr>
        <w:t>写一个项目</w:t>
      </w:r>
    </w:p>
  </w:comment>
  <w:comment w:id="1" w:author="邵敬哲" w:date="2026-09-07T23:56:30Z" w:initials="">
    <w:p w14:paraId="0A79F937">
      <w:pPr>
        <w:pStyle w:val="3"/>
        <w:rPr>
          <w:rFonts w:hint="default" w:eastAsia="宋体"/>
          <w:lang w:val="en-US" w:eastAsia="zh-CN"/>
        </w:rPr>
      </w:pPr>
      <w:r>
        <w:rPr>
          <w:rFonts w:hint="eastAsia"/>
          <w:lang w:val="en-US" w:eastAsia="zh-CN"/>
        </w:rPr>
        <w:t>论文？专利？等</w:t>
      </w:r>
    </w:p>
  </w:comment>
  <w:comment w:id="2" w:author="邵敬哲" w:date="2026-09-07T23:57:49Z" w:initials="">
    <w:p w14:paraId="5686DF9E">
      <w:pPr>
        <w:pStyle w:val="3"/>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343C254" w15:done="0"/>
  <w15:commentEx w15:paraId="0A79F937" w15:done="0"/>
  <w15:commentEx w15:paraId="5686DF9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邵敬哲">
    <w15:presenceInfo w15:providerId="WPS Office" w15:userId="112250403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03D30E8F"/>
    <w:rsid w:val="24245A28"/>
    <w:rsid w:val="3A4F678F"/>
    <w:rsid w:val="3FDE13A9"/>
    <w:rsid w:val="40D53766"/>
    <w:rsid w:val="412169AB"/>
    <w:rsid w:val="4D1063BF"/>
    <w:rsid w:val="5E011E53"/>
    <w:rsid w:val="61947D36"/>
    <w:rsid w:val="68C414B8"/>
    <w:rsid w:val="68DB147D"/>
    <w:rsid w:val="6CBE13CE"/>
    <w:rsid w:val="72122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宋体" w:hAnsi="宋体" w:eastAsia="宋体" w:cs="Times New Roman"/>
      <w:color w:val="000000"/>
      <w:kern w:val="2"/>
      <w:sz w:val="24"/>
      <w:szCs w:val="20"/>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5">
    <w:name w:val="Default Paragraph Font"/>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3">
    <w:name w:val="annotation text"/>
    <w:basedOn w:val="1"/>
    <w:semiHidden/>
    <w:unhideWhenUsed/>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黑体" w:hAnsi="黑体" w:eastAsia="黑体" w:cstheme="minorBidi"/>
      <w:b/>
      <w:color w:val="000000"/>
      <w:sz w:val="30"/>
    </w:rPr>
  </w:style>
  <w:style w:type="paragraph" w:customStyle="1" w:styleId="23">
    <w:name w:val="heading 2"/>
    <w:qFormat/>
    <w:uiPriority w:val="0"/>
    <w:pPr>
      <w:keepNext/>
      <w:pageBreakBefore w:val="0"/>
      <w:widowControl/>
      <w:spacing w:before="210" w:after="210" w:line="360" w:lineRule="auto"/>
      <w:ind w:firstLine="0"/>
      <w:jc w:val="left"/>
    </w:pPr>
    <w:rPr>
      <w:rFonts w:ascii="黑体" w:hAnsi="黑体" w:eastAsia="黑体" w:cstheme="minorBidi"/>
      <w:b/>
      <w:color w:val="000000"/>
      <w:sz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7411</Words>
  <Characters>8190</Characters>
  <Lines>11</Lines>
  <Paragraphs>3</Paragraphs>
  <TotalTime>216</TotalTime>
  <ScaleCrop>false</ScaleCrop>
  <LinksUpToDate>false</LinksUpToDate>
  <CharactersWithSpaces>8484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2026-09-08T05:14:09Z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