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FF7276">
      <w:pPr>
        <w:keepNext w:val="0"/>
        <w:spacing w:before="0" w:after="20"/>
        <w:jc w:val="center"/>
        <w:rPr>
          <w:rFonts w:eastAsia="楷体_GB2312"/>
          <w:b/>
          <w:spacing w:val="40"/>
          <w:sz w:val="36"/>
        </w:rPr>
      </w:pPr>
    </w:p>
    <w:p w14:paraId="15D6FB2D">
      <w:pPr>
        <w:keepNext w:val="0"/>
        <w:spacing w:before="0" w:after="20" w:line="360" w:lineRule="auto"/>
        <w:ind w:firstLine="420"/>
        <w:jc w:val="center"/>
        <w:rPr>
          <w:rFonts w:eastAsia="楷体_GB2312"/>
          <w:b/>
          <w:spacing w:val="40"/>
          <w:sz w:val="36"/>
        </w:rPr>
      </w:pPr>
    </w:p>
    <w:p w14:paraId="736EACCF">
      <w:pPr>
        <w:keepNext w:val="0"/>
        <w:spacing w:before="0" w:after="20"/>
        <w:jc w:val="center"/>
        <w:rPr>
          <w:rFonts w:eastAsia="楷体_GB2312"/>
          <w:b/>
          <w:spacing w:val="40"/>
          <w:sz w:val="36"/>
        </w:rPr>
      </w:pPr>
      <w:r>
        <w:rPr>
          <w:rFonts w:hint="eastAsia" w:ascii="宋体" w:hAnsi="宋体" w:eastAsia="宋体"/>
          <w:b/>
          <w:color w:val="000000"/>
          <w:spacing w:val="40"/>
          <w:sz w:val="36"/>
        </w:rPr>
        <w:t>哈尔滨工业大学</w:t>
      </w:r>
    </w:p>
    <w:p w14:paraId="77E87BA1">
      <w:pPr>
        <w:keepNext w:val="0"/>
        <w:spacing w:before="0" w:after="20" w:line="360" w:lineRule="auto"/>
        <w:ind w:firstLine="420"/>
        <w:jc w:val="center"/>
        <w:rPr>
          <w:rFonts w:eastAsia="楷体_GB2312"/>
          <w:b/>
          <w:spacing w:val="40"/>
          <w:sz w:val="36"/>
        </w:rPr>
      </w:pPr>
    </w:p>
    <w:p w14:paraId="2CDBC833">
      <w:pPr>
        <w:keepNext w:val="0"/>
        <w:spacing w:before="0" w:after="60"/>
        <w:jc w:val="center"/>
        <w:rPr>
          <w:rFonts w:ascii="Roman PS" w:hAnsi="Roman PS"/>
          <w:b/>
          <w:spacing w:val="40"/>
          <w:sz w:val="48"/>
        </w:rPr>
      </w:pPr>
      <w:r>
        <w:rPr>
          <w:rFonts w:ascii="宋体" w:hAnsi="宋体" w:eastAsia="宋体"/>
          <w:b/>
          <w:sz w:val="48"/>
        </w:rPr>
        <w:t>硕士学位开题报告</w:t>
      </w:r>
    </w:p>
    <w:p w14:paraId="069C17FC">
      <w:pPr>
        <w:keepNext w:val="0"/>
        <w:spacing w:before="0" w:after="20" w:line="360" w:lineRule="auto"/>
        <w:ind w:firstLine="420"/>
        <w:rPr>
          <w:b/>
          <w:sz w:val="32"/>
        </w:rPr>
      </w:pPr>
    </w:p>
    <w:p w14:paraId="2D50CEA7">
      <w:pPr>
        <w:keepNext w:val="0"/>
        <w:spacing w:before="80" w:after="40" w:line="300" w:lineRule="auto"/>
        <w:jc w:val="center"/>
        <w:rPr>
          <w:b/>
          <w:sz w:val="36"/>
        </w:rPr>
      </w:pPr>
      <w:r>
        <w:rPr>
          <w:rFonts w:ascii="Times New Roman" w:hAnsi="Times New Roman" w:eastAsia="宋体"/>
          <w:b/>
          <w:sz w:val="32"/>
        </w:rPr>
        <w:t>题目：AI算力设施驱动下城市水代谢响应与承载边界的系统模拟研究</w:t>
      </w:r>
    </w:p>
    <w:p w14:paraId="1014A7AD">
      <w:pPr>
        <w:keepNext w:val="0"/>
        <w:spacing w:before="60" w:after="40"/>
        <w:jc w:val="center"/>
        <w:rPr>
          <w:b/>
          <w:sz w:val="32"/>
        </w:rPr>
      </w:pPr>
      <w:r>
        <w:rPr>
          <w:rFonts w:ascii="宋体" w:hAnsi="宋体" w:eastAsia="宋体" w:cs="Times New Roman"/>
          <w:b/>
          <w:color w:val="000000"/>
          <w:sz w:val="32"/>
        </w:rPr>
        <w:t>（学位论文）</w:t>
      </w:r>
    </w:p>
    <w:p w14:paraId="03714482">
      <w:pPr>
        <w:keepNext w:val="0"/>
        <w:snapToGrid w:val="0"/>
        <w:spacing w:before="0" w:after="20" w:line="360" w:lineRule="auto"/>
        <w:ind w:left="1134" w:firstLine="420"/>
        <w:rPr>
          <w:b/>
          <w:sz w:val="32"/>
          <w:u w:val="single"/>
        </w:rPr>
      </w:pPr>
      <w:r>
        <w:rPr>
          <w:rFonts w:ascii="宋体" w:hAnsi="宋体" w:eastAsia="宋体" w:cs="Times New Roman"/>
          <w:b/>
          <w:color w:val="000000"/>
          <w:sz w:val="32"/>
        </w:rPr>
        <w:t>学院（部）：____________________</w:t>
      </w:r>
    </w:p>
    <w:p w14:paraId="2B5DEC98">
      <w:pPr>
        <w:keepNext w:val="0"/>
        <w:snapToGrid w:val="0"/>
        <w:spacing w:before="0" w:after="20" w:line="360" w:lineRule="auto"/>
        <w:ind w:left="1134" w:right="-9" w:firstLine="420"/>
        <w:rPr>
          <w:b/>
          <w:sz w:val="32"/>
          <w:u w:val="single"/>
        </w:rPr>
      </w:pPr>
      <w:r>
        <w:rPr>
          <w:rFonts w:ascii="宋体" w:hAnsi="宋体" w:eastAsia="宋体" w:cs="Times New Roman"/>
          <w:b/>
          <w:color w:val="000000"/>
          <w:sz w:val="32"/>
        </w:rPr>
        <w:t>学科/专业学位类别：____________________</w:t>
      </w:r>
    </w:p>
    <w:p w14:paraId="4D4A53FE">
      <w:pPr>
        <w:keepNext w:val="0"/>
        <w:snapToGrid w:val="0"/>
        <w:spacing w:before="0" w:after="20" w:line="360" w:lineRule="auto"/>
        <w:ind w:left="1134" w:firstLine="420"/>
        <w:rPr>
          <w:b/>
          <w:sz w:val="32"/>
          <w:u w:val="single"/>
        </w:rPr>
      </w:pPr>
      <w:r>
        <w:rPr>
          <w:rFonts w:ascii="宋体" w:hAnsi="宋体" w:eastAsia="宋体" w:cs="Times New Roman"/>
          <w:b/>
          <w:color w:val="000000"/>
          <w:sz w:val="32"/>
        </w:rPr>
        <w:t>导师：____________________</w:t>
      </w:r>
    </w:p>
    <w:p w14:paraId="378509C5">
      <w:pPr>
        <w:keepNext w:val="0"/>
        <w:snapToGrid w:val="0"/>
        <w:spacing w:before="0" w:after="20" w:line="360" w:lineRule="auto"/>
        <w:ind w:left="1134" w:right="-9" w:firstLine="420"/>
        <w:rPr>
          <w:b/>
          <w:sz w:val="32"/>
          <w:u w:val="single"/>
        </w:rPr>
      </w:pPr>
      <w:r>
        <w:rPr>
          <w:rFonts w:ascii="宋体" w:hAnsi="宋体" w:eastAsia="宋体" w:cs="Times New Roman"/>
          <w:b/>
          <w:color w:val="000000"/>
          <w:sz w:val="32"/>
        </w:rPr>
        <w:t>研究生：____________________</w:t>
      </w:r>
    </w:p>
    <w:p w14:paraId="05D4A3E3">
      <w:pPr>
        <w:keepNext w:val="0"/>
        <w:snapToGrid w:val="0"/>
        <w:spacing w:before="0" w:after="20" w:line="360" w:lineRule="auto"/>
        <w:ind w:left="1134" w:firstLine="420"/>
        <w:rPr>
          <w:b/>
          <w:sz w:val="32"/>
          <w:u w:val="single"/>
        </w:rPr>
      </w:pPr>
      <w:r>
        <w:rPr>
          <w:rFonts w:ascii="宋体" w:hAnsi="宋体" w:eastAsia="宋体" w:cs="Times New Roman"/>
          <w:b/>
          <w:color w:val="000000"/>
          <w:sz w:val="32"/>
        </w:rPr>
        <w:t>学号：____________________</w:t>
      </w:r>
    </w:p>
    <w:p w14:paraId="499FDC5C">
      <w:pPr>
        <w:keepNext w:val="0"/>
        <w:snapToGrid w:val="0"/>
        <w:spacing w:before="0" w:after="20" w:line="360" w:lineRule="auto"/>
        <w:ind w:left="1134" w:firstLine="420"/>
        <w:rPr>
          <w:b/>
          <w:sz w:val="32"/>
          <w:u w:val="single"/>
        </w:rPr>
      </w:pPr>
      <w:r>
        <w:rPr>
          <w:rFonts w:ascii="宋体" w:hAnsi="宋体" w:eastAsia="宋体" w:cs="Times New Roman"/>
          <w:b/>
          <w:color w:val="000000"/>
          <w:sz w:val="32"/>
        </w:rPr>
        <w:t>开题报告日期：____________________</w:t>
      </w:r>
    </w:p>
    <w:p w14:paraId="41B0077A">
      <w:pPr>
        <w:keepNext w:val="0"/>
        <w:snapToGrid w:val="0"/>
        <w:spacing w:before="0" w:after="20" w:line="360" w:lineRule="auto"/>
        <w:ind w:firstLine="420"/>
        <w:rPr>
          <w:b/>
          <w:sz w:val="32"/>
        </w:rPr>
      </w:pPr>
    </w:p>
    <w:p w14:paraId="342E9C1C">
      <w:pPr>
        <w:spacing w:after="0"/>
      </w:pPr>
      <w:r>
        <w:br w:type="page"/>
      </w:r>
    </w:p>
    <w:p w14:paraId="28C8867F">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D5660B5">
      <w:pPr>
        <w:pStyle w:val="11"/>
        <w:tabs>
          <w:tab w:val="right" w:leader="dot" w:pos="9075"/>
        </w:tabs>
      </w:pPr>
      <w:r>
        <w:fldChar w:fldCharType="begin"/>
      </w:r>
      <w:r>
        <w:instrText xml:space="preserve"> TOC \o "1-3" \h \z \u </w:instrText>
      </w:r>
      <w:r>
        <w:fldChar w:fldCharType="separate"/>
      </w:r>
      <w:r>
        <w:fldChar w:fldCharType="begin"/>
      </w:r>
      <w:r>
        <w:instrText xml:space="preserve"> HYPERLINK \l _Toc22049 </w:instrText>
      </w:r>
      <w:r>
        <w:fldChar w:fldCharType="separate"/>
      </w:r>
      <w:r>
        <w:rPr>
          <w:rFonts w:ascii="Times New Roman" w:hAnsi="Times New Roman" w:eastAsia="黑体" w:cs="Times New Roman"/>
        </w:rPr>
        <w:t>1 课题来源及研究目的和意义</w:t>
      </w:r>
      <w:r>
        <w:tab/>
      </w:r>
      <w:r>
        <w:fldChar w:fldCharType="begin"/>
      </w:r>
      <w:r>
        <w:instrText xml:space="preserve"> PAGEREF _Toc22049 \h </w:instrText>
      </w:r>
      <w:r>
        <w:fldChar w:fldCharType="separate"/>
      </w:r>
      <w:r>
        <w:t>4</w:t>
      </w:r>
      <w:r>
        <w:fldChar w:fldCharType="end"/>
      </w:r>
      <w:r>
        <w:fldChar w:fldCharType="end"/>
      </w:r>
    </w:p>
    <w:p w14:paraId="0C0C9FD6">
      <w:pPr>
        <w:pStyle w:val="12"/>
        <w:tabs>
          <w:tab w:val="right" w:leader="dot" w:pos="9075"/>
        </w:tabs>
      </w:pPr>
      <w:r>
        <w:fldChar w:fldCharType="begin"/>
      </w:r>
      <w:r>
        <w:instrText xml:space="preserve"> HYPERLINK \l _Toc29773 </w:instrText>
      </w:r>
      <w:r>
        <w:fldChar w:fldCharType="separate"/>
      </w:r>
      <w:r>
        <w:rPr>
          <w:rFonts w:ascii="Times New Roman" w:hAnsi="Times New Roman" w:eastAsia="黑体" w:cs="Times New Roman"/>
        </w:rPr>
        <w:t>1.1 课题来源</w:t>
      </w:r>
      <w:r>
        <w:tab/>
      </w:r>
      <w:r>
        <w:fldChar w:fldCharType="begin"/>
      </w:r>
      <w:r>
        <w:instrText xml:space="preserve"> PAGEREF _Toc29773 \h </w:instrText>
      </w:r>
      <w:r>
        <w:fldChar w:fldCharType="separate"/>
      </w:r>
      <w:r>
        <w:t>4</w:t>
      </w:r>
      <w:r>
        <w:fldChar w:fldCharType="end"/>
      </w:r>
      <w:r>
        <w:fldChar w:fldCharType="end"/>
      </w:r>
    </w:p>
    <w:p w14:paraId="723B0AAC">
      <w:pPr>
        <w:pStyle w:val="12"/>
        <w:tabs>
          <w:tab w:val="right" w:leader="dot" w:pos="9075"/>
        </w:tabs>
      </w:pPr>
      <w:r>
        <w:fldChar w:fldCharType="begin"/>
      </w:r>
      <w:r>
        <w:instrText xml:space="preserve"> HYPERLINK \l _Toc6285 </w:instrText>
      </w:r>
      <w:r>
        <w:fldChar w:fldCharType="separate"/>
      </w:r>
      <w:r>
        <w:rPr>
          <w:rFonts w:ascii="Times New Roman" w:hAnsi="Times New Roman" w:eastAsia="黑体" w:cs="Times New Roman"/>
        </w:rPr>
        <w:t>1.2 课题研究目的和意义</w:t>
      </w:r>
      <w:r>
        <w:tab/>
      </w:r>
      <w:r>
        <w:fldChar w:fldCharType="begin"/>
      </w:r>
      <w:r>
        <w:instrText xml:space="preserve"> PAGEREF _Toc6285 \h </w:instrText>
      </w:r>
      <w:r>
        <w:fldChar w:fldCharType="separate"/>
      </w:r>
      <w:r>
        <w:t>4</w:t>
      </w:r>
      <w:r>
        <w:fldChar w:fldCharType="end"/>
      </w:r>
      <w:r>
        <w:fldChar w:fldCharType="end"/>
      </w:r>
    </w:p>
    <w:p w14:paraId="00595C0F">
      <w:pPr>
        <w:pStyle w:val="11"/>
        <w:tabs>
          <w:tab w:val="right" w:leader="dot" w:pos="9075"/>
        </w:tabs>
      </w:pPr>
      <w:r>
        <w:fldChar w:fldCharType="begin"/>
      </w:r>
      <w:r>
        <w:instrText xml:space="preserve"> HYPERLINK \l _Toc12213 </w:instrText>
      </w:r>
      <w:r>
        <w:fldChar w:fldCharType="separate"/>
      </w:r>
      <w:r>
        <w:rPr>
          <w:rFonts w:ascii="Times New Roman" w:hAnsi="Times New Roman" w:eastAsia="黑体" w:cs="Times New Roman"/>
        </w:rPr>
        <w:t>2 国内外研究现状及分析</w:t>
      </w:r>
      <w:r>
        <w:tab/>
      </w:r>
      <w:r>
        <w:fldChar w:fldCharType="begin"/>
      </w:r>
      <w:r>
        <w:instrText xml:space="preserve"> PAGEREF _Toc12213 \h </w:instrText>
      </w:r>
      <w:r>
        <w:fldChar w:fldCharType="separate"/>
      </w:r>
      <w:r>
        <w:t>6</w:t>
      </w:r>
      <w:r>
        <w:fldChar w:fldCharType="end"/>
      </w:r>
      <w:r>
        <w:fldChar w:fldCharType="end"/>
      </w:r>
    </w:p>
    <w:p w14:paraId="21F25EE1">
      <w:pPr>
        <w:pStyle w:val="12"/>
        <w:tabs>
          <w:tab w:val="right" w:leader="dot" w:pos="9075"/>
        </w:tabs>
      </w:pPr>
      <w:r>
        <w:fldChar w:fldCharType="begin"/>
      </w:r>
      <w:r>
        <w:instrText xml:space="preserve"> HYPERLINK \l _Toc7665 </w:instrText>
      </w:r>
      <w:r>
        <w:fldChar w:fldCharType="separate"/>
      </w:r>
      <w:r>
        <w:rPr>
          <w:rFonts w:ascii="Times New Roman" w:hAnsi="Times New Roman" w:eastAsia="黑体" w:cs="Times New Roman"/>
        </w:rPr>
        <w:t>2.1 国外研究现状</w:t>
      </w:r>
      <w:r>
        <w:tab/>
      </w:r>
      <w:r>
        <w:fldChar w:fldCharType="begin"/>
      </w:r>
      <w:r>
        <w:instrText xml:space="preserve"> PAGEREF _Toc7665 \h </w:instrText>
      </w:r>
      <w:r>
        <w:fldChar w:fldCharType="separate"/>
      </w:r>
      <w:r>
        <w:t>6</w:t>
      </w:r>
      <w:r>
        <w:fldChar w:fldCharType="end"/>
      </w:r>
      <w:r>
        <w:fldChar w:fldCharType="end"/>
      </w:r>
    </w:p>
    <w:p w14:paraId="00DA198E">
      <w:pPr>
        <w:pStyle w:val="5"/>
        <w:tabs>
          <w:tab w:val="right" w:leader="dot" w:pos="9075"/>
        </w:tabs>
      </w:pPr>
      <w:r>
        <w:fldChar w:fldCharType="begin"/>
      </w:r>
      <w:r>
        <w:instrText xml:space="preserve"> HYPERLINK \l _Toc14799 </w:instrText>
      </w:r>
      <w:r>
        <w:fldChar w:fldCharType="separate"/>
      </w:r>
      <w:r>
        <w:rPr>
          <w:rFonts w:ascii="Times New Roman" w:hAnsi="Times New Roman" w:eastAsia="黑体" w:cs="Times New Roman"/>
        </w:rPr>
        <w:t>2.1.1 城市代谢与综合城市水系统</w:t>
      </w:r>
      <w:r>
        <w:tab/>
      </w:r>
      <w:r>
        <w:fldChar w:fldCharType="begin"/>
      </w:r>
      <w:r>
        <w:instrText xml:space="preserve"> PAGEREF _Toc14799 \h </w:instrText>
      </w:r>
      <w:r>
        <w:fldChar w:fldCharType="separate"/>
      </w:r>
      <w:r>
        <w:t>6</w:t>
      </w:r>
      <w:r>
        <w:fldChar w:fldCharType="end"/>
      </w:r>
      <w:r>
        <w:fldChar w:fldCharType="end"/>
      </w:r>
    </w:p>
    <w:p w14:paraId="7106C225">
      <w:pPr>
        <w:pStyle w:val="5"/>
        <w:tabs>
          <w:tab w:val="right" w:leader="dot" w:pos="9075"/>
        </w:tabs>
      </w:pPr>
      <w:r>
        <w:fldChar w:fldCharType="begin"/>
      </w:r>
      <w:r>
        <w:instrText xml:space="preserve"> HYPERLINK \l _Toc28016 </w:instrText>
      </w:r>
      <w:r>
        <w:fldChar w:fldCharType="separate"/>
      </w:r>
      <w:r>
        <w:rPr>
          <w:rFonts w:ascii="Times New Roman" w:hAnsi="Times New Roman" w:eastAsia="宋体"/>
        </w:rPr>
        <w:t>2.1.2 城市水，能，碳关系</w:t>
      </w:r>
      <w:r>
        <w:tab/>
      </w:r>
      <w:r>
        <w:fldChar w:fldCharType="begin"/>
      </w:r>
      <w:r>
        <w:instrText xml:space="preserve"> PAGEREF _Toc28016 \h </w:instrText>
      </w:r>
      <w:r>
        <w:fldChar w:fldCharType="separate"/>
      </w:r>
      <w:r>
        <w:t>6</w:t>
      </w:r>
      <w:r>
        <w:fldChar w:fldCharType="end"/>
      </w:r>
      <w:r>
        <w:fldChar w:fldCharType="end"/>
      </w:r>
    </w:p>
    <w:p w14:paraId="0D926F0D">
      <w:pPr>
        <w:pStyle w:val="5"/>
        <w:tabs>
          <w:tab w:val="right" w:leader="dot" w:pos="9075"/>
        </w:tabs>
      </w:pPr>
      <w:r>
        <w:fldChar w:fldCharType="begin"/>
      </w:r>
      <w:r>
        <w:instrText xml:space="preserve"> HYPERLINK \l _Toc19470 </w:instrText>
      </w:r>
      <w:r>
        <w:fldChar w:fldCharType="separate"/>
      </w:r>
      <w:r>
        <w:rPr>
          <w:rFonts w:ascii="Times New Roman" w:hAnsi="Times New Roman" w:eastAsia="黑体" w:cs="Times New Roman"/>
        </w:rPr>
        <w:t>2.1.3 AI与数据中心资源环境足迹</w:t>
      </w:r>
      <w:r>
        <w:tab/>
      </w:r>
      <w:r>
        <w:fldChar w:fldCharType="begin"/>
      </w:r>
      <w:r>
        <w:instrText xml:space="preserve"> PAGEREF _Toc19470 \h </w:instrText>
      </w:r>
      <w:r>
        <w:fldChar w:fldCharType="separate"/>
      </w:r>
      <w:r>
        <w:t>6</w:t>
      </w:r>
      <w:r>
        <w:fldChar w:fldCharType="end"/>
      </w:r>
      <w:r>
        <w:fldChar w:fldCharType="end"/>
      </w:r>
    </w:p>
    <w:p w14:paraId="4C522D64">
      <w:pPr>
        <w:pStyle w:val="5"/>
        <w:tabs>
          <w:tab w:val="right" w:leader="dot" w:pos="9075"/>
        </w:tabs>
      </w:pPr>
      <w:r>
        <w:fldChar w:fldCharType="begin"/>
      </w:r>
      <w:r>
        <w:instrText xml:space="preserve"> HYPERLINK \l _Toc22047 </w:instrText>
      </w:r>
      <w:r>
        <w:fldChar w:fldCharType="separate"/>
      </w:r>
      <w:r>
        <w:rPr>
          <w:rFonts w:ascii="Times New Roman" w:hAnsi="Times New Roman" w:eastAsia="黑体" w:cs="Times New Roman"/>
        </w:rPr>
        <w:t>2.1.4 冷却与再生水工程</w:t>
      </w:r>
      <w:r>
        <w:tab/>
      </w:r>
      <w:r>
        <w:fldChar w:fldCharType="begin"/>
      </w:r>
      <w:r>
        <w:instrText xml:space="preserve"> PAGEREF _Toc22047 \h </w:instrText>
      </w:r>
      <w:r>
        <w:fldChar w:fldCharType="separate"/>
      </w:r>
      <w:r>
        <w:t>7</w:t>
      </w:r>
      <w:r>
        <w:fldChar w:fldCharType="end"/>
      </w:r>
      <w:r>
        <w:fldChar w:fldCharType="end"/>
      </w:r>
    </w:p>
    <w:p w14:paraId="6FA44B2A">
      <w:pPr>
        <w:pStyle w:val="5"/>
        <w:tabs>
          <w:tab w:val="right" w:leader="dot" w:pos="9075"/>
        </w:tabs>
      </w:pPr>
      <w:r>
        <w:fldChar w:fldCharType="begin"/>
      </w:r>
      <w:r>
        <w:instrText xml:space="preserve"> HYPERLINK \l _Toc20188 </w:instrText>
      </w:r>
      <w:r>
        <w:fldChar w:fldCharType="separate"/>
      </w:r>
      <w:r>
        <w:rPr>
          <w:rFonts w:ascii="Times New Roman" w:hAnsi="Times New Roman" w:eastAsia="黑体" w:cs="Times New Roman"/>
        </w:rPr>
        <w:t>2.1.5 可靠性与不确定性决策方法</w:t>
      </w:r>
      <w:r>
        <w:tab/>
      </w:r>
      <w:r>
        <w:fldChar w:fldCharType="begin"/>
      </w:r>
      <w:r>
        <w:instrText xml:space="preserve"> PAGEREF _Toc20188 \h </w:instrText>
      </w:r>
      <w:r>
        <w:fldChar w:fldCharType="separate"/>
      </w:r>
      <w:r>
        <w:t>7</w:t>
      </w:r>
      <w:r>
        <w:fldChar w:fldCharType="end"/>
      </w:r>
      <w:r>
        <w:fldChar w:fldCharType="end"/>
      </w:r>
    </w:p>
    <w:p w14:paraId="02BB57DC">
      <w:pPr>
        <w:pStyle w:val="12"/>
        <w:tabs>
          <w:tab w:val="right" w:leader="dot" w:pos="9075"/>
        </w:tabs>
      </w:pPr>
      <w:r>
        <w:fldChar w:fldCharType="begin"/>
      </w:r>
      <w:r>
        <w:instrText xml:space="preserve"> HYPERLINK \l _Toc17859 </w:instrText>
      </w:r>
      <w:r>
        <w:fldChar w:fldCharType="separate"/>
      </w:r>
      <w:r>
        <w:rPr>
          <w:rFonts w:ascii="Times New Roman" w:hAnsi="Times New Roman" w:eastAsia="黑体" w:cs="Times New Roman"/>
        </w:rPr>
        <w:t>2.2 国内研究现状</w:t>
      </w:r>
      <w:r>
        <w:tab/>
      </w:r>
      <w:r>
        <w:fldChar w:fldCharType="begin"/>
      </w:r>
      <w:r>
        <w:instrText xml:space="preserve"> PAGEREF _Toc17859 \h </w:instrText>
      </w:r>
      <w:r>
        <w:fldChar w:fldCharType="separate"/>
      </w:r>
      <w:r>
        <w:t>7</w:t>
      </w:r>
      <w:r>
        <w:fldChar w:fldCharType="end"/>
      </w:r>
      <w:r>
        <w:fldChar w:fldCharType="end"/>
      </w:r>
    </w:p>
    <w:p w14:paraId="31D073DB">
      <w:pPr>
        <w:pStyle w:val="12"/>
        <w:tabs>
          <w:tab w:val="right" w:leader="dot" w:pos="9075"/>
        </w:tabs>
      </w:pPr>
      <w:r>
        <w:fldChar w:fldCharType="begin"/>
      </w:r>
      <w:r>
        <w:instrText xml:space="preserve"> HYPERLINK \l _Toc3047 </w:instrText>
      </w:r>
      <w:r>
        <w:fldChar w:fldCharType="separate"/>
      </w:r>
      <w:r>
        <w:rPr>
          <w:rFonts w:ascii="Times New Roman" w:hAnsi="Times New Roman" w:eastAsia="黑体" w:cs="Times New Roman"/>
        </w:rPr>
        <w:t>2.3 国内外文献综述简析</w:t>
      </w:r>
      <w:r>
        <w:tab/>
      </w:r>
      <w:r>
        <w:fldChar w:fldCharType="begin"/>
      </w:r>
      <w:r>
        <w:instrText xml:space="preserve"> PAGEREF _Toc3047 \h </w:instrText>
      </w:r>
      <w:r>
        <w:fldChar w:fldCharType="separate"/>
      </w:r>
      <w:r>
        <w:t>8</w:t>
      </w:r>
      <w:r>
        <w:fldChar w:fldCharType="end"/>
      </w:r>
      <w:r>
        <w:fldChar w:fldCharType="end"/>
      </w:r>
    </w:p>
    <w:p w14:paraId="031AC674">
      <w:pPr>
        <w:pStyle w:val="11"/>
        <w:tabs>
          <w:tab w:val="right" w:leader="dot" w:pos="9075"/>
        </w:tabs>
      </w:pPr>
      <w:r>
        <w:fldChar w:fldCharType="begin"/>
      </w:r>
      <w:r>
        <w:instrText xml:space="preserve"> HYPERLINK \l _Toc3687 </w:instrText>
      </w:r>
      <w:r>
        <w:fldChar w:fldCharType="separate"/>
      </w:r>
      <w:r>
        <w:rPr>
          <w:rFonts w:ascii="Times New Roman" w:hAnsi="Times New Roman" w:eastAsia="黑体" w:cs="Times New Roman"/>
        </w:rPr>
        <w:t>3 主要内容及方案</w:t>
      </w:r>
      <w:r>
        <w:tab/>
      </w:r>
      <w:r>
        <w:fldChar w:fldCharType="begin"/>
      </w:r>
      <w:r>
        <w:instrText xml:space="preserve"> PAGEREF _Toc3687 \h </w:instrText>
      </w:r>
      <w:r>
        <w:fldChar w:fldCharType="separate"/>
      </w:r>
      <w:r>
        <w:t>10</w:t>
      </w:r>
      <w:r>
        <w:fldChar w:fldCharType="end"/>
      </w:r>
      <w:r>
        <w:fldChar w:fldCharType="end"/>
      </w:r>
    </w:p>
    <w:p w14:paraId="100C4065">
      <w:pPr>
        <w:pStyle w:val="12"/>
        <w:tabs>
          <w:tab w:val="right" w:leader="dot" w:pos="9075"/>
        </w:tabs>
      </w:pPr>
      <w:r>
        <w:fldChar w:fldCharType="begin"/>
      </w:r>
      <w:r>
        <w:instrText xml:space="preserve"> HYPERLINK \l _Toc18386 </w:instrText>
      </w:r>
      <w:r>
        <w:fldChar w:fldCharType="separate"/>
      </w:r>
      <w:r>
        <w:rPr>
          <w:rFonts w:ascii="Times New Roman" w:hAnsi="Times New Roman" w:eastAsia="黑体" w:cs="Times New Roman"/>
        </w:rPr>
        <w:t>3.1 科学问题与研究假设</w:t>
      </w:r>
      <w:r>
        <w:tab/>
      </w:r>
      <w:r>
        <w:fldChar w:fldCharType="begin"/>
      </w:r>
      <w:r>
        <w:instrText xml:space="preserve"> PAGEREF _Toc18386 \h </w:instrText>
      </w:r>
      <w:r>
        <w:fldChar w:fldCharType="separate"/>
      </w:r>
      <w:r>
        <w:t>10</w:t>
      </w:r>
      <w:r>
        <w:fldChar w:fldCharType="end"/>
      </w:r>
      <w:r>
        <w:fldChar w:fldCharType="end"/>
      </w:r>
    </w:p>
    <w:p w14:paraId="4709589C">
      <w:pPr>
        <w:pStyle w:val="12"/>
        <w:tabs>
          <w:tab w:val="right" w:leader="dot" w:pos="9075"/>
        </w:tabs>
      </w:pPr>
      <w:r>
        <w:fldChar w:fldCharType="begin"/>
      </w:r>
      <w:r>
        <w:instrText xml:space="preserve"> HYPERLINK \l _Toc22973 </w:instrText>
      </w:r>
      <w:r>
        <w:fldChar w:fldCharType="separate"/>
      </w:r>
      <w:r>
        <w:rPr>
          <w:rFonts w:ascii="Times New Roman" w:hAnsi="Times New Roman" w:eastAsia="黑体" w:cs="Times New Roman"/>
        </w:rPr>
        <w:t>3.2 研究内容与总体框架</w:t>
      </w:r>
      <w:r>
        <w:tab/>
      </w:r>
      <w:r>
        <w:fldChar w:fldCharType="begin"/>
      </w:r>
      <w:r>
        <w:instrText xml:space="preserve"> PAGEREF _Toc22973 \h </w:instrText>
      </w:r>
      <w:r>
        <w:fldChar w:fldCharType="separate"/>
      </w:r>
      <w:r>
        <w:t>11</w:t>
      </w:r>
      <w:r>
        <w:fldChar w:fldCharType="end"/>
      </w:r>
      <w:r>
        <w:fldChar w:fldCharType="end"/>
      </w:r>
    </w:p>
    <w:p w14:paraId="043F686B">
      <w:pPr>
        <w:pStyle w:val="12"/>
        <w:tabs>
          <w:tab w:val="right" w:leader="dot" w:pos="9075"/>
        </w:tabs>
      </w:pPr>
      <w:r>
        <w:fldChar w:fldCharType="begin"/>
      </w:r>
      <w:r>
        <w:instrText xml:space="preserve"> HYPERLINK \l _Toc9893 </w:instrText>
      </w:r>
      <w:r>
        <w:fldChar w:fldCharType="separate"/>
      </w:r>
      <w:r>
        <w:rPr>
          <w:rFonts w:ascii="Times New Roman" w:hAnsi="Times New Roman" w:eastAsia="黑体" w:cs="Times New Roman"/>
        </w:rPr>
        <w:t>3.3 总体技术路线</w:t>
      </w:r>
      <w:r>
        <w:tab/>
      </w:r>
      <w:r>
        <w:fldChar w:fldCharType="begin"/>
      </w:r>
      <w:r>
        <w:instrText xml:space="preserve"> PAGEREF _Toc9893 \h </w:instrText>
      </w:r>
      <w:r>
        <w:fldChar w:fldCharType="separate"/>
      </w:r>
      <w:r>
        <w:t>11</w:t>
      </w:r>
      <w:r>
        <w:fldChar w:fldCharType="end"/>
      </w:r>
      <w:r>
        <w:fldChar w:fldCharType="end"/>
      </w:r>
    </w:p>
    <w:p w14:paraId="12C67B9F">
      <w:pPr>
        <w:pStyle w:val="12"/>
        <w:tabs>
          <w:tab w:val="right" w:leader="dot" w:pos="9075"/>
        </w:tabs>
      </w:pPr>
      <w:r>
        <w:fldChar w:fldCharType="begin"/>
      </w:r>
      <w:r>
        <w:instrText xml:space="preserve"> HYPERLINK \l _Toc16486 </w:instrText>
      </w:r>
      <w:r>
        <w:fldChar w:fldCharType="separate"/>
      </w:r>
      <w:r>
        <w:rPr>
          <w:rFonts w:ascii="Times New Roman" w:hAnsi="Times New Roman" w:eastAsia="黑体" w:cs="Times New Roman"/>
        </w:rPr>
        <w:t>3.4 AI—城市人工水系统耦合模型</w:t>
      </w:r>
      <w:r>
        <w:tab/>
      </w:r>
      <w:r>
        <w:fldChar w:fldCharType="begin"/>
      </w:r>
      <w:r>
        <w:instrText xml:space="preserve"> PAGEREF _Toc16486 \h </w:instrText>
      </w:r>
      <w:r>
        <w:fldChar w:fldCharType="separate"/>
      </w:r>
      <w:r>
        <w:t>13</w:t>
      </w:r>
      <w:r>
        <w:fldChar w:fldCharType="end"/>
      </w:r>
      <w:r>
        <w:fldChar w:fldCharType="end"/>
      </w:r>
    </w:p>
    <w:p w14:paraId="451DE625">
      <w:pPr>
        <w:pStyle w:val="12"/>
        <w:tabs>
          <w:tab w:val="right" w:leader="dot" w:pos="9075"/>
        </w:tabs>
      </w:pPr>
      <w:r>
        <w:fldChar w:fldCharType="begin"/>
      </w:r>
      <w:r>
        <w:instrText xml:space="preserve"> HYPERLINK \l _Toc6244 </w:instrText>
      </w:r>
      <w:r>
        <w:fldChar w:fldCharType="separate"/>
      </w:r>
      <w:r>
        <w:rPr>
          <w:rFonts w:ascii="Times New Roman" w:hAnsi="Times New Roman" w:eastAsia="黑体" w:cs="Times New Roman"/>
        </w:rPr>
        <w:t>3.5 AI 扩张下城市水系统代谢响应分析</w:t>
      </w:r>
      <w:r>
        <w:tab/>
      </w:r>
      <w:r>
        <w:fldChar w:fldCharType="begin"/>
      </w:r>
      <w:r>
        <w:instrText xml:space="preserve"> PAGEREF _Toc6244 \h </w:instrText>
      </w:r>
      <w:r>
        <w:fldChar w:fldCharType="separate"/>
      </w:r>
      <w:r>
        <w:t>13</w:t>
      </w:r>
      <w:r>
        <w:fldChar w:fldCharType="end"/>
      </w:r>
      <w:r>
        <w:fldChar w:fldCharType="end"/>
      </w:r>
    </w:p>
    <w:p w14:paraId="0AD3D584">
      <w:pPr>
        <w:pStyle w:val="12"/>
        <w:tabs>
          <w:tab w:val="right" w:leader="dot" w:pos="9075"/>
        </w:tabs>
      </w:pPr>
      <w:r>
        <w:fldChar w:fldCharType="begin"/>
      </w:r>
      <w:r>
        <w:instrText xml:space="preserve"> HYPERLINK \l _Toc27797 </w:instrText>
      </w:r>
      <w:r>
        <w:fldChar w:fldCharType="separate"/>
      </w:r>
      <w:r>
        <w:rPr>
          <w:rFonts w:ascii="Times New Roman" w:hAnsi="Times New Roman" w:eastAsia="黑体" w:cs="Times New Roman"/>
        </w:rPr>
        <w:t>3.6 条件化承载边界与情景分析方法</w:t>
      </w:r>
      <w:r>
        <w:tab/>
      </w:r>
      <w:r>
        <w:fldChar w:fldCharType="begin"/>
      </w:r>
      <w:r>
        <w:instrText xml:space="preserve"> PAGEREF _Toc27797 \h </w:instrText>
      </w:r>
      <w:r>
        <w:fldChar w:fldCharType="separate"/>
      </w:r>
      <w:r>
        <w:t>14</w:t>
      </w:r>
      <w:r>
        <w:fldChar w:fldCharType="end"/>
      </w:r>
      <w:r>
        <w:fldChar w:fldCharType="end"/>
      </w:r>
    </w:p>
    <w:p w14:paraId="34060CAB">
      <w:pPr>
        <w:pStyle w:val="12"/>
        <w:tabs>
          <w:tab w:val="right" w:leader="dot" w:pos="9075"/>
        </w:tabs>
      </w:pPr>
      <w:r>
        <w:fldChar w:fldCharType="begin"/>
      </w:r>
      <w:r>
        <w:instrText xml:space="preserve"> HYPERLINK \l _Toc14263 </w:instrText>
      </w:r>
      <w:r>
        <w:fldChar w:fldCharType="separate"/>
      </w:r>
      <w:r>
        <w:rPr>
          <w:rFonts w:ascii="Times New Roman" w:hAnsi="Times New Roman" w:eastAsia="黑体" w:cs="Times New Roman"/>
        </w:rPr>
        <w:t>3.7 瓶颈识别与干预机制分析</w:t>
      </w:r>
      <w:r>
        <w:tab/>
      </w:r>
      <w:r>
        <w:fldChar w:fldCharType="begin"/>
      </w:r>
      <w:r>
        <w:instrText xml:space="preserve"> PAGEREF _Toc14263 \h </w:instrText>
      </w:r>
      <w:r>
        <w:fldChar w:fldCharType="separate"/>
      </w:r>
      <w:r>
        <w:t>16</w:t>
      </w:r>
      <w:r>
        <w:fldChar w:fldCharType="end"/>
      </w:r>
      <w:r>
        <w:fldChar w:fldCharType="end"/>
      </w:r>
    </w:p>
    <w:p w14:paraId="0A63E436">
      <w:pPr>
        <w:pStyle w:val="11"/>
        <w:tabs>
          <w:tab w:val="right" w:leader="dot" w:pos="9075"/>
        </w:tabs>
      </w:pPr>
      <w:r>
        <w:fldChar w:fldCharType="begin"/>
      </w:r>
      <w:r>
        <w:instrText xml:space="preserve"> HYPERLINK \l _Toc10917 </w:instrText>
      </w:r>
      <w:r>
        <w:fldChar w:fldCharType="separate"/>
      </w:r>
      <w:r>
        <w:rPr>
          <w:rFonts w:ascii="Times New Roman" w:hAnsi="Times New Roman" w:eastAsia="黑体" w:cs="Times New Roman"/>
        </w:rPr>
        <w:t>4 预期达到的目标</w:t>
      </w:r>
      <w:r>
        <w:tab/>
      </w:r>
      <w:r>
        <w:fldChar w:fldCharType="begin"/>
      </w:r>
      <w:r>
        <w:instrText xml:space="preserve"> PAGEREF _Toc10917 \h </w:instrText>
      </w:r>
      <w:r>
        <w:fldChar w:fldCharType="separate"/>
      </w:r>
      <w:r>
        <w:t>17</w:t>
      </w:r>
      <w:r>
        <w:fldChar w:fldCharType="end"/>
      </w:r>
      <w:r>
        <w:fldChar w:fldCharType="end"/>
      </w:r>
    </w:p>
    <w:p w14:paraId="734BFF02">
      <w:pPr>
        <w:pStyle w:val="12"/>
        <w:tabs>
          <w:tab w:val="right" w:leader="dot" w:pos="9075"/>
        </w:tabs>
      </w:pPr>
      <w:r>
        <w:fldChar w:fldCharType="begin"/>
      </w:r>
      <w:r>
        <w:instrText xml:space="preserve"> HYPERLINK \l _Toc4751 </w:instrText>
      </w:r>
      <w:r>
        <w:fldChar w:fldCharType="separate"/>
      </w:r>
      <w:r>
        <w:rPr>
          <w:rFonts w:ascii="Times New Roman" w:hAnsi="Times New Roman" w:eastAsia="黑体" w:cs="Times New Roman"/>
        </w:rPr>
        <w:t>4.1 预期科学认识</w:t>
      </w:r>
      <w:r>
        <w:tab/>
      </w:r>
      <w:r>
        <w:fldChar w:fldCharType="begin"/>
      </w:r>
      <w:r>
        <w:instrText xml:space="preserve"> PAGEREF _Toc4751 \h </w:instrText>
      </w:r>
      <w:r>
        <w:fldChar w:fldCharType="separate"/>
      </w:r>
      <w:r>
        <w:t>17</w:t>
      </w:r>
      <w:r>
        <w:fldChar w:fldCharType="end"/>
      </w:r>
      <w:r>
        <w:fldChar w:fldCharType="end"/>
      </w:r>
    </w:p>
    <w:p w14:paraId="17A77742">
      <w:pPr>
        <w:pStyle w:val="12"/>
        <w:tabs>
          <w:tab w:val="right" w:leader="dot" w:pos="9075"/>
        </w:tabs>
      </w:pPr>
      <w:r>
        <w:fldChar w:fldCharType="begin"/>
      </w:r>
      <w:r>
        <w:instrText xml:space="preserve"> HYPERLINK \l _Toc8098 </w:instrText>
      </w:r>
      <w:r>
        <w:fldChar w:fldCharType="separate"/>
      </w:r>
      <w:r>
        <w:rPr>
          <w:rFonts w:ascii="Times New Roman" w:hAnsi="Times New Roman" w:eastAsia="黑体" w:cs="Times New Roman"/>
        </w:rPr>
        <w:t>4.2 预期创新</w:t>
      </w:r>
      <w:r>
        <w:tab/>
      </w:r>
      <w:r>
        <w:fldChar w:fldCharType="begin"/>
      </w:r>
      <w:r>
        <w:instrText xml:space="preserve"> PAGEREF _Toc8098 \h </w:instrText>
      </w:r>
      <w:r>
        <w:fldChar w:fldCharType="separate"/>
      </w:r>
      <w:r>
        <w:t>17</w:t>
      </w:r>
      <w:r>
        <w:fldChar w:fldCharType="end"/>
      </w:r>
      <w:r>
        <w:fldChar w:fldCharType="end"/>
      </w:r>
    </w:p>
    <w:p w14:paraId="69A59F81">
      <w:pPr>
        <w:pStyle w:val="12"/>
        <w:tabs>
          <w:tab w:val="right" w:leader="dot" w:pos="9075"/>
        </w:tabs>
      </w:pPr>
      <w:r>
        <w:fldChar w:fldCharType="begin"/>
      </w:r>
      <w:r>
        <w:instrText xml:space="preserve"> HYPERLINK \l _Toc21798 </w:instrText>
      </w:r>
      <w:r>
        <w:fldChar w:fldCharType="separate"/>
      </w:r>
      <w:r>
        <w:rPr>
          <w:rFonts w:ascii="Times New Roman" w:hAnsi="Times New Roman" w:eastAsia="黑体" w:cs="Times New Roman"/>
        </w:rPr>
        <w:t>4.3 预期成果</w:t>
      </w:r>
      <w:r>
        <w:tab/>
      </w:r>
      <w:r>
        <w:fldChar w:fldCharType="begin"/>
      </w:r>
      <w:r>
        <w:instrText xml:space="preserve"> PAGEREF _Toc21798 \h </w:instrText>
      </w:r>
      <w:r>
        <w:fldChar w:fldCharType="separate"/>
      </w:r>
      <w:r>
        <w:t>17</w:t>
      </w:r>
      <w:r>
        <w:fldChar w:fldCharType="end"/>
      </w:r>
      <w:r>
        <w:fldChar w:fldCharType="end"/>
      </w:r>
    </w:p>
    <w:p w14:paraId="2B21CE32">
      <w:pPr>
        <w:pStyle w:val="12"/>
        <w:tabs>
          <w:tab w:val="right" w:leader="dot" w:pos="9075"/>
        </w:tabs>
      </w:pPr>
      <w:r>
        <w:fldChar w:fldCharType="begin"/>
      </w:r>
      <w:r>
        <w:instrText xml:space="preserve"> HYPERLINK \l _Toc23763 </w:instrText>
      </w:r>
      <w:r>
        <w:fldChar w:fldCharType="separate"/>
      </w:r>
      <w:r>
        <w:rPr>
          <w:rFonts w:ascii="Times New Roman" w:hAnsi="Times New Roman"/>
        </w:rPr>
        <w:t>4.4 成果评价指标</w:t>
      </w:r>
      <w:r>
        <w:tab/>
      </w:r>
      <w:r>
        <w:fldChar w:fldCharType="begin"/>
      </w:r>
      <w:r>
        <w:instrText xml:space="preserve"> PAGEREF _Toc23763 \h </w:instrText>
      </w:r>
      <w:r>
        <w:fldChar w:fldCharType="separate"/>
      </w:r>
      <w:r>
        <w:t>18</w:t>
      </w:r>
      <w:r>
        <w:fldChar w:fldCharType="end"/>
      </w:r>
      <w:r>
        <w:fldChar w:fldCharType="end"/>
      </w:r>
    </w:p>
    <w:p w14:paraId="16CF5521">
      <w:pPr>
        <w:pStyle w:val="11"/>
        <w:tabs>
          <w:tab w:val="right" w:leader="dot" w:pos="9075"/>
        </w:tabs>
      </w:pPr>
      <w:r>
        <w:fldChar w:fldCharType="begin"/>
      </w:r>
      <w:r>
        <w:instrText xml:space="preserve"> HYPERLINK \l _Toc20943 </w:instrText>
      </w:r>
      <w:r>
        <w:fldChar w:fldCharType="separate"/>
      </w:r>
      <w:r>
        <w:rPr>
          <w:rFonts w:ascii="Times New Roman" w:hAnsi="Times New Roman" w:eastAsia="黑体" w:cs="Times New Roman"/>
        </w:rPr>
        <w:t>5 已完成的学术研究工作</w:t>
      </w:r>
      <w:r>
        <w:tab/>
      </w:r>
      <w:r>
        <w:fldChar w:fldCharType="begin"/>
      </w:r>
      <w:r>
        <w:instrText xml:space="preserve"> PAGEREF _Toc20943 \h </w:instrText>
      </w:r>
      <w:r>
        <w:fldChar w:fldCharType="separate"/>
      </w:r>
      <w:r>
        <w:t>18</w:t>
      </w:r>
      <w:r>
        <w:fldChar w:fldCharType="end"/>
      </w:r>
      <w:r>
        <w:fldChar w:fldCharType="end"/>
      </w:r>
    </w:p>
    <w:p w14:paraId="41278EA2">
      <w:pPr>
        <w:pStyle w:val="11"/>
        <w:tabs>
          <w:tab w:val="right" w:leader="dot" w:pos="9075"/>
        </w:tabs>
      </w:pPr>
      <w:r>
        <w:fldChar w:fldCharType="begin"/>
      </w:r>
      <w:r>
        <w:instrText xml:space="preserve"> HYPERLINK \l _Toc193 </w:instrText>
      </w:r>
      <w:r>
        <w:fldChar w:fldCharType="separate"/>
      </w:r>
      <w:r>
        <w:rPr>
          <w:rFonts w:ascii="Times New Roman" w:hAnsi="Times New Roman" w:eastAsia="黑体" w:cs="Times New Roman"/>
        </w:rPr>
        <w:t>6 进度安排</w:t>
      </w:r>
      <w:r>
        <w:tab/>
      </w:r>
      <w:r>
        <w:fldChar w:fldCharType="begin"/>
      </w:r>
      <w:r>
        <w:instrText xml:space="preserve"> PAGEREF _Toc193 \h </w:instrText>
      </w:r>
      <w:r>
        <w:fldChar w:fldCharType="separate"/>
      </w:r>
      <w:r>
        <w:t>18</w:t>
      </w:r>
      <w:r>
        <w:fldChar w:fldCharType="end"/>
      </w:r>
      <w:r>
        <w:fldChar w:fldCharType="end"/>
      </w:r>
    </w:p>
    <w:p w14:paraId="35821ACB">
      <w:pPr>
        <w:pStyle w:val="11"/>
        <w:tabs>
          <w:tab w:val="right" w:leader="dot" w:pos="9075"/>
        </w:tabs>
      </w:pPr>
      <w:r>
        <w:fldChar w:fldCharType="begin"/>
      </w:r>
      <w:r>
        <w:instrText xml:space="preserve"> HYPERLINK \l _Toc29805 </w:instrText>
      </w:r>
      <w:r>
        <w:fldChar w:fldCharType="separate"/>
      </w:r>
      <w:r>
        <w:rPr>
          <w:rFonts w:ascii="Times New Roman" w:hAnsi="Times New Roman" w:eastAsia="黑体" w:cs="Times New Roman"/>
        </w:rPr>
        <w:t>7 为完成课题所需的条件</w:t>
      </w:r>
      <w:r>
        <w:tab/>
      </w:r>
      <w:r>
        <w:fldChar w:fldCharType="begin"/>
      </w:r>
      <w:r>
        <w:instrText xml:space="preserve"> PAGEREF _Toc29805 \h </w:instrText>
      </w:r>
      <w:r>
        <w:fldChar w:fldCharType="separate"/>
      </w:r>
      <w:r>
        <w:t>19</w:t>
      </w:r>
      <w:r>
        <w:fldChar w:fldCharType="end"/>
      </w:r>
      <w:r>
        <w:fldChar w:fldCharType="end"/>
      </w:r>
    </w:p>
    <w:p w14:paraId="7A16B293">
      <w:pPr>
        <w:pStyle w:val="12"/>
        <w:tabs>
          <w:tab w:val="right" w:leader="dot" w:pos="9075"/>
        </w:tabs>
      </w:pPr>
      <w:r>
        <w:fldChar w:fldCharType="begin"/>
      </w:r>
      <w:r>
        <w:instrText xml:space="preserve"> HYPERLINK \l _Toc22866 </w:instrText>
      </w:r>
      <w:r>
        <w:fldChar w:fldCharType="separate"/>
      </w:r>
      <w:r>
        <w:rPr>
          <w:rFonts w:ascii="Times New Roman" w:hAnsi="Times New Roman" w:eastAsia="黑体" w:cs="Times New Roman"/>
        </w:rPr>
        <w:t>7.1 理论、数据、软件与计算条件</w:t>
      </w:r>
      <w:r>
        <w:tab/>
      </w:r>
      <w:r>
        <w:fldChar w:fldCharType="begin"/>
      </w:r>
      <w:r>
        <w:instrText xml:space="preserve"> PAGEREF _Toc22866 \h </w:instrText>
      </w:r>
      <w:r>
        <w:fldChar w:fldCharType="separate"/>
      </w:r>
      <w:r>
        <w:t>19</w:t>
      </w:r>
      <w:r>
        <w:fldChar w:fldCharType="end"/>
      </w:r>
      <w:r>
        <w:fldChar w:fldCharType="end"/>
      </w:r>
    </w:p>
    <w:p w14:paraId="19BE2993">
      <w:pPr>
        <w:pStyle w:val="12"/>
        <w:tabs>
          <w:tab w:val="right" w:leader="dot" w:pos="9075"/>
        </w:tabs>
      </w:pPr>
      <w:r>
        <w:fldChar w:fldCharType="begin"/>
      </w:r>
      <w:r>
        <w:instrText xml:space="preserve"> HYPERLINK \l _Toc26258 </w:instrText>
      </w:r>
      <w:r>
        <w:fldChar w:fldCharType="separate"/>
      </w:r>
      <w:r>
        <w:rPr>
          <w:rFonts w:ascii="Times New Roman" w:hAnsi="Times New Roman" w:eastAsia="黑体" w:cs="Times New Roman"/>
        </w:rPr>
        <w:t>7.2 研究组织与成果管理</w:t>
      </w:r>
      <w:r>
        <w:tab/>
      </w:r>
      <w:r>
        <w:fldChar w:fldCharType="begin"/>
      </w:r>
      <w:r>
        <w:instrText xml:space="preserve"> PAGEREF _Toc26258 \h </w:instrText>
      </w:r>
      <w:r>
        <w:fldChar w:fldCharType="separate"/>
      </w:r>
      <w:r>
        <w:t>20</w:t>
      </w:r>
      <w:r>
        <w:fldChar w:fldCharType="end"/>
      </w:r>
      <w:r>
        <w:fldChar w:fldCharType="end"/>
      </w:r>
    </w:p>
    <w:p w14:paraId="4A355B3E">
      <w:pPr>
        <w:pStyle w:val="11"/>
        <w:tabs>
          <w:tab w:val="right" w:leader="dot" w:pos="9075"/>
        </w:tabs>
      </w:pPr>
      <w:r>
        <w:fldChar w:fldCharType="begin"/>
      </w:r>
      <w:r>
        <w:instrText xml:space="preserve"> HYPERLINK \l _Toc22519 </w:instrText>
      </w:r>
      <w:r>
        <w:fldChar w:fldCharType="separate"/>
      </w:r>
      <w:r>
        <w:rPr>
          <w:rFonts w:ascii="Times New Roman" w:hAnsi="Times New Roman" w:eastAsia="黑体" w:cs="Times New Roman"/>
        </w:rPr>
        <w:t>8 研究过程中可能遇到的问题及解决措施</w:t>
      </w:r>
      <w:r>
        <w:tab/>
      </w:r>
      <w:r>
        <w:fldChar w:fldCharType="begin"/>
      </w:r>
      <w:r>
        <w:instrText xml:space="preserve"> PAGEREF _Toc22519 \h </w:instrText>
      </w:r>
      <w:r>
        <w:fldChar w:fldCharType="separate"/>
      </w:r>
      <w:r>
        <w:t>20</w:t>
      </w:r>
      <w:r>
        <w:fldChar w:fldCharType="end"/>
      </w:r>
      <w:r>
        <w:fldChar w:fldCharType="end"/>
      </w:r>
    </w:p>
    <w:p w14:paraId="7EF6925C">
      <w:pPr>
        <w:pStyle w:val="12"/>
        <w:tabs>
          <w:tab w:val="right" w:leader="dot" w:pos="9075"/>
        </w:tabs>
      </w:pPr>
      <w:r>
        <w:fldChar w:fldCharType="begin"/>
      </w:r>
      <w:r>
        <w:instrText xml:space="preserve"> HYPERLINK \l _Toc4492 </w:instrText>
      </w:r>
      <w:r>
        <w:fldChar w:fldCharType="separate"/>
      </w:r>
      <w:r>
        <w:rPr>
          <w:rFonts w:ascii="Times New Roman" w:hAnsi="Times New Roman"/>
        </w:rPr>
        <w:t>8.1 研究边界变化与复杂度控制</w:t>
      </w:r>
      <w:r>
        <w:tab/>
      </w:r>
      <w:r>
        <w:fldChar w:fldCharType="begin"/>
      </w:r>
      <w:r>
        <w:instrText xml:space="preserve"> PAGEREF _Toc4492 \h </w:instrText>
      </w:r>
      <w:r>
        <w:fldChar w:fldCharType="separate"/>
      </w:r>
      <w:r>
        <w:t>20</w:t>
      </w:r>
      <w:r>
        <w:fldChar w:fldCharType="end"/>
      </w:r>
      <w:r>
        <w:fldChar w:fldCharType="end"/>
      </w:r>
    </w:p>
    <w:p w14:paraId="291ABB5A">
      <w:pPr>
        <w:pStyle w:val="12"/>
        <w:tabs>
          <w:tab w:val="right" w:leader="dot" w:pos="9075"/>
        </w:tabs>
      </w:pPr>
      <w:r>
        <w:fldChar w:fldCharType="begin"/>
      </w:r>
      <w:r>
        <w:instrText xml:space="preserve"> HYPERLINK \l _Toc28662 </w:instrText>
      </w:r>
      <w:r>
        <w:fldChar w:fldCharType="separate"/>
      </w:r>
      <w:r>
        <w:rPr>
          <w:rFonts w:ascii="Times New Roman" w:hAnsi="Times New Roman"/>
        </w:rPr>
        <w:t>8.2 证据等级与外推</w:t>
      </w:r>
      <w:r>
        <w:tab/>
      </w:r>
      <w:r>
        <w:fldChar w:fldCharType="begin"/>
      </w:r>
      <w:r>
        <w:instrText xml:space="preserve"> PAGEREF _Toc28662 \h </w:instrText>
      </w:r>
      <w:r>
        <w:fldChar w:fldCharType="separate"/>
      </w:r>
      <w:r>
        <w:t>20</w:t>
      </w:r>
      <w:r>
        <w:fldChar w:fldCharType="end"/>
      </w:r>
      <w:r>
        <w:fldChar w:fldCharType="end"/>
      </w:r>
    </w:p>
    <w:p w14:paraId="0540FFE6">
      <w:pPr>
        <w:pStyle w:val="12"/>
        <w:tabs>
          <w:tab w:val="right" w:leader="dot" w:pos="9075"/>
        </w:tabs>
      </w:pPr>
      <w:r>
        <w:fldChar w:fldCharType="begin"/>
      </w:r>
      <w:r>
        <w:instrText xml:space="preserve"> HYPERLINK \l _Toc21997 </w:instrText>
      </w:r>
      <w:r>
        <w:fldChar w:fldCharType="separate"/>
      </w:r>
      <w:r>
        <w:rPr>
          <w:rFonts w:ascii="Times New Roman" w:hAnsi="Times New Roman"/>
        </w:rPr>
        <w:t>8.3 结果稳定性与质量保证</w:t>
      </w:r>
      <w:r>
        <w:tab/>
      </w:r>
      <w:r>
        <w:fldChar w:fldCharType="begin"/>
      </w:r>
      <w:r>
        <w:instrText xml:space="preserve"> PAGEREF _Toc21997 \h </w:instrText>
      </w:r>
      <w:r>
        <w:fldChar w:fldCharType="separate"/>
      </w:r>
      <w:r>
        <w:t>21</w:t>
      </w:r>
      <w:r>
        <w:fldChar w:fldCharType="end"/>
      </w:r>
      <w:r>
        <w:fldChar w:fldCharType="end"/>
      </w:r>
    </w:p>
    <w:p w14:paraId="54F51988">
      <w:pPr>
        <w:pStyle w:val="11"/>
        <w:tabs>
          <w:tab w:val="right" w:leader="dot" w:pos="9075"/>
        </w:tabs>
      </w:pPr>
      <w:r>
        <w:fldChar w:fldCharType="begin"/>
      </w:r>
      <w:r>
        <w:instrText xml:space="preserve"> HYPERLINK \l _Toc30807 </w:instrText>
      </w:r>
      <w:r>
        <w:fldChar w:fldCharType="separate"/>
      </w:r>
      <w:r>
        <w:rPr>
          <w:rFonts w:ascii="Times New Roman" w:hAnsi="Times New Roman" w:eastAsia="黑体" w:cs="Times New Roman"/>
        </w:rPr>
        <w:t>9 参考文献</w:t>
      </w:r>
      <w:r>
        <w:tab/>
      </w:r>
      <w:r>
        <w:fldChar w:fldCharType="begin"/>
      </w:r>
      <w:r>
        <w:instrText xml:space="preserve"> PAGEREF _Toc30807 \h </w:instrText>
      </w:r>
      <w:r>
        <w:fldChar w:fldCharType="separate"/>
      </w:r>
      <w:r>
        <w:t>22</w:t>
      </w:r>
      <w:r>
        <w:fldChar w:fldCharType="end"/>
      </w:r>
      <w:r>
        <w:fldChar w:fldCharType="end"/>
      </w:r>
    </w:p>
    <w:p w14:paraId="347BA17B">
      <w:r>
        <w:fldChar w:fldCharType="end"/>
      </w:r>
    </w:p>
    <w:p w14:paraId="0D2B97A2"/>
    <w:p w14:paraId="5163B948">
      <w:pPr>
        <w:pStyle w:val="22"/>
        <w:pageBreakBefore/>
        <w:ind w:firstLine="0" w:firstLineChars="0"/>
        <w:outlineLvl w:val="0"/>
      </w:pPr>
      <w:bookmarkStart w:id="0" w:name="_Toc22049"/>
      <w:bookmarkStart w:id="1" w:name="_Toc7116"/>
      <w:r>
        <w:rPr>
          <w:rFonts w:ascii="Times New Roman" w:hAnsi="Times New Roman" w:eastAsia="黑体" w:cs="Times New Roman"/>
          <w:b/>
          <w:color w:val="000000"/>
          <w:sz w:val="30"/>
        </w:rPr>
        <w:t>1 课题来源及研究目的和意义</w:t>
      </w:r>
      <w:bookmarkEnd w:id="0"/>
      <w:bookmarkEnd w:id="1"/>
    </w:p>
    <w:p w14:paraId="7211C648">
      <w:pPr>
        <w:pStyle w:val="23"/>
        <w:pageBreakBefore w:val="0"/>
        <w:ind w:firstLine="0" w:firstLineChars="0"/>
        <w:outlineLvl w:val="1"/>
      </w:pPr>
      <w:bookmarkStart w:id="2" w:name="_Toc29773"/>
      <w:bookmarkStart w:id="3" w:name="_Toc9770"/>
      <w:r>
        <w:rPr>
          <w:rFonts w:ascii="Times New Roman" w:hAnsi="Times New Roman" w:eastAsia="黑体" w:cs="Times New Roman"/>
          <w:b/>
          <w:color w:val="000000"/>
          <w:sz w:val="28"/>
        </w:rPr>
        <w:t>1.1 课题来源</w:t>
      </w:r>
      <w:bookmarkEnd w:id="2"/>
      <w:bookmarkEnd w:id="3"/>
    </w:p>
    <w:p w14:paraId="45CA7A8E">
      <w:pPr>
        <w:spacing w:before="0" w:after="0" w:line="360" w:lineRule="auto"/>
        <w:ind w:firstLine="420"/>
      </w:pPr>
      <w:commentRangeStart w:id="0"/>
      <w:r>
        <w:rPr>
          <w:rFonts w:ascii="Times New Roman" w:hAnsi="Times New Roman" w:eastAsia="宋体" w:cs="Times New Roman"/>
          <w:b w:val="0"/>
          <w:color w:val="000000"/>
          <w:sz w:val="24"/>
        </w:rPr>
        <w:t>本课题由 AI 算力基础设施扩张与城市供排水、再生水系统协同规划的现实需求提出。数据中心绿色低碳发展政策已将资源效率与基础设施布局作为重要方向[1]。本研究依据前期城市代谢建模积累，选择 AI 负荷引入后的水流结构、峰值服务和承载边界作为学位论文研究对象。</w:t>
      </w:r>
      <w:commentRangeEnd w:id="0"/>
      <w:r>
        <w:commentReference w:id="0"/>
      </w:r>
    </w:p>
    <w:p w14:paraId="2747444E">
      <w:pPr>
        <w:pStyle w:val="23"/>
        <w:pageBreakBefore w:val="0"/>
        <w:ind w:firstLine="0" w:firstLineChars="0"/>
        <w:outlineLvl w:val="1"/>
      </w:pPr>
      <w:bookmarkStart w:id="4" w:name="_Toc6285"/>
      <w:bookmarkStart w:id="5" w:name="_Toc31920"/>
      <w:r>
        <w:rPr>
          <w:rFonts w:ascii="Times New Roman" w:hAnsi="Times New Roman" w:eastAsia="黑体" w:cs="Times New Roman"/>
          <w:b/>
          <w:color w:val="000000"/>
          <w:sz w:val="28"/>
        </w:rPr>
        <w:t>1.2 课题研究目的和意义</w:t>
      </w:r>
      <w:bookmarkEnd w:id="4"/>
      <w:bookmarkEnd w:id="5"/>
    </w:p>
    <w:p w14:paraId="7A2DF640">
      <w:pPr>
        <w:pStyle w:val="24"/>
        <w:bidi w:val="0"/>
      </w:pPr>
      <w:bookmarkStart w:id="6" w:name="_Toc21442"/>
      <w:r>
        <w:t>1.2.1 研究背景</w:t>
      </w:r>
    </w:p>
    <w:p w14:paraId="4B638443">
      <w:pPr>
        <w:bidi w:val="0"/>
        <w:rPr>
          <w:lang w:val="en-US" w:eastAsia="zh-CN"/>
        </w:rPr>
      </w:pPr>
      <w:r>
        <w:rPr>
          <w:lang w:val="en-US" w:eastAsia="zh-CN"/>
        </w:rPr>
        <w:t>人工智能正由模型规模竞争转向算力基础设施竞争，全球数据中心用电规模与增速已被系统核算[4,5]，AI 的能源足迹由此进入政策与产业视野[2,3,6]。服务器功率密度与机房热流密度提升，使冷却系统成为决定数据中心能耗与水资源需求的关键环节。</w:t>
      </w:r>
    </w:p>
    <w:p w14:paraId="2CC5825C">
      <w:pPr>
        <w:bidi w:val="0"/>
        <w:rPr>
          <w:lang w:val="en-US" w:eastAsia="zh-CN"/>
        </w:rPr>
      </w:pPr>
      <w:r>
        <w:rPr>
          <w:lang w:val="en-US" w:eastAsia="zh-CN"/>
        </w:rPr>
        <w:t>传统城市规划通常将数据中心视为一般数字基础设施或普通工业用户，较少关注其与城市资源系统的深层耦合。但 AI 数据中心具有高连续负荷、高设备集中度与高散热供能可靠性要求，其水资源需求不仅取决于年度用水总量，还受湿球温度、冷却技术、负载率与局部供水设施能力共同影响，正成为连接数字经济与城市物质系统的新型节点。</w:t>
      </w:r>
    </w:p>
    <w:p w14:paraId="4802F940">
      <w:pPr>
        <w:bidi w:val="0"/>
        <w:rPr>
          <w:lang w:val="en-US" w:eastAsia="zh-CN"/>
        </w:rPr>
      </w:pPr>
      <w:r>
        <w:rPr>
          <w:lang w:val="en-US" w:eastAsia="zh-CN"/>
        </w:rPr>
        <w:t>现有研究主要集中于设施尺度水足迹，包括冷却直接取水耗水与电力供应的间接水足迹[7,8]。但设施足迹难以解释 AI 扩张对城市供水、污水处理、再生水利用与基础设施承载能力的系统影响：相同年度用水量的数据中心，因水源类型、负荷时序、冷却方式与城市设施条件不同，可能产生完全不同的资源压力，因此有必要将其作为城市水循环网络中的新型节点加以研究。</w:t>
      </w:r>
    </w:p>
    <w:p w14:paraId="55A0D8D7">
      <w:pPr>
        <w:bidi w:val="0"/>
        <w:rPr>
          <w:lang w:val="en-US" w:eastAsia="zh-CN"/>
        </w:rPr>
      </w:pPr>
      <w:r>
        <w:rPr>
          <w:lang w:val="en-US" w:eastAsia="zh-CN"/>
        </w:rPr>
        <w:t>城市人工水系统是包含水源输入、供水利用、污水产生、处理回收与再生利用的循环网络。AI 节点引入不仅增加冷却蒸发消耗与补水需求，也可能通过污水回流增加再生水潜在来源，改变系统内部资源流动结构。因此亟需建立连接 AI 负荷过程、冷却水需求与城市供排水网络的系统模拟框架。</w:t>
      </w:r>
    </w:p>
    <w:p w14:paraId="17554E97">
      <w:pPr>
        <w:pStyle w:val="24"/>
        <w:bidi w:val="0"/>
        <w:rPr>
          <w:lang w:val="en-US" w:eastAsia="zh-CN"/>
        </w:rPr>
      </w:pPr>
      <w:r>
        <w:rPr>
          <w:lang w:val="en-US" w:eastAsia="zh-CN"/>
        </w:rPr>
        <w:t>1.2.2 研究目的</w:t>
      </w:r>
    </w:p>
    <w:p w14:paraId="48BED69B">
      <w:pPr>
        <w:bidi w:val="0"/>
        <w:rPr>
          <w:lang w:val="en-US" w:eastAsia="zh-CN"/>
        </w:rPr>
      </w:pPr>
      <w:r>
        <w:rPr>
          <w:lang w:val="en-US" w:eastAsia="zh-CN"/>
        </w:rPr>
        <w:t>本研究旨在建立 AI 算力基础设施驱动下城市人工水系统代谢响应与条件化承载边界分析框架，构建由 AI IT 容量、热排散过程、冷却补水需求到城市给水、污水和再生水系统的全过程耦合模型，实现数字基础设施与城市水系统之间物质流动关系的定量描述。</w:t>
      </w:r>
    </w:p>
    <w:p w14:paraId="4C1A29AD">
      <w:pPr>
        <w:bidi w:val="0"/>
        <w:rPr>
          <w:lang w:val="en-US" w:eastAsia="zh-CN"/>
        </w:rPr>
      </w:pPr>
      <w:r>
        <w:rPr>
          <w:lang w:val="en-US" w:eastAsia="zh-CN"/>
        </w:rPr>
        <w:t>具体而言，本研究拟实现以下目标：</w:t>
      </w:r>
    </w:p>
    <w:p w14:paraId="59C64FA0">
      <w:pPr>
        <w:bidi w:val="0"/>
        <w:rPr>
          <w:lang w:val="en-US" w:eastAsia="zh-CN"/>
        </w:rPr>
      </w:pPr>
      <w:r>
        <w:rPr>
          <w:lang w:val="en-US" w:eastAsia="zh-CN"/>
        </w:rPr>
        <w:t>（1）揭示 AI 算力扩张对城市人工水系统代谢结构的影响机制，分析取水、消耗、回流与再生利用路径随负荷增长的变化，识别系统由规模增长转向结构重构的条件。</w:t>
      </w:r>
    </w:p>
    <w:p w14:paraId="7392BD50">
      <w:pPr>
        <w:bidi w:val="0"/>
        <w:rPr>
          <w:lang w:val="en-US" w:eastAsia="zh-CN"/>
        </w:rPr>
      </w:pPr>
      <w:r>
        <w:rPr>
          <w:lang w:val="en-US" w:eastAsia="zh-CN"/>
        </w:rPr>
        <w:t>（2）建立面向城市尺度的条件化承载边界分析方法，将水源条件、基础设施能力、冷却技术、气候压力与服务可靠性纳入统一框架，突破仅以年度水资源总量评价承载能力的传统方式。</w:t>
      </w:r>
    </w:p>
    <w:p w14:paraId="6001A207">
      <w:pPr>
        <w:bidi w:val="0"/>
        <w:rPr>
          <w:lang w:val="en-US" w:eastAsia="zh-CN"/>
        </w:rPr>
      </w:pPr>
      <w:r>
        <w:rPr>
          <w:lang w:val="en-US" w:eastAsia="zh-CN"/>
        </w:rPr>
        <w:t>（3）识别城市水系统关键约束与瓶颈迁移机制，分析水源、给水、污水处理、再生水利用与输配能力如何共同决定 AI 承载边界，为算力布局与水务设施协同规划提供依据。</w:t>
      </w:r>
    </w:p>
    <w:p w14:paraId="226824B3">
      <w:pPr>
        <w:pStyle w:val="24"/>
        <w:bidi w:val="0"/>
        <w:rPr>
          <w:lang w:val="en-US" w:eastAsia="zh-CN"/>
        </w:rPr>
      </w:pPr>
      <w:r>
        <w:rPr>
          <w:lang w:val="en-US" w:eastAsia="zh-CN"/>
        </w:rPr>
        <w:t>1.2.3 研究意义</w:t>
      </w:r>
    </w:p>
    <w:p w14:paraId="2079DD82">
      <w:pPr>
        <w:bidi w:val="0"/>
        <w:rPr>
          <w:lang w:val="en-US" w:eastAsia="zh-CN"/>
        </w:rPr>
      </w:pPr>
      <w:r>
        <w:rPr>
          <w:lang w:val="en-US" w:eastAsia="zh-CN"/>
        </w:rPr>
        <w:t>（1）理论意义</w:t>
      </w:r>
    </w:p>
    <w:p w14:paraId="3963AD89">
      <w:pPr>
        <w:bidi w:val="0"/>
        <w:rPr>
          <w:lang w:val="en-US" w:eastAsia="zh-CN"/>
        </w:rPr>
      </w:pPr>
      <w:r>
        <w:rPr>
          <w:lang w:val="en-US" w:eastAsia="zh-CN"/>
        </w:rPr>
        <w:t>本研究将计算需求驱动的物理资源流纳入城市代谢分析体系，使数字基础设施由外部影响因素转变为与城市水循环过程相互耦合的节点，推动两类研究的交叉融合。</w:t>
      </w:r>
    </w:p>
    <w:p w14:paraId="4256DF27">
      <w:pPr>
        <w:bidi w:val="0"/>
        <w:rPr>
          <w:lang w:val="en-US" w:eastAsia="zh-CN"/>
        </w:rPr>
      </w:pPr>
      <w:r>
        <w:rPr>
          <w:lang w:val="en-US" w:eastAsia="zh-CN"/>
        </w:rPr>
        <w:t>同时完善综合城市水系统模拟方法，在供水、用水、污水与再生水统一框架下显式区分 Withdrawal、Consumption 与 Return Flow，并将水量、储存能力与峰值服务约束纳入同一分析边界。</w:t>
      </w:r>
    </w:p>
    <w:p w14:paraId="1D282DDB">
      <w:pPr>
        <w:bidi w:val="0"/>
        <w:rPr>
          <w:lang w:val="en-US" w:eastAsia="zh-CN"/>
        </w:rPr>
      </w:pPr>
      <w:r>
        <w:rPr>
          <w:lang w:val="en-US" w:eastAsia="zh-CN"/>
        </w:rPr>
        <w:t>此外，将城市承载力研究对象由人口或经济规模拓展至可量化的 AI IT 容量，探索资源供给、基础设施能力与风险容忍水平共同作用下的条件化承载边界，为数字时代的城市资源约束理论提供新视角。</w:t>
      </w:r>
    </w:p>
    <w:p w14:paraId="7D7958E0">
      <w:pPr>
        <w:bidi w:val="0"/>
        <w:rPr>
          <w:lang w:val="en-US" w:eastAsia="zh-CN"/>
        </w:rPr>
      </w:pPr>
      <w:r>
        <w:rPr>
          <w:lang w:val="en-US" w:eastAsia="zh-CN"/>
        </w:rPr>
        <w:t>（2）实践意义</w:t>
      </w:r>
    </w:p>
    <w:p w14:paraId="17C91F1A">
      <w:pPr>
        <w:bidi w:val="0"/>
        <w:rPr>
          <w:lang w:val="en-US" w:eastAsia="zh-CN"/>
        </w:rPr>
      </w:pPr>
      <w:r>
        <w:rPr>
          <w:lang w:val="en-US" w:eastAsia="zh-CN"/>
        </w:rPr>
        <w:t>在城市规划与管理层面，可为算力基础设施布局、取水许可管理与水务设施规划提供科学依据，避免 AI 项目建设中出现局部水资源超载或设施能力配置不足。</w:t>
      </w:r>
    </w:p>
    <w:p w14:paraId="25D97E80">
      <w:pPr>
        <w:bidi w:val="0"/>
        <w:rPr>
          <w:lang w:val="en-US" w:eastAsia="zh-CN"/>
        </w:rPr>
      </w:pPr>
      <w:r>
        <w:rPr>
          <w:lang w:val="en-US" w:eastAsia="zh-CN"/>
        </w:rPr>
        <w:t>对数据中心建设与运营主体，可支持不同冷却技术、水源配置与节水方案的系统比较，避免单一指标优化导致能耗或环境负荷转移。</w:t>
      </w:r>
    </w:p>
    <w:p w14:paraId="25891DD6">
      <w:pPr>
        <w:bidi w:val="0"/>
        <w:rPr>
          <w:lang w:val="en-US" w:eastAsia="zh-CN"/>
        </w:rPr>
      </w:pPr>
      <w:r>
        <w:rPr>
          <w:lang w:val="en-US" w:eastAsia="zh-CN"/>
        </w:rPr>
        <w:t>对城市水务管理部门，可评估 AI 算力增长对供水、污水处理、再生水系统与局部输配能力的新增压力，识别不同规模与时间尺度下有效的扩容策略，为投资、调度与风险应对提供支持。</w:t>
      </w:r>
    </w:p>
    <w:bookmarkEnd w:id="6"/>
    <w:p w14:paraId="4C6566E0">
      <w:pPr>
        <w:pStyle w:val="22"/>
        <w:pageBreakBefore/>
        <w:ind w:firstLine="0" w:firstLineChars="0"/>
        <w:outlineLvl w:val="0"/>
      </w:pPr>
      <w:bookmarkStart w:id="7" w:name="_Toc10098"/>
      <w:bookmarkStart w:id="8" w:name="_Toc12213"/>
      <w:r>
        <w:rPr>
          <w:rFonts w:ascii="Times New Roman" w:hAnsi="Times New Roman" w:eastAsia="黑体" w:cs="Times New Roman"/>
          <w:b/>
          <w:color w:val="000000"/>
          <w:sz w:val="30"/>
        </w:rPr>
        <w:t>2 国内外研究现状及分析</w:t>
      </w:r>
      <w:bookmarkEnd w:id="7"/>
      <w:bookmarkEnd w:id="8"/>
    </w:p>
    <w:p w14:paraId="32B44F48">
      <w:pPr>
        <w:pStyle w:val="23"/>
        <w:pageBreakBefore w:val="0"/>
        <w:ind w:firstLine="0" w:firstLineChars="0"/>
        <w:outlineLvl w:val="1"/>
      </w:pPr>
      <w:bookmarkStart w:id="9" w:name="_Toc8233"/>
      <w:bookmarkStart w:id="10" w:name="_Toc7665"/>
      <w:r>
        <w:rPr>
          <w:rFonts w:ascii="Times New Roman" w:hAnsi="Times New Roman" w:eastAsia="黑体" w:cs="Times New Roman"/>
          <w:b/>
          <w:color w:val="000000"/>
          <w:sz w:val="28"/>
        </w:rPr>
        <w:t>2.1 国外研究现状</w:t>
      </w:r>
      <w:bookmarkEnd w:id="9"/>
      <w:bookmarkEnd w:id="10"/>
    </w:p>
    <w:p w14:paraId="6122C738">
      <w:pPr>
        <w:pStyle w:val="24"/>
        <w:pageBreakBefore w:val="0"/>
        <w:ind w:firstLine="0" w:firstLineChars="0"/>
        <w:outlineLvl w:val="2"/>
      </w:pPr>
      <w:bookmarkStart w:id="11" w:name="_Toc18015"/>
      <w:bookmarkStart w:id="12" w:name="_Toc14799"/>
      <w:r>
        <w:rPr>
          <w:rFonts w:ascii="Times New Roman" w:hAnsi="Times New Roman" w:eastAsia="黑体" w:cs="Times New Roman"/>
          <w:b/>
          <w:color w:val="000000"/>
          <w:sz w:val="24"/>
        </w:rPr>
        <w:t>2.1.1 城市代谢与综合城市水系统</w:t>
      </w:r>
      <w:bookmarkEnd w:id="11"/>
      <w:bookmarkEnd w:id="12"/>
    </w:p>
    <w:p w14:paraId="238F5590">
      <w:pPr>
        <w:spacing w:before="0" w:after="0" w:line="360" w:lineRule="auto"/>
        <w:ind w:firstLine="420"/>
      </w:pPr>
      <w:r>
        <w:rPr>
          <w:rFonts w:ascii="Times New Roman" w:hAnsi="Times New Roman" w:eastAsia="宋体" w:cs="Times New Roman"/>
          <w:b w:val="0"/>
          <w:color w:val="000000"/>
          <w:sz w:val="24"/>
        </w:rPr>
        <w:t>Wolman以城市资源输入与废弃物输出阐述城市代谢概念</w:t>
      </w:r>
      <w:r>
        <w:rPr>
          <w:rFonts w:ascii="Times New Roman" w:hAnsi="Times New Roman" w:eastAsia="宋体" w:cs="Times New Roman"/>
          <w:b w:val="0"/>
          <w:color w:val="000000"/>
          <w:sz w:val="24"/>
          <w:vertAlign w:val="superscript"/>
        </w:rPr>
        <w:t>[16]</w:t>
      </w:r>
      <w:r>
        <w:rPr>
          <w:rFonts w:ascii="Times New Roman" w:hAnsi="Times New Roman" w:eastAsia="宋体" w:cs="Times New Roman"/>
          <w:b w:val="0"/>
          <w:color w:val="000000"/>
          <w:sz w:val="24"/>
        </w:rPr>
        <w:t>。Kennedy等从代谢变化及规划应用拓展了这一视角</w:t>
      </w:r>
      <w:r>
        <w:rPr>
          <w:rFonts w:ascii="Times New Roman" w:hAnsi="Times New Roman" w:eastAsia="宋体" w:cs="Times New Roman"/>
          <w:b w:val="0"/>
          <w:color w:val="000000"/>
          <w:sz w:val="24"/>
          <w:vertAlign w:val="superscript"/>
        </w:rPr>
        <w:t>[17,18]</w:t>
      </w:r>
      <w:r>
        <w:rPr>
          <w:rFonts w:ascii="宋体" w:hAnsi="宋体" w:eastAsia="宋体" w:cs="Times New Roman"/>
          <w:b w:val="0"/>
          <w:color w:val="000000"/>
          <w:sz w:val="24"/>
        </w:rPr>
        <w:t>，跨学科研究进一步强调物质流与城市过程之间的联系</w:t>
      </w:r>
      <w:r>
        <w:rPr>
          <w:rFonts w:ascii="Times New Roman" w:hAnsi="Times New Roman" w:eastAsia="宋体" w:cs="Times New Roman"/>
          <w:b w:val="0"/>
          <w:color w:val="000000"/>
          <w:sz w:val="24"/>
          <w:vertAlign w:val="superscript"/>
        </w:rPr>
        <w:t>[19]</w:t>
      </w:r>
      <w:r>
        <w:rPr>
          <w:rFonts w:ascii="宋体" w:hAnsi="宋体" w:eastAsia="宋体" w:cs="Times New Roman"/>
          <w:b w:val="0"/>
          <w:color w:val="000000"/>
          <w:sz w:val="24"/>
        </w:rPr>
        <w:t>。对于水系统而言，代谢视角的价值在于把供水、用水、污水、再生利用和环境排放放到同一张网络中，从而识别水量之外的路径结构。</w:t>
      </w:r>
    </w:p>
    <w:p w14:paraId="310EAC60">
      <w:pPr>
        <w:spacing w:before="0" w:after="0" w:line="360" w:lineRule="auto"/>
        <w:ind w:firstLine="420"/>
      </w:pPr>
      <w:r>
        <w:rPr>
          <w:rFonts w:ascii="Times New Roman" w:hAnsi="Times New Roman" w:eastAsia="宋体" w:cs="Times New Roman"/>
          <w:b w:val="0"/>
          <w:color w:val="000000"/>
          <w:sz w:val="24"/>
        </w:rPr>
        <w:t>WaterMet2 将供水、需求、污水和环境绩效置于统一分析框架[20,21]；综合城市水循环综述讨论了跨子系统模型的连接方式与适用边界[22,23]；WSIMOD 以节点和弧线连接水量与污染物通量，强调可组合建模和守恒检查[24]。相关系统动力学与强化学习研究尝试将动态反馈与水资源管理决策连接[25,26,77]，多目标建模综述梳理了优化与情景分析的工具边界[76]。这些成果为 AI 节点接入城市水循环提供了工具基础，本课题进一步关注该节点的连续负荷、气候敏感性及峰值服务约束。</w:t>
      </w:r>
    </w:p>
    <w:p w14:paraId="5CE4319C">
      <w:pPr>
        <w:spacing w:before="0" w:after="0" w:line="360" w:lineRule="auto"/>
        <w:ind w:firstLine="420"/>
      </w:pPr>
      <w:r>
        <w:rPr>
          <w:rFonts w:ascii="Times New Roman" w:hAnsi="Times New Roman" w:eastAsia="宋体" w:cs="Times New Roman"/>
          <w:b w:val="0"/>
          <w:color w:val="000000"/>
          <w:sz w:val="24"/>
        </w:rPr>
        <w:t>城市代谢研究的另一个不足是，部分研究以年度物质流清单为主，对峰值压力和设施瓶颈刻画不充分；对 AI 而言，年度总量可能掩盖极端高温周的冷却补水、短时接入能力和污水处理超负荷。因此本研究以日尺度为主时间步，并以极端周小时序列检验时间聚合是否改变承载判断；城市需水建模文献为设置传统用户基线提供了依据[27]。</w:t>
      </w:r>
    </w:p>
    <w:p w14:paraId="31CD2C75">
      <w:pPr>
        <w:pStyle w:val="24"/>
        <w:pageBreakBefore w:val="0"/>
        <w:ind w:firstLine="0" w:firstLineChars="0"/>
        <w:outlineLvl w:val="2"/>
      </w:pPr>
      <w:bookmarkStart w:id="13" w:name="_Toc28016"/>
      <w:bookmarkStart w:id="14" w:name="_Toc8095"/>
      <w:r>
        <w:rPr>
          <w:rFonts w:ascii="Times New Roman" w:hAnsi="Times New Roman" w:eastAsia="宋体"/>
          <w:sz w:val="24"/>
        </w:rPr>
        <w:t>2.1.2 城市水，能，碳关系</w:t>
      </w:r>
      <w:bookmarkEnd w:id="13"/>
      <w:bookmarkEnd w:id="14"/>
    </w:p>
    <w:p w14:paraId="7F077B82">
      <w:pPr>
        <w:spacing w:before="0" w:after="0" w:line="360" w:lineRule="auto"/>
        <w:ind w:firstLine="420"/>
      </w:pPr>
      <w:r>
        <w:rPr>
          <w:rFonts w:ascii="Times New Roman" w:hAnsi="Times New Roman" w:eastAsia="宋体"/>
          <w:sz w:val="24"/>
        </w:rPr>
        <w:t>城市水系统的取水、加压、给水处理、污水处理、深度再生与输配均伴随能源消耗[28,29]，相关研究强调边界与指标口径的一致性[30,31]；水源选择的能源与排放效应说明，降低某一环节用水并不必然降低系统总环境负荷[32]。</w:t>
      </w:r>
    </w:p>
    <w:p w14:paraId="3F25A12F">
      <w:pPr>
        <w:spacing w:before="0" w:after="0" w:line="360" w:lineRule="auto"/>
        <w:ind w:firstLine="420"/>
      </w:pPr>
      <w:r>
        <w:rPr>
          <w:rFonts w:ascii="宋体" w:hAnsi="宋体" w:eastAsia="宋体" w:cs="Times New Roman"/>
          <w:b w:val="0"/>
          <w:color w:val="000000"/>
          <w:sz w:val="24"/>
        </w:rPr>
        <w:t>其启示是：再生水处理深度与输送距离须与淡水替代量共同评价，本地物理水流与异地电力水足迹应分别呈现；数据中心水、能、碳综合足迹研究同样强调在完整环境边界下比较技术选择[33,75]。</w:t>
      </w:r>
    </w:p>
    <w:p w14:paraId="28ACECCD">
      <w:pPr>
        <w:pStyle w:val="24"/>
        <w:pageBreakBefore w:val="0"/>
        <w:ind w:firstLine="0" w:firstLineChars="0"/>
        <w:outlineLvl w:val="2"/>
      </w:pPr>
      <w:bookmarkStart w:id="15" w:name="_Toc31085"/>
      <w:bookmarkStart w:id="16" w:name="_Toc19470"/>
      <w:r>
        <w:rPr>
          <w:rFonts w:ascii="Times New Roman" w:hAnsi="Times New Roman" w:eastAsia="黑体" w:cs="Times New Roman"/>
          <w:b/>
          <w:color w:val="000000"/>
          <w:sz w:val="24"/>
        </w:rPr>
        <w:t>2.1.3 AI与数据中心资源环境足迹</w:t>
      </w:r>
      <w:bookmarkEnd w:id="15"/>
      <w:bookmarkEnd w:id="16"/>
    </w:p>
    <w:p w14:paraId="58184674">
      <w:pPr>
        <w:spacing w:before="0" w:after="0" w:line="360" w:lineRule="auto"/>
        <w:ind w:firstLine="420"/>
      </w:pPr>
      <w:r>
        <w:rPr>
          <w:rFonts w:ascii="Times New Roman" w:hAnsi="Times New Roman" w:eastAsia="宋体" w:cs="Times New Roman"/>
          <w:b w:val="0"/>
          <w:color w:val="000000"/>
          <w:sz w:val="24"/>
        </w:rPr>
        <w:t>AI 环境研究由训练阶段的能源与政策讨论[34,79]，发展到能耗与碳足迹的系统报告、计算碳足迹工具及 Green AI 理念[35-37]。</w:t>
      </w:r>
    </w:p>
    <w:p w14:paraId="504B5840">
      <w:pPr>
        <w:spacing w:before="0" w:after="0" w:line="360" w:lineRule="auto"/>
        <w:ind w:firstLine="420"/>
      </w:pPr>
      <w:r>
        <w:rPr>
          <w:rFonts w:ascii="Times New Roman" w:hAnsi="Times New Roman" w:eastAsia="宋体" w:cs="Times New Roman"/>
          <w:b w:val="0"/>
          <w:color w:val="000000"/>
          <w:sz w:val="24"/>
        </w:rPr>
        <w:t>Mytton和工作负荷水耗综述揭示了数据中心水使用的边界及其决定因素</w:t>
      </w:r>
      <w:r>
        <w:rPr>
          <w:rFonts w:ascii="Times New Roman" w:hAnsi="Times New Roman" w:eastAsia="宋体" w:cs="Times New Roman"/>
          <w:b w:val="0"/>
          <w:color w:val="000000"/>
          <w:sz w:val="24"/>
          <w:vertAlign w:val="superscript"/>
        </w:rPr>
        <w:t>[7,8]</w:t>
      </w:r>
      <w:r>
        <w:rPr>
          <w:rFonts w:ascii="Times New Roman" w:hAnsi="Times New Roman" w:eastAsia="宋体" w:cs="Times New Roman"/>
          <w:b w:val="0"/>
          <w:color w:val="000000"/>
          <w:sz w:val="24"/>
        </w:rPr>
        <w:t>；AI服务器情景分析、模型水足迹研究及不确定性预测表明，负荷、冷却、气候与电力结构需要联合考虑</w:t>
      </w:r>
      <w:r>
        <w:rPr>
          <w:rFonts w:ascii="Times New Roman" w:hAnsi="Times New Roman" w:eastAsia="宋体" w:cs="Times New Roman"/>
          <w:b w:val="0"/>
          <w:color w:val="000000"/>
          <w:sz w:val="24"/>
          <w:vertAlign w:val="superscript"/>
        </w:rPr>
        <w:t>[9,42,43]</w:t>
      </w:r>
      <w:r>
        <w:rPr>
          <w:rFonts w:ascii="宋体" w:hAnsi="宋体" w:eastAsia="宋体" w:cs="Times New Roman"/>
          <w:b w:val="0"/>
          <w:color w:val="000000"/>
          <w:sz w:val="24"/>
        </w:rPr>
        <w:t>。现有成果多以设施或区域足迹为终点，本研究拟继续追踪补水来源、排污去向、再生水竞争与城市设施余量。</w:t>
      </w:r>
    </w:p>
    <w:p w14:paraId="7C2AC68A">
      <w:pPr>
        <w:spacing w:before="0" w:after="0" w:line="360" w:lineRule="auto"/>
        <w:ind w:firstLine="420"/>
      </w:pPr>
      <w:r>
        <w:rPr>
          <w:rFonts w:ascii="Times New Roman" w:hAnsi="Times New Roman" w:eastAsia="宋体"/>
          <w:sz w:val="24"/>
        </w:rPr>
        <w:t>近期预印本已讨论数据中心对公共供水容量的压力，以及 AI 用水与供水条件之间的反馈[44,45]；数据中心—污水厂协同研究则分析数—水共生的环境潜力[46]。这些进展把问题推进到城市接口，也使水量、时间尺度与约束迁移需要统一处理。</w:t>
      </w:r>
    </w:p>
    <w:p w14:paraId="4E28DE6E">
      <w:pPr>
        <w:pStyle w:val="24"/>
        <w:pageBreakBefore w:val="0"/>
        <w:ind w:firstLine="0" w:firstLineChars="0"/>
        <w:outlineLvl w:val="2"/>
      </w:pPr>
      <w:bookmarkStart w:id="17" w:name="_Toc22047"/>
      <w:bookmarkStart w:id="18" w:name="_Toc8135"/>
      <w:r>
        <w:rPr>
          <w:rFonts w:ascii="Times New Roman" w:hAnsi="Times New Roman" w:eastAsia="黑体" w:cs="Times New Roman"/>
          <w:b/>
          <w:color w:val="000000"/>
          <w:sz w:val="24"/>
        </w:rPr>
        <w:t>2.1.4 冷却与再生水工程</w:t>
      </w:r>
      <w:bookmarkEnd w:id="17"/>
      <w:bookmarkEnd w:id="18"/>
    </w:p>
    <w:p w14:paraId="2A312FA4">
      <w:pPr>
        <w:spacing w:before="0" w:after="0" w:line="360" w:lineRule="auto"/>
        <w:ind w:firstLine="420"/>
      </w:pPr>
      <w:r>
        <w:rPr>
          <w:rFonts w:ascii="宋体" w:hAnsi="宋体" w:eastAsia="宋体" w:cs="Times New Roman"/>
          <w:b w:val="0"/>
          <w:color w:val="000000"/>
          <w:sz w:val="24"/>
        </w:rPr>
        <w:t>数据中心冷却综述分别讨论热排散、余热回收和自然冷却条件[47-49]，相变冷却与综合技术综述梳理了设备架构和适用工况[50,51]，液冷研究指出其系统集成方面的挑战[52]。本研究区分服务器侧热捕集（空气、direct-to-chip 与浸没式液冷）与设施侧末端排热（干式、湿式与干湿混合），现场耗水由两层架构及运行条件共同决定。</w:t>
      </w:r>
    </w:p>
    <w:p w14:paraId="16A2980F">
      <w:pPr>
        <w:pStyle w:val="24"/>
        <w:pageBreakBefore w:val="0"/>
        <w:ind w:firstLine="0" w:firstLineChars="0"/>
        <w:outlineLvl w:val="2"/>
      </w:pPr>
      <w:bookmarkStart w:id="19" w:name="_Toc9243"/>
      <w:bookmarkStart w:id="20" w:name="_Toc20188"/>
      <w:r>
        <w:rPr>
          <w:rFonts w:ascii="Times New Roman" w:hAnsi="Times New Roman" w:eastAsia="黑体" w:cs="Times New Roman"/>
          <w:b/>
          <w:color w:val="000000"/>
          <w:sz w:val="24"/>
        </w:rPr>
        <w:t>2.1.5 可靠性与不确定性决策方法</w:t>
      </w:r>
      <w:bookmarkEnd w:id="19"/>
      <w:bookmarkEnd w:id="20"/>
    </w:p>
    <w:p w14:paraId="2D0A84C4">
      <w:pPr>
        <w:spacing w:before="0" w:after="0" w:line="360" w:lineRule="auto"/>
        <w:ind w:firstLine="420"/>
      </w:pPr>
      <w:r>
        <w:rPr>
          <w:rFonts w:ascii="Times New Roman" w:hAnsi="Times New Roman" w:eastAsia="宋体"/>
          <w:sz w:val="24"/>
        </w:rPr>
        <w:t>可靠性，恢复性，脆弱性框架将水系统绩效分为服务满足频率、恢复速度和失效后果[53]。面向干旱与气候不确定性的稳健供水优化和政策评估，强调在多个未来条件下比较方案表现[54,55]；动态适应路径方法通过状态变化安排决策时序[56,57]，并已应用于综合城市污水系统规划[58]。这些研究为结果的情景解释提供参照。</w:t>
      </w:r>
    </w:p>
    <w:p w14:paraId="1B245A3B">
      <w:pPr>
        <w:pStyle w:val="23"/>
        <w:pageBreakBefore w:val="0"/>
        <w:ind w:firstLine="0" w:firstLineChars="0"/>
        <w:outlineLvl w:val="1"/>
      </w:pPr>
      <w:bookmarkStart w:id="21" w:name="_Toc14570"/>
      <w:bookmarkStart w:id="22" w:name="_Toc17859"/>
      <w:r>
        <w:rPr>
          <w:rFonts w:ascii="Times New Roman" w:hAnsi="Times New Roman" w:eastAsia="黑体" w:cs="Times New Roman"/>
          <w:b/>
          <w:color w:val="000000"/>
          <w:sz w:val="28"/>
        </w:rPr>
        <w:t>2.2 国内研究现状</w:t>
      </w:r>
      <w:bookmarkEnd w:id="21"/>
      <w:bookmarkEnd w:id="22"/>
    </w:p>
    <w:p w14:paraId="3C45FD8D">
      <w:pPr>
        <w:spacing w:before="0" w:after="0" w:line="360" w:lineRule="auto"/>
        <w:ind w:firstLine="420"/>
      </w:pPr>
      <w:r>
        <w:rPr>
          <w:rFonts w:ascii="宋体" w:hAnsi="宋体" w:eastAsia="宋体" w:cs="Times New Roman"/>
          <w:b w:val="0"/>
          <w:color w:val="000000"/>
          <w:sz w:val="24"/>
        </w:rPr>
        <w:t>国内水资源承载力研究从概念和方法辨析出发[60]，发展出设计承载容量、系统动力学模拟与综合评价等路线[61]；义乌、榆林案例以动态模型分析资源供需和城市发展[62,63]，长春、广州研究将动态模拟与综合评价结合[64,65]，水环境承载力分区和承载上限检验进一步把污染负荷、区域差异与边界问题纳入分析[66,67]。这些研究提供了状态变量与情景设计经验，本课题将承载对象具体化为 AI IT 容量，并连接设施余量与时变服务约束。</w:t>
      </w:r>
    </w:p>
    <w:p w14:paraId="5B49BE0E">
      <w:pPr>
        <w:spacing w:before="0" w:after="0" w:line="360" w:lineRule="auto"/>
        <w:ind w:firstLine="420"/>
      </w:pPr>
      <w:r>
        <w:rPr>
          <w:rFonts w:ascii="Times New Roman" w:hAnsi="Times New Roman" w:eastAsia="宋体"/>
          <w:sz w:val="24"/>
        </w:rPr>
        <w:t>国内相关城市水代谢研究利用生态网络分析联合描述物理水和虚拟水代谢过程[68]，城市代谢视角的水—能综述梳理了资源流之间的耦合[69]；面向未来城市缺水的全球研究提示城市间资源禀赋和需求增长的差异[70]，再生水与污水系统适应路径研究关注不确定未来下的设施决策[71]。本课题以参数范围校核和外部城市公开资料的方向性锚定检验 AI 负荷引起的结构响应。</w:t>
      </w:r>
    </w:p>
    <w:p w14:paraId="2024C0AD">
      <w:pPr>
        <w:spacing w:before="0" w:after="0" w:line="360" w:lineRule="auto"/>
        <w:ind w:firstLine="420"/>
      </w:pPr>
      <w:r>
        <w:rPr>
          <w:rFonts w:ascii="宋体" w:hAnsi="宋体" w:eastAsia="宋体" w:cs="Times New Roman"/>
          <w:b w:val="0"/>
          <w:color w:val="000000"/>
          <w:sz w:val="24"/>
        </w:rPr>
        <w:t>针对中国数据中心的设施级研究已经开展能源驱动水足迹与水资源稀缺性分析[10]；绿色低碳发展政策提出资源效率和布局要求[1]，水资源使用效率标准提供数据中心评价口径[72]。供排水设计标准则为设施能力、服务条件和工程参数提供参照[73,74]。现有研究与标准分别覆盖设施效率和水务工程，本研究拟建立二者之间的过程接口，使AI规模、冷却技术与城市服务能力能够在同一边界下分析。</w:t>
      </w:r>
    </w:p>
    <w:p w14:paraId="39638A3E">
      <w:pPr>
        <w:pStyle w:val="23"/>
        <w:pageBreakBefore w:val="0"/>
        <w:ind w:firstLine="0" w:firstLineChars="0"/>
        <w:outlineLvl w:val="1"/>
      </w:pPr>
      <w:bookmarkStart w:id="23" w:name="_Toc3047"/>
      <w:bookmarkStart w:id="24" w:name="_Toc15689"/>
      <w:r>
        <w:rPr>
          <w:rFonts w:ascii="Times New Roman" w:hAnsi="Times New Roman" w:eastAsia="黑体" w:cs="Times New Roman"/>
          <w:b/>
          <w:color w:val="000000"/>
          <w:sz w:val="28"/>
        </w:rPr>
        <w:t>2.3 国内外文献综述简析</w:t>
      </w:r>
      <w:bookmarkEnd w:id="23"/>
      <w:bookmarkEnd w:id="24"/>
    </w:p>
    <w:p w14:paraId="75892E0C">
      <w:pPr>
        <w:spacing w:before="0" w:after="0" w:line="360" w:lineRule="auto"/>
        <w:ind w:firstLine="420"/>
      </w:pPr>
      <w:r>
        <w:rPr>
          <w:rFonts w:ascii="Times New Roman" w:hAnsi="Times New Roman"/>
          <w:sz w:val="24"/>
        </w:rPr>
        <w:t>现有研究留下的主要问题是知识链条尚未闭合：设施足迹研究能把计算量转换为水耗，城市水系统研究能描述供水、污水与再生水循环，但两者之间缺少以 AI IT 容量为驱动、以城市人工水系统为边界、可在日尺度验证的过程接口；也缺少对“相同年度水量为何产生不同系统压力”的时间尺度解释，以及水源、给水、污水与再生水瓶颈转换的机制识别。</w:t>
      </w:r>
    </w:p>
    <w:p w14:paraId="2CF41326">
      <w:pPr>
        <w:spacing w:before="0" w:after="0" w:line="360" w:lineRule="auto"/>
        <w:ind w:firstLine="420"/>
      </w:pPr>
      <w:r>
        <w:rPr>
          <w:rFonts w:ascii="宋体" w:hAnsi="宋体" w:eastAsia="宋体"/>
          <w:sz w:val="24"/>
        </w:rPr>
        <w:t>本研究据此凝练三条科学矛盾：第一，设施补水的规模增长与城市水流结构变化并非同一件事；第二，相同年用水量可能对应不同的峰值压力和服务可靠性；第三，增加再生水或扩充设施改变的不是单纯容量大小，也会改变决定容量的主导环节。三条矛盾分别对应“发生了什么，为什么边界不同，边界由什么控制”的递进认识。</w:t>
      </w:r>
    </w:p>
    <w:p w14:paraId="6A13A867">
      <w:pPr>
        <w:spacing w:before="0" w:after="0" w:line="360" w:lineRule="auto"/>
        <w:ind w:firstLine="420"/>
      </w:pPr>
      <w:r>
        <w:rPr>
          <w:rFonts w:ascii="Times New Roman" w:hAnsi="Times New Roman" w:eastAsia="宋体"/>
          <w:sz w:val="24"/>
        </w:rPr>
        <w:t>为使“代谢结构重构”具有可检验含义，本文把 AI 边际响应分为三个层次：规模响应（路径比例近似稳定、总量随容量同步变化）、结构响应（水源结构与 Withdrawal，Consumption，Return Flow 比例或污水—再生水内部循环持续偏移）、约束状态转换（主导约束在水源、给水与污水/再生水之间迁移）。只有观察到结构指标的系统性变化并排除单一容量截断造成的机械折点，才解释为结构重构。</w:t>
      </w:r>
    </w:p>
    <w:p w14:paraId="2F1F47E6">
      <w:pPr>
        <w:spacing w:before="0" w:after="0" w:line="360" w:lineRule="auto"/>
        <w:ind w:firstLine="420"/>
      </w:pPr>
      <w:r>
        <w:rPr>
          <w:rFonts w:ascii="Times New Roman" w:hAnsi="Times New Roman" w:eastAsia="宋体" w:cs="Times New Roman"/>
          <w:b w:val="0"/>
          <w:color w:val="000000"/>
          <w:sz w:val="24"/>
        </w:rPr>
        <w:t>从证据结构看，设施研究长于冷却与负荷关系，城市综合模型长于供排水路径与内部循环，承载力研究长于资源状态与发展规模的连接；但现有设施模型常把水源质量与城市管网能力外置为给定条件，城市水模型常把高密度计算负荷简化为一般工业用户，承载力模型又较少刻画小时级连续负荷与冷却技术的热—水转换。研究切入点是把三类知识组织为可检验的因果链：先以守恒关系确认 AI 新增用水如何分配为消耗与回流，再在年总量可比条件下改变负荷时序与气候响应，最后逐项解除约束观察边界与瓶颈变化，使模型承担统一实验平台的作用。</w:t>
      </w:r>
    </w:p>
    <w:p w14:paraId="5DC02D62">
      <w:pPr>
        <w:spacing w:before="0" w:after="0" w:line="360" w:lineRule="auto"/>
        <w:ind w:firstLine="420"/>
      </w:pPr>
      <w:r>
        <w:rPr>
          <w:rFonts w:ascii="Times New Roman" w:hAnsi="Times New Roman"/>
          <w:sz w:val="24"/>
        </w:rPr>
        <w:t>本研究把“AI IT 容量”定义为外生规模变量，把水源、给水、污水、再生水、储存、输配和服务优先级定义为参数化系统状态，把冷却架构和气候条件定义为过程参数，把 CAWCC 及其主导瓶颈定义为系统输出，从而可在可解释参数域内连续改变单一因素、保持其余不变，识别结构重构与瓶颈迁移的必要条件。</w:t>
      </w:r>
    </w:p>
    <w:p w14:paraId="2E8E3F48">
      <w:pPr>
        <w:pStyle w:val="22"/>
        <w:pageBreakBefore/>
        <w:ind w:firstLine="0" w:firstLineChars="0"/>
        <w:outlineLvl w:val="0"/>
      </w:pPr>
      <w:bookmarkStart w:id="25" w:name="_Toc3687"/>
      <w:bookmarkStart w:id="26" w:name="_Toc21069"/>
      <w:r>
        <w:rPr>
          <w:rFonts w:ascii="Times New Roman" w:hAnsi="Times New Roman" w:eastAsia="黑体" w:cs="Times New Roman"/>
          <w:b/>
          <w:color w:val="000000"/>
          <w:sz w:val="30"/>
        </w:rPr>
        <w:t>3 主要内容及方案</w:t>
      </w:r>
      <w:bookmarkEnd w:id="25"/>
      <w:bookmarkEnd w:id="26"/>
    </w:p>
    <w:p w14:paraId="4ADB3769">
      <w:pPr>
        <w:pStyle w:val="23"/>
        <w:pageBreakBefore w:val="0"/>
        <w:ind w:firstLine="0" w:firstLineChars="0"/>
        <w:outlineLvl w:val="1"/>
      </w:pPr>
      <w:bookmarkStart w:id="27" w:name="_Toc18386"/>
      <w:bookmarkStart w:id="28" w:name="_Toc13950"/>
      <w:r>
        <w:rPr>
          <w:rFonts w:ascii="Times New Roman" w:hAnsi="Times New Roman" w:eastAsia="黑体" w:cs="Times New Roman"/>
          <w:b/>
          <w:color w:val="000000"/>
          <w:sz w:val="28"/>
        </w:rPr>
        <w:t>3.1 科学问题与研究假设</w:t>
      </w:r>
      <w:bookmarkEnd w:id="27"/>
    </w:p>
    <w:p w14:paraId="247C0A66">
      <w:pPr>
        <w:spacing w:before="0" w:after="0" w:line="360" w:lineRule="auto"/>
        <w:ind w:firstLine="420"/>
      </w:pPr>
      <w:r>
        <w:rPr>
          <w:rFonts w:ascii="Times New Roman" w:hAnsi="Times New Roman" w:eastAsia="宋体" w:cs="Times New Roman"/>
          <w:b w:val="0"/>
          <w:color w:val="000000"/>
          <w:sz w:val="24"/>
        </w:rPr>
        <w:t>围绕研究空白，论文将“AI 负荷如何改变城市人工水系统”作为总问题，并分解为三个相互递进的科学问题：</w:t>
      </w:r>
    </w:p>
    <w:p w14:paraId="063FE1F0">
      <w:pPr>
        <w:spacing w:before="0" w:after="0" w:line="360" w:lineRule="auto"/>
        <w:ind w:firstLine="420"/>
      </w:pPr>
      <w:r>
        <w:rPr>
          <w:rFonts w:ascii="Times New Roman" w:hAnsi="Times New Roman" w:eastAsia="宋体" w:cs="Times New Roman"/>
          <w:b w:val="0"/>
          <w:color w:val="000000"/>
          <w:sz w:val="24"/>
        </w:rPr>
        <w:t>科学问题一（代谢响应）：AI 算力基础设施通过怎样的取水、消耗、回流与再生利用链条影响城市人工水系统？当 AI 规模接近城市关键设施承载能力附近时，系统响应何时由水量增加转变为水源结构、循环路径和设施负荷的重构？</w:t>
      </w:r>
    </w:p>
    <w:p w14:paraId="56898DE8">
      <w:pPr>
        <w:spacing w:before="0" w:after="0" w:line="360" w:lineRule="auto"/>
        <w:ind w:firstLine="420"/>
      </w:pPr>
      <w:r>
        <w:rPr>
          <w:rFonts w:ascii="Times New Roman" w:hAnsi="Times New Roman" w:eastAsia="宋体" w:cs="Times New Roman"/>
          <w:b w:val="0"/>
          <w:color w:val="000000"/>
          <w:sz w:val="24"/>
        </w:rPr>
        <w:t>科学问题二（时间尺度边界）：AI 负荷连续性、冷却对高温的敏感性以及与传统需水峰值的耦合，如何造成年、日与极端小时尺度承载边界的差异？年均评价在何种城市状态下会高估可承载的 AI 规模？</w:t>
      </w:r>
    </w:p>
    <w:p w14:paraId="641748EB">
      <w:pPr>
        <w:spacing w:before="0" w:after="0" w:line="360" w:lineRule="auto"/>
        <w:ind w:firstLine="420"/>
      </w:pPr>
      <w:r>
        <w:rPr>
          <w:rFonts w:ascii="Times New Roman" w:hAnsi="Times New Roman" w:eastAsia="宋体" w:cs="Times New Roman"/>
          <w:b w:val="0"/>
          <w:color w:val="000000"/>
          <w:sz w:val="24"/>
        </w:rPr>
        <w:t>科学问题三（瓶颈转换）：随 AI 规模扩张，城市水系统中哪一个环节最先成为限制因素，该限制如何在不同环节之间迁移？不同干预措施的有效区间与边际收益转折由什么决定？</w:t>
      </w:r>
    </w:p>
    <w:p w14:paraId="7BE1960D">
      <w:pPr>
        <w:spacing w:before="0" w:after="0" w:line="360" w:lineRule="auto"/>
        <w:ind w:firstLine="420"/>
      </w:pPr>
      <w:r>
        <w:rPr>
          <w:rFonts w:ascii="Times New Roman" w:hAnsi="Times New Roman" w:eastAsia="宋体" w:cs="Times New Roman"/>
          <w:b w:val="0"/>
          <w:color w:val="000000"/>
          <w:sz w:val="24"/>
        </w:rPr>
        <w:t>H1（代谢结构响应假设）：在 AI 规模较低的区间内，算力扩张主要表现为取水、耗水、回流与设施负荷的总量增加，水流路径比例基本保持稳定；当 AI 规模接近城市供水、污水处理或再生水利用等关键环节的承载能力附近时，系统响应可能由规模增长转变为结构调整，表现为水源结构与内部循环比例的持续偏移。该变化究竟来自系统约束还是人为配置结果，将通过不同水源配置策略下的对照加以区分。</w:t>
      </w:r>
    </w:p>
    <w:p w14:paraId="1B52367A">
      <w:pPr>
        <w:spacing w:before="0" w:after="0" w:line="360" w:lineRule="auto"/>
        <w:ind w:firstLine="420"/>
      </w:pPr>
      <w:r>
        <w:rPr>
          <w:rFonts w:ascii="Times New Roman" w:hAnsi="Times New Roman" w:eastAsia="宋体" w:cs="Times New Roman"/>
          <w:b w:val="0"/>
          <w:color w:val="000000"/>
          <w:sz w:val="24"/>
        </w:rPr>
        <w:t>H2（时间尺度边界假设）：在年总 AI 负荷与年总用水量可比的前提下，时间聚合会掩盖 AI 连续负荷、高温敏感冷却需求与传统需水峰值的叠加效应，因此年均尺度得到的承载边界预计不低于日尺度结果，日尺度结果不低于极端小时尺度结果。这一差异主要由峰值重合程度、气候条件与关键设施剩余能力决定；当储存调节、干式排热或设施裕度足以削峰时，差异相应缩小。</w:t>
      </w:r>
    </w:p>
    <w:p w14:paraId="342DBA54">
      <w:pPr>
        <w:spacing w:before="0" w:after="0" w:line="360" w:lineRule="auto"/>
        <w:ind w:firstLine="420"/>
      </w:pPr>
      <w:r>
        <w:rPr>
          <w:rFonts w:ascii="Times New Roman" w:hAnsi="Times New Roman" w:eastAsia="宋体" w:cs="Times New Roman"/>
          <w:b w:val="0"/>
          <w:color w:val="000000"/>
          <w:sz w:val="24"/>
        </w:rPr>
        <w:t>H3（瓶颈迁移与干预收益假设）：随 AI 规模提高，最先达到失效条件的约束会在水源、给水处理、局部接入、污水处理与再生水利用等环节之间转换。针对当前主导瓶颈实施扩容或技术干预可以提升承载边界，但随着其他约束接近阈值，单位干预带来的增量将下降并可能出现新的主导瓶颈，因此各类干预均存在条件化的有效区间与边际收益转折。</w:t>
      </w:r>
    </w:p>
    <w:p w14:paraId="32EBA085">
      <w:pPr>
        <w:pStyle w:val="23"/>
        <w:pageBreakBefore w:val="0"/>
        <w:ind w:firstLine="0" w:firstLineChars="0"/>
        <w:outlineLvl w:val="1"/>
      </w:pPr>
      <w:bookmarkStart w:id="29" w:name="_Toc22973"/>
      <w:r>
        <w:rPr>
          <w:rFonts w:ascii="Times New Roman" w:hAnsi="Times New Roman" w:eastAsia="黑体" w:cs="Times New Roman"/>
          <w:b/>
          <w:color w:val="000000"/>
          <w:sz w:val="28"/>
        </w:rPr>
        <w:t>3.2 研究内容与总体框架</w:t>
      </w:r>
      <w:bookmarkEnd w:id="29"/>
    </w:p>
    <w:p w14:paraId="02E5F5BF">
      <w:pPr>
        <w:spacing w:before="0" w:after="0" w:line="360" w:lineRule="auto"/>
        <w:ind w:firstLine="420"/>
      </w:pPr>
      <w:r>
        <w:rPr>
          <w:rFonts w:ascii="Times New Roman" w:hAnsi="Times New Roman" w:eastAsia="宋体" w:cs="Times New Roman"/>
          <w:b w:val="0"/>
          <w:color w:val="000000"/>
          <w:sz w:val="24"/>
        </w:rPr>
        <w:t>本研究围绕 AI 基础设施进入城市水系统后的资源流动、代谢变化、承载边界与瓶颈机制四个方面展开。四项内容依次承担平台构建、现象识别、边界解释与干预分析，共同服务于上述三个科学问题，对应关系如表3-1所示。</w:t>
      </w:r>
    </w:p>
    <w:p w14:paraId="157C5959">
      <w:pPr>
        <w:spacing w:before="0" w:after="0" w:line="360" w:lineRule="auto"/>
        <w:ind w:firstLine="420"/>
      </w:pPr>
      <w:r>
        <w:rPr>
          <w:rFonts w:ascii="Times New Roman" w:hAnsi="Times New Roman" w:eastAsia="宋体" w:cs="Times New Roman"/>
          <w:b w:val="0"/>
          <w:color w:val="000000"/>
          <w:sz w:val="24"/>
        </w:rPr>
        <w:t>表3-1 研究内容、核心任务与预期产出</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6BEC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Pr>
          <w:p w14:paraId="28EA782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研究内容</w:t>
            </w:r>
          </w:p>
        </w:tc>
        <w:tc>
          <w:tcPr>
            <w:tcW w:w="2267" w:type="dxa"/>
          </w:tcPr>
          <w:p w14:paraId="46D3E4E1">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核心任务</w:t>
            </w:r>
          </w:p>
        </w:tc>
        <w:tc>
          <w:tcPr>
            <w:tcW w:w="2267" w:type="dxa"/>
          </w:tcPr>
          <w:p w14:paraId="55C24A5C">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拟回答的问题</w:t>
            </w:r>
          </w:p>
        </w:tc>
        <w:tc>
          <w:tcPr>
            <w:tcW w:w="2270" w:type="dxa"/>
          </w:tcPr>
          <w:p w14:paraId="04952F5A">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预期形成</w:t>
            </w:r>
          </w:p>
        </w:tc>
      </w:tr>
      <w:tr w14:paraId="03B4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62191D8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一、耦合模型</w:t>
            </w:r>
          </w:p>
        </w:tc>
        <w:tc>
          <w:tcPr>
            <w:tcW w:w="2267" w:type="dxa"/>
          </w:tcPr>
          <w:p w14:paraId="6CC6CE7C">
            <w:pPr>
              <w:keepNext w:val="0"/>
              <w:spacing w:before="40" w:after="40" w:line="276" w:lineRule="auto"/>
              <w:ind w:left="0" w:right="0" w:firstLine="0"/>
              <w:jc w:val="left"/>
              <w:rPr>
                <w:rFonts w:ascii="Times New Roman" w:hAnsi="Times New Roman" w:eastAsia="宋体"/>
              </w:rPr>
            </w:pPr>
            <w:r>
              <w:rPr>
                <w:rFonts w:ascii="宋体" w:hAnsi="宋体" w:eastAsia="宋体"/>
                <w:sz w:val="21"/>
              </w:rPr>
              <w:t>建立AI节点、城市水循环、水量守恒和参数证据库</w:t>
            </w:r>
          </w:p>
        </w:tc>
        <w:tc>
          <w:tcPr>
            <w:tcW w:w="2267" w:type="dxa"/>
          </w:tcPr>
          <w:p w14:paraId="7373FFEB">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AI如何进入城市水流网络</w:t>
            </w:r>
          </w:p>
        </w:tc>
        <w:tc>
          <w:tcPr>
            <w:tcW w:w="2270" w:type="dxa"/>
          </w:tcPr>
          <w:p w14:paraId="471264C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可验证AI-UWM模型</w:t>
            </w:r>
          </w:p>
        </w:tc>
      </w:tr>
      <w:tr w14:paraId="12170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89DC4B9">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二、代谢响应</w:t>
            </w:r>
          </w:p>
        </w:tc>
        <w:tc>
          <w:tcPr>
            <w:tcW w:w="2267" w:type="dxa"/>
          </w:tcPr>
          <w:p w14:paraId="3030DEF3">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容量梯度、冷却/水源对照、AI与普通工业对照</w:t>
            </w:r>
          </w:p>
        </w:tc>
        <w:tc>
          <w:tcPr>
            <w:tcW w:w="2267" w:type="dxa"/>
          </w:tcPr>
          <w:p w14:paraId="2253B6B8">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何时由规模效应转为结构重构</w:t>
            </w:r>
          </w:p>
        </w:tc>
        <w:tc>
          <w:tcPr>
            <w:tcW w:w="2270" w:type="dxa"/>
          </w:tcPr>
          <w:p w14:paraId="434A3EB9">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代谢响应规律</w:t>
            </w:r>
          </w:p>
        </w:tc>
      </w:tr>
      <w:tr w14:paraId="72EA1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3278583">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三、承载边界</w:t>
            </w:r>
          </w:p>
        </w:tc>
        <w:tc>
          <w:tcPr>
            <w:tcW w:w="2267" w:type="dxa"/>
          </w:tcPr>
          <w:p w14:paraId="465881E0">
            <w:pPr>
              <w:keepNext w:val="0"/>
              <w:spacing w:before="40" w:after="40" w:line="276" w:lineRule="auto"/>
              <w:ind w:left="0" w:right="0" w:firstLine="0"/>
              <w:jc w:val="left"/>
              <w:rPr>
                <w:rFonts w:ascii="Times New Roman" w:hAnsi="Times New Roman" w:eastAsia="宋体"/>
              </w:rPr>
            </w:pPr>
            <w:r>
              <w:rPr>
                <w:rFonts w:ascii="宋体" w:hAnsi="宋体" w:eastAsia="宋体"/>
                <w:sz w:val="21"/>
              </w:rPr>
              <w:t>年均，日，小时、复合气候、CAWCC求解</w:t>
            </w:r>
          </w:p>
        </w:tc>
        <w:tc>
          <w:tcPr>
            <w:tcW w:w="2267" w:type="dxa"/>
          </w:tcPr>
          <w:p w14:paraId="4EC1BE6C">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平均与峰值边界为何不同</w:t>
            </w:r>
          </w:p>
        </w:tc>
        <w:tc>
          <w:tcPr>
            <w:tcW w:w="2270" w:type="dxa"/>
          </w:tcPr>
          <w:p w14:paraId="02621CAB">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条件化边界和提前机制</w:t>
            </w:r>
          </w:p>
        </w:tc>
      </w:tr>
      <w:tr w14:paraId="0DD78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0FD7D793">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四、瓶颈与干预</w:t>
            </w:r>
          </w:p>
        </w:tc>
        <w:tc>
          <w:tcPr>
            <w:tcW w:w="2267" w:type="dxa"/>
          </w:tcPr>
          <w:p w14:paraId="6AA3F71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约束转换、再生水边际收益、负担转移</w:t>
            </w:r>
          </w:p>
        </w:tc>
        <w:tc>
          <w:tcPr>
            <w:tcW w:w="2267" w:type="dxa"/>
          </w:tcPr>
          <w:p w14:paraId="26E4A262">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什么措施在什么条件下有效</w:t>
            </w:r>
          </w:p>
        </w:tc>
        <w:tc>
          <w:tcPr>
            <w:tcW w:w="2270" w:type="dxa"/>
          </w:tcPr>
          <w:p w14:paraId="380A044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瓶颈图谱和规划建议</w:t>
            </w:r>
          </w:p>
        </w:tc>
      </w:tr>
    </w:tbl>
    <w:p w14:paraId="5B8BA9C2">
      <w:pPr>
        <w:spacing w:before="0" w:after="0" w:line="360" w:lineRule="auto"/>
        <w:ind w:firstLine="420"/>
      </w:pPr>
      <w:r>
        <w:rPr>
          <w:rFonts w:ascii="Times New Roman" w:hAnsi="Times New Roman" w:eastAsia="宋体" w:cs="Times New Roman"/>
          <w:b w:val="0"/>
          <w:color w:val="000000"/>
          <w:sz w:val="24"/>
        </w:rPr>
        <w:t>研究一：AI—城市水系统耦合模型。明确 AI 设施在城市水网络中的节点位置与水量路径，建立 AI 计算负荷与城市供水、污水、再生水系统之间的耦合关系，为后续分析提供统一口径。</w:t>
      </w:r>
    </w:p>
    <w:p w14:paraId="75792092">
      <w:pPr>
        <w:spacing w:before="0" w:after="0" w:line="360" w:lineRule="auto"/>
        <w:ind w:firstLine="420"/>
      </w:pPr>
      <w:r>
        <w:rPr>
          <w:rFonts w:ascii="Times New Roman" w:hAnsi="Times New Roman" w:eastAsia="宋体" w:cs="Times New Roman"/>
          <w:b w:val="0"/>
          <w:color w:val="000000"/>
          <w:sz w:val="24"/>
        </w:rPr>
        <w:t>研究二：AI 扩张下的水系统代谢响应。识别 AI 规模增长过程中水流总量增加与结构重构的分界，区分规模效应与结构效应，并剥离一般高密度工业用水的影响。</w:t>
      </w:r>
    </w:p>
    <w:p w14:paraId="546D450E">
      <w:pPr>
        <w:spacing w:before="0" w:after="0" w:line="360" w:lineRule="auto"/>
        <w:ind w:firstLine="420"/>
      </w:pPr>
      <w:r>
        <w:rPr>
          <w:rFonts w:ascii="Times New Roman" w:hAnsi="Times New Roman" w:eastAsia="宋体" w:cs="Times New Roman"/>
          <w:b w:val="0"/>
          <w:color w:val="000000"/>
          <w:sz w:val="24"/>
        </w:rPr>
        <w:t>研究三：条件化承载边界分析。在不同城市系统状态与时间尺度下求解可承载的 AI 规模，解释边界差异的成因及其控制因素。</w:t>
      </w:r>
    </w:p>
    <w:p w14:paraId="690F45C1">
      <w:pPr>
        <w:spacing w:before="0" w:after="0" w:line="360" w:lineRule="auto"/>
        <w:ind w:firstLine="420"/>
      </w:pPr>
      <w:r>
        <w:rPr>
          <w:rFonts w:ascii="Times New Roman" w:hAnsi="Times New Roman" w:eastAsia="宋体" w:cs="Times New Roman"/>
          <w:b w:val="0"/>
          <w:color w:val="000000"/>
          <w:sz w:val="24"/>
        </w:rPr>
        <w:t>研究四：瓶颈转换与干预机制。识别限制 AI 扩张的主导环节及其迁移路径，比较不同设施与技术干预措施的有效区间。</w:t>
      </w:r>
    </w:p>
    <w:p w14:paraId="7B5714E6">
      <w:pPr>
        <w:pStyle w:val="23"/>
        <w:pageBreakBefore w:val="0"/>
        <w:ind w:firstLine="0" w:firstLineChars="0"/>
        <w:outlineLvl w:val="1"/>
      </w:pPr>
      <w:bookmarkStart w:id="30" w:name="_Toc9893"/>
      <w:r>
        <w:rPr>
          <w:rFonts w:ascii="Times New Roman" w:hAnsi="Times New Roman" w:eastAsia="黑体" w:cs="Times New Roman"/>
          <w:b/>
          <w:color w:val="000000"/>
          <w:sz w:val="28"/>
        </w:rPr>
        <w:t>3.3 总体技术路线</w:t>
      </w:r>
      <w:bookmarkEnd w:id="30"/>
    </w:p>
    <w:p w14:paraId="2AB4D935">
      <w:pPr>
        <w:spacing w:before="0" w:after="0" w:line="360" w:lineRule="auto"/>
        <w:ind w:firstLine="420"/>
      </w:pPr>
      <w:r>
        <w:rPr>
          <w:rFonts w:ascii="Times New Roman" w:hAnsi="Times New Roman" w:eastAsia="宋体" w:cs="Times New Roman"/>
          <w:b w:val="0"/>
          <w:color w:val="000000"/>
          <w:sz w:val="24"/>
        </w:rPr>
        <w:t>总体技术路线按“模型建立—情景模拟—边界分析—机制识别”四个阶段推进：首先建立 AI—城市水系统耦合模型并完成参数与守恒校核；其次设置 AI 容量梯度、城市系统状态与外部压力情景，开展代谢响应模拟；再次在多个时间尺度下求解条件化承载边界；最后识别主导瓶颈并比较干预措施的效果。</w:t>
      </w:r>
    </w:p>
    <w:p w14:paraId="1773A09F">
      <w:pPr>
        <w:spacing w:before="0" w:after="0" w:line="360" w:lineRule="auto"/>
        <w:ind w:firstLine="420"/>
      </w:pPr>
      <w:r>
        <w:rPr>
          <w:rFonts w:ascii="Times New Roman" w:hAnsi="Times New Roman" w:eastAsia="宋体" w:cs="Times New Roman"/>
          <w:b w:val="0"/>
          <w:color w:val="000000"/>
          <w:sz w:val="24"/>
        </w:rPr>
        <w:t>参数来源包括公开统计资料、标准规范与工程文献，并选取水务统计较完整的城市作为外部校核案例，用于检验参数量级与情景设置的合理性，数据主要来源于城市水资源公报与水务统计资料[11-15]。该案例不用于反演或宣称某一城市的精确承载容量。</w:t>
      </w:r>
    </w:p>
    <w:p w14:paraId="27DA7569">
      <w:pPr>
        <w:spacing w:before="0" w:after="0" w:line="360" w:lineRule="auto"/>
        <w:ind w:firstLine="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模型通过工程参数校核、守恒验证和敏感性分析保证结果可靠性。</w:t>
      </w:r>
    </w:p>
    <w:p w14:paraId="1AB530A7">
      <w:pPr>
        <w:spacing w:before="0" w:after="0" w:line="360" w:lineRule="auto"/>
        <w:ind w:firstLine="420"/>
        <w:rPr>
          <w:rFonts w:hint="eastAsia" w:ascii="Times New Roman" w:hAnsi="Times New Roman" w:eastAsia="宋体" w:cs="Times New Roman"/>
          <w:b w:val="0"/>
          <w:color w:val="000000"/>
          <w:sz w:val="24"/>
          <w:lang w:eastAsia="zh-CN"/>
        </w:rPr>
      </w:pPr>
      <w:r>
        <w:rPr>
          <w:rFonts w:hint="eastAsia" w:ascii="Times New Roman" w:hAnsi="Times New Roman" w:eastAsia="宋体" w:cs="Times New Roman"/>
          <w:b w:val="0"/>
          <w:color w:val="000000"/>
          <w:sz w:val="24"/>
          <w:lang w:eastAsia="zh-CN"/>
        </w:rPr>
        <w:drawing>
          <wp:anchor distT="0" distB="0" distL="114300" distR="114300" simplePos="0" relativeHeight="251659264" behindDoc="1" locked="0" layoutInCell="1" allowOverlap="1">
            <wp:simplePos x="0" y="0"/>
            <wp:positionH relativeFrom="column">
              <wp:posOffset>-17145</wp:posOffset>
            </wp:positionH>
            <wp:positionV relativeFrom="paragraph">
              <wp:posOffset>164465</wp:posOffset>
            </wp:positionV>
            <wp:extent cx="5761355" cy="6068060"/>
            <wp:effectExtent l="0" t="0" r="4445" b="2540"/>
            <wp:wrapTight wrapText="bothSides">
              <wp:wrapPolygon>
                <wp:start x="0" y="0"/>
                <wp:lineTo x="0" y="21564"/>
                <wp:lineTo x="21569" y="21564"/>
                <wp:lineTo x="21569" y="0"/>
                <wp:lineTo x="0" y="0"/>
              </wp:wrapPolygon>
            </wp:wrapTight>
            <wp:docPr id="2" name="图片 2" descr="322c8bfd-9d97-44c9-8672-aaca838acb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22c8bfd-9d97-44c9-8672-aaca838acb3a"/>
                    <pic:cNvPicPr>
                      <a:picLocks noChangeAspect="1"/>
                    </pic:cNvPicPr>
                  </pic:nvPicPr>
                  <pic:blipFill>
                    <a:blip r:embed="rId10"/>
                    <a:stretch>
                      <a:fillRect/>
                    </a:stretch>
                  </pic:blipFill>
                  <pic:spPr>
                    <a:xfrm>
                      <a:off x="0" y="0"/>
                      <a:ext cx="5761355" cy="6068060"/>
                    </a:xfrm>
                    <a:prstGeom prst="rect">
                      <a:avLst/>
                    </a:prstGeom>
                  </pic:spPr>
                </pic:pic>
              </a:graphicData>
            </a:graphic>
          </wp:anchor>
        </w:drawing>
      </w:r>
    </w:p>
    <w:p w14:paraId="151083AF">
      <w:pPr>
        <w:pStyle w:val="23"/>
        <w:pageBreakBefore w:val="0"/>
        <w:ind w:firstLine="0" w:firstLineChars="0"/>
        <w:outlineLvl w:val="1"/>
      </w:pPr>
      <w:bookmarkStart w:id="31" w:name="_Toc16486"/>
      <w:r>
        <w:rPr>
          <w:rFonts w:ascii="Times New Roman" w:hAnsi="Times New Roman" w:eastAsia="黑体" w:cs="Times New Roman"/>
          <w:b/>
          <w:color w:val="000000"/>
          <w:sz w:val="28"/>
        </w:rPr>
        <w:t>3.4 AI—城市人工水系统耦合模型</w:t>
      </w:r>
      <w:bookmarkEnd w:id="31"/>
    </w:p>
    <w:p w14:paraId="7FCB19C7">
      <w:pPr>
        <w:spacing w:before="0" w:after="0" w:line="360" w:lineRule="auto"/>
        <w:ind w:firstLine="420"/>
      </w:pPr>
      <w:r>
        <w:rPr>
          <w:rFonts w:ascii="Times New Roman" w:hAnsi="Times New Roman" w:eastAsia="宋体" w:cs="Times New Roman"/>
          <w:b w:val="0"/>
          <w:color w:val="000000"/>
          <w:sz w:val="24"/>
        </w:rPr>
        <w:t>城市人工水系统按“外部取水—供水与利用—污水产生与处理—再生利用—环境排放”的闭环描述，逐日核算进入系统的外部水量、排向环境的水量、不可恢复消耗量与系统储量变化，并保证各节点的水量平衡。给水、污水与再生水环节分别设置处理能力、输配能力、储量与既有需求，漏损、溢流与未满足需求单独记账，使 AI 新增负荷能够在完整路径上被追踪。</w:t>
      </w:r>
    </w:p>
    <w:p w14:paraId="5936A3D2">
      <w:pPr>
        <w:spacing w:before="0" w:after="0" w:line="360" w:lineRule="auto"/>
        <w:ind w:firstLine="420"/>
      </w:pPr>
      <w:r>
        <w:rPr>
          <w:rFonts w:ascii="Times New Roman" w:hAnsi="Times New Roman" w:eastAsia="宋体" w:cs="Times New Roman"/>
          <w:b w:val="0"/>
          <w:color w:val="000000"/>
          <w:sz w:val="24"/>
        </w:rPr>
        <w:t>AI 侧的用水过程按“IT 容量—实际负载—设施能耗—热排散—冷却补水—消耗与排污”逐级计算。服务器侧热捕集方式区分空气冷却、冷板液冷与浸没式液冷，设施侧末端排热区分干式、湿式与干湿混合；湿式排热部分按气象条件与运行工况计算蒸发与排污，进而得到补水量。冷却排污并不自动等于城市污水回流，模型区分厂内回用、处理损失与进入城市污水系统的部分。</w:t>
      </w:r>
    </w:p>
    <w:p w14:paraId="387F7DF6">
      <w:pPr>
        <w:spacing w:before="0" w:after="0" w:line="360" w:lineRule="auto"/>
        <w:ind w:firstLine="420"/>
      </w:pPr>
      <w:r>
        <w:rPr>
          <w:rFonts w:ascii="Times New Roman" w:hAnsi="Times New Roman" w:eastAsia="宋体" w:cs="Times New Roman"/>
          <w:b w:val="0"/>
          <w:color w:val="000000"/>
          <w:sz w:val="24"/>
        </w:rPr>
        <w:t>AI 用水由淡水与再生水共同满足，实际可供量受污水源量、深度处理能力、再生水储量、输配能力与既有用户需求共同决定。研究设置不同的淡水—再生水配置策略，分析水源结构对 AI 承载能力的影响，并分别记录目标份额、实际供应量与未满足需求，避免用规划目标替代真实供给。设施能力参数参照供排水设计标准确定[73,74]，工业冷却再生水回用的适用条件参见相关综述[78]，数据中心用水效率按水资源使用效率标准统一统计口径[72]。</w:t>
      </w:r>
    </w:p>
    <w:p w14:paraId="37CFF01D">
      <w:pPr>
        <w:pStyle w:val="23"/>
        <w:pageBreakBefore w:val="0"/>
        <w:ind w:firstLine="0" w:firstLineChars="0"/>
        <w:outlineLvl w:val="1"/>
      </w:pPr>
      <w:bookmarkStart w:id="32" w:name="_Toc6244"/>
      <w:r>
        <w:rPr>
          <w:rFonts w:ascii="Times New Roman" w:hAnsi="Times New Roman" w:eastAsia="黑体" w:cs="Times New Roman"/>
          <w:b/>
          <w:color w:val="000000"/>
          <w:sz w:val="28"/>
        </w:rPr>
        <w:t>3.5 AI 扩张下城市水系统代谢响应分析</w:t>
      </w:r>
      <w:bookmarkEnd w:id="32"/>
    </w:p>
    <w:p w14:paraId="2BC6F864">
      <w:pPr>
        <w:spacing w:before="0" w:after="0" w:line="360" w:lineRule="auto"/>
        <w:ind w:firstLine="420"/>
      </w:pPr>
      <w:r>
        <w:rPr>
          <w:rFonts w:ascii="Times New Roman" w:hAnsi="Times New Roman" w:eastAsia="宋体" w:cs="Times New Roman"/>
          <w:b w:val="0"/>
          <w:color w:val="000000"/>
          <w:sz w:val="24"/>
        </w:rPr>
        <w:t>代谢响应分析区分三种情形：规模响应，即各水流路径比例基本稳定、总量随 AI 规模同步增加；结构响应，即水源结构、消耗与回流比例或污水—再生水内部循环发生持续偏移；约束状态转换，即限制 AI 扩张的主导环节发生迁移。只有结构指标出现系统性变化，且该变化在改变压力条件或解除单一容量约束后仍然存在时，才将其解释为结构重构。</w:t>
      </w:r>
    </w:p>
    <w:p w14:paraId="71397188">
      <w:pPr>
        <w:spacing w:before="0" w:after="0" w:line="360" w:lineRule="auto"/>
        <w:ind w:firstLine="420"/>
      </w:pPr>
      <w:r>
        <w:rPr>
          <w:rFonts w:ascii="Times New Roman" w:hAnsi="Times New Roman" w:eastAsia="宋体" w:cs="Times New Roman"/>
          <w:b w:val="0"/>
          <w:color w:val="000000"/>
          <w:sz w:val="24"/>
        </w:rPr>
        <w:t>实验沿两条主线组织。纵向主线固定城市系统状态与外部条件，使 AI 规模逐级增加，观察代谢指标与承载边界出现转折的位置；横向主线在相同 AI 规模下比较不同城市系统状态的差异。两条主线均遵循每次只改变一个目标条件的对照原则。</w:t>
      </w:r>
    </w:p>
    <w:p w14:paraId="57774BB0">
      <w:pPr>
        <w:spacing w:before="0" w:after="0" w:line="360" w:lineRule="auto"/>
        <w:ind w:firstLine="420"/>
      </w:pPr>
      <w:r>
        <w:rPr>
          <w:rFonts w:ascii="Times New Roman" w:hAnsi="Times New Roman" w:eastAsia="宋体" w:cs="Times New Roman"/>
          <w:b w:val="0"/>
          <w:color w:val="000000"/>
          <w:sz w:val="24"/>
        </w:rPr>
        <w:t>为区分一般高密度工业用水效应与 AI 连续负荷效应，设置等效的普通工业冷却对照：一类保持年度用水总量与 AI 情景接近，比较负荷时序造成的峰值差异；另一类保持峰值热负荷或接入规模接近，比较负荷连续性与气候响应差异。</w:t>
      </w:r>
    </w:p>
    <w:p w14:paraId="67A28ED6">
      <w:pPr>
        <w:spacing w:before="0" w:after="0" w:line="360" w:lineRule="auto"/>
        <w:ind w:firstLine="420"/>
      </w:pPr>
      <w:r>
        <w:rPr>
          <w:rFonts w:ascii="Times New Roman" w:hAnsi="Times New Roman" w:eastAsia="宋体" w:cs="Times New Roman"/>
          <w:b w:val="0"/>
          <w:color w:val="000000"/>
          <w:sz w:val="24"/>
        </w:rPr>
        <w:t>输出指标包括三类。规模指标如城市总取水、AI 边际取水与耗水、回流量、污水处理量与再生水供给量；结构指标如水源份额、淡水依赖率、消耗率、回流率与内部循环率；承载指标如条件化承载边界、剩余裕度与首次失效规模。结构指标用于判断水流结构是否发生重构，规模指标用于判断总量变化幅度。</w:t>
      </w:r>
    </w:p>
    <w:p w14:paraId="4C4D39AF">
      <w:pPr>
        <w:pStyle w:val="23"/>
        <w:pageBreakBefore w:val="0"/>
        <w:ind w:firstLine="0" w:firstLineChars="0"/>
        <w:outlineLvl w:val="1"/>
      </w:pPr>
      <w:bookmarkStart w:id="33" w:name="_Toc27797"/>
      <w:r>
        <w:rPr>
          <w:rFonts w:ascii="Times New Roman" w:hAnsi="Times New Roman" w:eastAsia="黑体" w:cs="Times New Roman"/>
          <w:b/>
          <w:color w:val="000000"/>
          <w:sz w:val="28"/>
        </w:rPr>
        <w:t>3.6 条件化承载边界与情景分析方法</w:t>
      </w:r>
      <w:bookmarkEnd w:id="33"/>
    </w:p>
    <w:p w14:paraId="2FA42CC0">
      <w:pPr>
        <w:spacing w:before="0" w:after="0" w:line="360" w:lineRule="auto"/>
        <w:ind w:firstLine="420"/>
      </w:pPr>
      <w:r>
        <w:rPr>
          <w:rFonts w:ascii="Times New Roman" w:hAnsi="Times New Roman" w:eastAsia="宋体" w:cs="Times New Roman"/>
          <w:b w:val="0"/>
          <w:color w:val="000000"/>
          <w:sz w:val="24"/>
        </w:rPr>
        <w:t>（1）条件化承载边界定义。条件化 AI 水系统承载容量（CAWCC）定义为：在给定城市水资源条件、设施能力、冷却技术与风险要求下，系统能够支持的最大 AI IT 容量。该容量不是固定数值，而是随城市水系统状态、供水配置、气候条件与服务可靠性要求变化的条件化结果。各类约束的阈值来源于设计能力、工程标准、公开运行资料或明确的情景假设，并在参数表中记录来源与适用条件，核心约束类别、主要状态量与可行条件如表3-2所示。</w:t>
      </w:r>
    </w:p>
    <w:p w14:paraId="23309A74">
      <w:pPr>
        <w:spacing w:before="0" w:after="0" w:line="360" w:lineRule="auto"/>
        <w:ind w:firstLine="420"/>
      </w:pPr>
      <w:r>
        <w:rPr>
          <w:rFonts w:ascii="Times New Roman" w:hAnsi="Times New Roman" w:eastAsia="宋体" w:cs="Times New Roman"/>
          <w:b w:val="0"/>
          <w:color w:val="000000"/>
          <w:sz w:val="24"/>
        </w:rPr>
        <w:t>表3-2 CAWCC 核心约束及失效判据</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1"/>
        <w:gridCol w:w="3022"/>
        <w:gridCol w:w="3022"/>
      </w:tblGrid>
      <w:tr w14:paraId="713AB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1B807387">
            <w:r>
              <w:rPr>
                <w:b/>
              </w:rPr>
              <w:t>约束类别</w:t>
            </w:r>
          </w:p>
        </w:tc>
        <w:tc>
          <w:tcPr>
            <w:tcW w:w="3025" w:type="dxa"/>
          </w:tcPr>
          <w:p w14:paraId="39AB786F">
            <w:r>
              <w:rPr>
                <w:b/>
              </w:rPr>
              <w:t>主要状态量</w:t>
            </w:r>
          </w:p>
        </w:tc>
        <w:tc>
          <w:tcPr>
            <w:tcW w:w="3025" w:type="dxa"/>
          </w:tcPr>
          <w:p w14:paraId="673DD415">
            <w:r>
              <w:rPr>
                <w:b/>
              </w:rPr>
              <w:t>可行条件</w:t>
            </w:r>
          </w:p>
        </w:tc>
      </w:tr>
      <w:tr w14:paraId="0AC07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170164F5">
            <w:r>
              <w:t>外部水源</w:t>
            </w:r>
          </w:p>
        </w:tc>
        <w:tc>
          <w:tcPr>
            <w:tcW w:w="3025" w:type="dxa"/>
          </w:tcPr>
          <w:p w14:paraId="228BE053">
            <w:r>
              <w:t>总取水需求、可供水量</w:t>
            </w:r>
          </w:p>
        </w:tc>
        <w:tc>
          <w:tcPr>
            <w:tcW w:w="3025" w:type="dxa"/>
          </w:tcPr>
          <w:p w14:paraId="64174A85">
            <w:r>
              <w:t>总取水需求不超过情景可供水量</w:t>
            </w:r>
          </w:p>
        </w:tc>
      </w:tr>
      <w:tr w14:paraId="6904E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303525FB">
            <w:r>
              <w:t>给水处理</w:t>
            </w:r>
          </w:p>
        </w:tc>
        <w:tc>
          <w:tcPr>
            <w:tcW w:w="3025" w:type="dxa"/>
          </w:tcPr>
          <w:p w14:paraId="561891AC">
            <w:r>
              <w:t>日/小时处理负荷</w:t>
            </w:r>
          </w:p>
        </w:tc>
        <w:tc>
          <w:tcPr>
            <w:tcW w:w="3025" w:type="dxa"/>
          </w:tcPr>
          <w:p w14:paraId="76360E7A">
            <w:r>
              <w:t>不超过有效处理能力</w:t>
            </w:r>
          </w:p>
        </w:tc>
      </w:tr>
      <w:tr w14:paraId="351BD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134E59AE">
            <w:r>
              <w:t>局部接入</w:t>
            </w:r>
          </w:p>
        </w:tc>
        <w:tc>
          <w:tcPr>
            <w:tcW w:w="3025" w:type="dxa"/>
          </w:tcPr>
          <w:p w14:paraId="5ACD664B">
            <w:r>
              <w:t>AI 峰值供水流量</w:t>
            </w:r>
          </w:p>
        </w:tc>
        <w:tc>
          <w:tcPr>
            <w:tcW w:w="3025" w:type="dxa"/>
          </w:tcPr>
          <w:p w14:paraId="441492AE">
            <w:r>
              <w:t>不超过局部接入能力</w:t>
            </w:r>
          </w:p>
        </w:tc>
      </w:tr>
      <w:tr w14:paraId="773C1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639C774E">
            <w:r>
              <w:t>污水处理</w:t>
            </w:r>
          </w:p>
        </w:tc>
        <w:tc>
          <w:tcPr>
            <w:tcW w:w="3025" w:type="dxa"/>
          </w:tcPr>
          <w:p w14:paraId="1EE873D3">
            <w:r>
              <w:t>入厂污水量及峰值</w:t>
            </w:r>
          </w:p>
        </w:tc>
        <w:tc>
          <w:tcPr>
            <w:tcW w:w="3025" w:type="dxa"/>
          </w:tcPr>
          <w:p w14:paraId="0E876AF3">
            <w:r>
              <w:t>不超过有效接纳与处理能力</w:t>
            </w:r>
          </w:p>
        </w:tc>
      </w:tr>
      <w:tr w14:paraId="7F88F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1D3101DC">
            <w:r>
              <w:t>再生水源量</w:t>
            </w:r>
          </w:p>
        </w:tc>
        <w:tc>
          <w:tcPr>
            <w:tcW w:w="3025" w:type="dxa"/>
          </w:tcPr>
          <w:p w14:paraId="59A7AAA8">
            <w:r>
              <w:t>可回收污水量</w:t>
            </w:r>
          </w:p>
        </w:tc>
        <w:tc>
          <w:tcPr>
            <w:tcW w:w="3025" w:type="dxa"/>
          </w:tcPr>
          <w:p w14:paraId="62D13FAD">
            <w:r>
              <w:t>实际再生水供给不超过可利用源量</w:t>
            </w:r>
          </w:p>
        </w:tc>
      </w:tr>
      <w:tr w14:paraId="6D81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6D3CB56E">
            <w:r>
              <w:t>再生水处理</w:t>
            </w:r>
          </w:p>
        </w:tc>
        <w:tc>
          <w:tcPr>
            <w:tcW w:w="3025" w:type="dxa"/>
          </w:tcPr>
          <w:p w14:paraId="7B33008C">
            <w:r>
              <w:t>深度处理负荷</w:t>
            </w:r>
          </w:p>
        </w:tc>
        <w:tc>
          <w:tcPr>
            <w:tcW w:w="3025" w:type="dxa"/>
          </w:tcPr>
          <w:p w14:paraId="222E89C3">
            <w:r>
              <w:t>不超过有效处理能力</w:t>
            </w:r>
          </w:p>
        </w:tc>
      </w:tr>
      <w:tr w14:paraId="485AD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1A2267C1">
            <w:r>
              <w:t>再生水输配</w:t>
            </w:r>
          </w:p>
        </w:tc>
        <w:tc>
          <w:tcPr>
            <w:tcW w:w="3025" w:type="dxa"/>
          </w:tcPr>
          <w:p w14:paraId="692473B1">
            <w:r>
              <w:t>峰值输送量</w:t>
            </w:r>
          </w:p>
        </w:tc>
        <w:tc>
          <w:tcPr>
            <w:tcW w:w="3025" w:type="dxa"/>
          </w:tcPr>
          <w:p w14:paraId="3D4EB126">
            <w:r>
              <w:t>不超过有效输配能力</w:t>
            </w:r>
          </w:p>
        </w:tc>
      </w:tr>
      <w:tr w14:paraId="14EC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22C0D1A5">
            <w:r>
              <w:t>基本服务</w:t>
            </w:r>
          </w:p>
        </w:tc>
        <w:tc>
          <w:tcPr>
            <w:tcW w:w="3025" w:type="dxa"/>
          </w:tcPr>
          <w:p w14:paraId="60043825">
            <w:r>
              <w:t>居民及关键公共服务满足率</w:t>
            </w:r>
          </w:p>
        </w:tc>
        <w:tc>
          <w:tcPr>
            <w:tcW w:w="3025" w:type="dxa"/>
          </w:tcPr>
          <w:p w14:paraId="46F58E1A">
            <w:r>
              <w:t>不低于预设最低服务要求</w:t>
            </w:r>
          </w:p>
        </w:tc>
      </w:tr>
    </w:tbl>
    <w:p w14:paraId="297E2E9C">
      <w:pPr>
        <w:spacing w:before="0" w:after="0" w:line="360" w:lineRule="auto"/>
        <w:ind w:firstLine="420"/>
      </w:pPr>
      <w:r>
        <w:rPr>
          <w:rFonts w:ascii="Times New Roman" w:hAnsi="Times New Roman" w:eastAsia="宋体" w:cs="Times New Roman"/>
          <w:b w:val="0"/>
          <w:color w:val="000000"/>
          <w:sz w:val="24"/>
        </w:rPr>
        <w:t>求解时先在大范围内扫描各约束的状态与剩余裕度并检验单调性，再在首个失效区间附近细化；若可行域不连续，则同时报告全部可行区间以及首次、最终失效规模，不以单一最大容量代替完整边界信息。</w:t>
      </w:r>
    </w:p>
    <w:p w14:paraId="1EC0D527">
      <w:pPr>
        <w:spacing w:before="0" w:after="0" w:line="360" w:lineRule="auto"/>
        <w:ind w:firstLine="420"/>
      </w:pPr>
      <w:r>
        <w:rPr>
          <w:rFonts w:ascii="Times New Roman" w:hAnsi="Times New Roman" w:eastAsia="宋体" w:cs="Times New Roman"/>
          <w:b w:val="0"/>
          <w:color w:val="000000"/>
          <w:sz w:val="24"/>
        </w:rPr>
        <w:t>（2）多时间尺度分析。承载边界分别在年、日和极端小时三个尺度上求解：年尺度用于分析长期规模关系，日尺度用于识别季节变化与需求峰值，极端小时尺度用于检验短时失稳与服务可靠性。通过比较不同尺度结果的差异，量化时间聚合造成的边界高估，并识别其控制因素。</w:t>
      </w:r>
    </w:p>
    <w:p w14:paraId="58BE90D0">
      <w:pPr>
        <w:spacing w:before="0" w:after="0" w:line="360" w:lineRule="auto"/>
        <w:ind w:firstLine="420"/>
      </w:pPr>
      <w:r>
        <w:rPr>
          <w:rFonts w:ascii="Times New Roman" w:hAnsi="Times New Roman" w:eastAsia="宋体" w:cs="Times New Roman"/>
          <w:b w:val="0"/>
          <w:color w:val="000000"/>
          <w:sz w:val="24"/>
        </w:rPr>
        <w:t>（3）情景设计。情景由城市系统状态与外部压力两层构成。城市系统状态按水源、给水、污水、再生水与局部输配的相对余量划分为若干典型类型；外部压力包括常规、高温、干旱以及高温干旱与需求峰值叠加等情形，可叠加到任一系统状态之上，详见表3-3、表3-4。各状态采用高、中、低三级相对水平表示，不对应具体城市，其数值范围依据真实城市校核资料、工程运行范围与文献统计确定。</w:t>
      </w:r>
    </w:p>
    <w:p w14:paraId="7B9C36A1">
      <w:pPr>
        <w:spacing w:before="0" w:after="0" w:line="360" w:lineRule="auto"/>
        <w:ind w:firstLine="420"/>
      </w:pPr>
      <w:r>
        <w:rPr>
          <w:rFonts w:ascii="Times New Roman" w:hAnsi="Times New Roman" w:eastAsia="宋体" w:cs="Times New Roman"/>
          <w:b w:val="0"/>
          <w:color w:val="000000"/>
          <w:sz w:val="24"/>
        </w:rPr>
        <w:t>表3-3 城市系统结构状态（S 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600"/>
        <w:gridCol w:w="1280"/>
        <w:gridCol w:w="1280"/>
        <w:gridCol w:w="1280"/>
        <w:gridCol w:w="1280"/>
        <w:gridCol w:w="1280"/>
      </w:tblGrid>
      <w:tr w14:paraId="37FF6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00" w:type="dxa"/>
          </w:tcPr>
          <w:p w14:paraId="1E1DAAF5">
            <w:r>
              <w:rPr>
                <w:b/>
              </w:rPr>
              <w:t>结构状态</w:t>
            </w:r>
          </w:p>
        </w:tc>
        <w:tc>
          <w:tcPr>
            <w:tcW w:w="1280" w:type="dxa"/>
          </w:tcPr>
          <w:p w14:paraId="5E0D6468">
            <w:r>
              <w:rPr>
                <w:b/>
              </w:rPr>
              <w:t>水源余量</w:t>
            </w:r>
          </w:p>
        </w:tc>
        <w:tc>
          <w:tcPr>
            <w:tcW w:w="1280" w:type="dxa"/>
          </w:tcPr>
          <w:p w14:paraId="0008019F">
            <w:r>
              <w:rPr>
                <w:b/>
              </w:rPr>
              <w:t>给水余量</w:t>
            </w:r>
          </w:p>
        </w:tc>
        <w:tc>
          <w:tcPr>
            <w:tcW w:w="1280" w:type="dxa"/>
          </w:tcPr>
          <w:p w14:paraId="3C342D4C">
            <w:r>
              <w:rPr>
                <w:b/>
              </w:rPr>
              <w:t>污水余量</w:t>
            </w:r>
          </w:p>
        </w:tc>
        <w:tc>
          <w:tcPr>
            <w:tcW w:w="1280" w:type="dxa"/>
          </w:tcPr>
          <w:p w14:paraId="5E55AF18">
            <w:r>
              <w:rPr>
                <w:b/>
              </w:rPr>
              <w:t>再生水能力</w:t>
            </w:r>
          </w:p>
        </w:tc>
        <w:tc>
          <w:tcPr>
            <w:tcW w:w="1280" w:type="dxa"/>
          </w:tcPr>
          <w:p w14:paraId="0DE2FA4E">
            <w:r>
              <w:rPr>
                <w:b/>
              </w:rPr>
              <w:t>局部输配</w:t>
            </w:r>
          </w:p>
        </w:tc>
      </w:tr>
      <w:tr w14:paraId="643CA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00" w:type="dxa"/>
          </w:tcPr>
          <w:p w14:paraId="0018473D">
            <w:r>
              <w:t>S0 均衡基准型</w:t>
            </w:r>
          </w:p>
        </w:tc>
        <w:tc>
          <w:tcPr>
            <w:tcW w:w="1280" w:type="dxa"/>
          </w:tcPr>
          <w:p w14:paraId="72AE942B">
            <w:r>
              <w:t>中</w:t>
            </w:r>
          </w:p>
        </w:tc>
        <w:tc>
          <w:tcPr>
            <w:tcW w:w="1280" w:type="dxa"/>
          </w:tcPr>
          <w:p w14:paraId="351CD1F9">
            <w:r>
              <w:t>中</w:t>
            </w:r>
          </w:p>
        </w:tc>
        <w:tc>
          <w:tcPr>
            <w:tcW w:w="1280" w:type="dxa"/>
          </w:tcPr>
          <w:p w14:paraId="2B79253C">
            <w:r>
              <w:t>中</w:t>
            </w:r>
          </w:p>
        </w:tc>
        <w:tc>
          <w:tcPr>
            <w:tcW w:w="1280" w:type="dxa"/>
          </w:tcPr>
          <w:p w14:paraId="2A3DA7D8">
            <w:r>
              <w:t>中</w:t>
            </w:r>
          </w:p>
        </w:tc>
        <w:tc>
          <w:tcPr>
            <w:tcW w:w="1280" w:type="dxa"/>
          </w:tcPr>
          <w:p w14:paraId="0CFFD6B6">
            <w:r>
              <w:t>中</w:t>
            </w:r>
          </w:p>
        </w:tc>
      </w:tr>
      <w:tr w14:paraId="4B315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00" w:type="dxa"/>
          </w:tcPr>
          <w:p w14:paraId="0120AE10">
            <w:r>
              <w:t>S1 水源充足—给水处理受限</w:t>
            </w:r>
          </w:p>
        </w:tc>
        <w:tc>
          <w:tcPr>
            <w:tcW w:w="1280" w:type="dxa"/>
          </w:tcPr>
          <w:p w14:paraId="050E6935">
            <w:r>
              <w:t>高</w:t>
            </w:r>
          </w:p>
        </w:tc>
        <w:tc>
          <w:tcPr>
            <w:tcW w:w="1280" w:type="dxa"/>
          </w:tcPr>
          <w:p w14:paraId="60379ACF">
            <w:r>
              <w:t>低</w:t>
            </w:r>
          </w:p>
        </w:tc>
        <w:tc>
          <w:tcPr>
            <w:tcW w:w="1280" w:type="dxa"/>
          </w:tcPr>
          <w:p w14:paraId="0C3D4A93">
            <w:r>
              <w:t>中</w:t>
            </w:r>
          </w:p>
        </w:tc>
        <w:tc>
          <w:tcPr>
            <w:tcW w:w="1280" w:type="dxa"/>
          </w:tcPr>
          <w:p w14:paraId="6FCEC8F1">
            <w:r>
              <w:t>中</w:t>
            </w:r>
          </w:p>
        </w:tc>
        <w:tc>
          <w:tcPr>
            <w:tcW w:w="1280" w:type="dxa"/>
          </w:tcPr>
          <w:p w14:paraId="3A751E7E">
            <w:r>
              <w:t>中</w:t>
            </w:r>
          </w:p>
        </w:tc>
      </w:tr>
      <w:tr w14:paraId="1A88C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00" w:type="dxa"/>
          </w:tcPr>
          <w:p w14:paraId="2A08DBE9">
            <w:r>
              <w:t>S2 淡水受限—再生水较强</w:t>
            </w:r>
          </w:p>
        </w:tc>
        <w:tc>
          <w:tcPr>
            <w:tcW w:w="1280" w:type="dxa"/>
          </w:tcPr>
          <w:p w14:paraId="2CABFD42">
            <w:r>
              <w:t>低</w:t>
            </w:r>
          </w:p>
        </w:tc>
        <w:tc>
          <w:tcPr>
            <w:tcW w:w="1280" w:type="dxa"/>
          </w:tcPr>
          <w:p w14:paraId="2DD79D9D">
            <w:r>
              <w:t>中</w:t>
            </w:r>
          </w:p>
        </w:tc>
        <w:tc>
          <w:tcPr>
            <w:tcW w:w="1280" w:type="dxa"/>
          </w:tcPr>
          <w:p w14:paraId="6FDA7F9D">
            <w:r>
              <w:t>高</w:t>
            </w:r>
          </w:p>
        </w:tc>
        <w:tc>
          <w:tcPr>
            <w:tcW w:w="1280" w:type="dxa"/>
          </w:tcPr>
          <w:p w14:paraId="407837E1">
            <w:r>
              <w:t>高</w:t>
            </w:r>
          </w:p>
        </w:tc>
        <w:tc>
          <w:tcPr>
            <w:tcW w:w="1280" w:type="dxa"/>
          </w:tcPr>
          <w:p w14:paraId="4321F78F">
            <w:r>
              <w:t>高</w:t>
            </w:r>
          </w:p>
        </w:tc>
      </w:tr>
      <w:tr w14:paraId="7059F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00" w:type="dxa"/>
          </w:tcPr>
          <w:p w14:paraId="3DD4026F">
            <w:r>
              <w:t>S3 总量充足—局部输配受限</w:t>
            </w:r>
          </w:p>
        </w:tc>
        <w:tc>
          <w:tcPr>
            <w:tcW w:w="1280" w:type="dxa"/>
          </w:tcPr>
          <w:p w14:paraId="784ABDBC">
            <w:r>
              <w:t>高</w:t>
            </w:r>
          </w:p>
        </w:tc>
        <w:tc>
          <w:tcPr>
            <w:tcW w:w="1280" w:type="dxa"/>
          </w:tcPr>
          <w:p w14:paraId="226B1517">
            <w:r>
              <w:t>高</w:t>
            </w:r>
          </w:p>
        </w:tc>
        <w:tc>
          <w:tcPr>
            <w:tcW w:w="1280" w:type="dxa"/>
          </w:tcPr>
          <w:p w14:paraId="62AAD06B">
            <w:r>
              <w:t>高</w:t>
            </w:r>
          </w:p>
        </w:tc>
        <w:tc>
          <w:tcPr>
            <w:tcW w:w="1280" w:type="dxa"/>
          </w:tcPr>
          <w:p w14:paraId="4CD60F0B">
            <w:r>
              <w:t>高</w:t>
            </w:r>
          </w:p>
        </w:tc>
        <w:tc>
          <w:tcPr>
            <w:tcW w:w="1280" w:type="dxa"/>
          </w:tcPr>
          <w:p w14:paraId="4000D070">
            <w:r>
              <w:t>低</w:t>
            </w:r>
          </w:p>
        </w:tc>
      </w:tr>
    </w:tbl>
    <w:p w14:paraId="1AD7F6FA">
      <w:pPr>
        <w:spacing w:before="0" w:after="0" w:line="360" w:lineRule="auto"/>
        <w:ind w:firstLine="420"/>
      </w:pPr>
      <w:r>
        <w:rPr>
          <w:rFonts w:ascii="Times New Roman" w:hAnsi="Times New Roman" w:eastAsia="宋体" w:cs="Times New Roman"/>
          <w:b w:val="0"/>
          <w:color w:val="000000"/>
          <w:sz w:val="24"/>
        </w:rPr>
        <w:t>表3-4 外部压力情景（G 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00"/>
        <w:gridCol w:w="2200"/>
        <w:gridCol w:w="2200"/>
        <w:gridCol w:w="2200"/>
      </w:tblGrid>
      <w:tr w14:paraId="29FFB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Pr>
          <w:p w14:paraId="709BC1AD">
            <w:r>
              <w:rPr>
                <w:b/>
              </w:rPr>
              <w:t>情景</w:t>
            </w:r>
          </w:p>
        </w:tc>
        <w:tc>
          <w:tcPr>
            <w:tcW w:w="2200" w:type="dxa"/>
          </w:tcPr>
          <w:p w14:paraId="740EED2C">
            <w:r>
              <w:rPr>
                <w:b/>
              </w:rPr>
              <w:t>温度</w:t>
            </w:r>
          </w:p>
        </w:tc>
        <w:tc>
          <w:tcPr>
            <w:tcW w:w="2200" w:type="dxa"/>
          </w:tcPr>
          <w:p w14:paraId="1E1ED919">
            <w:r>
              <w:rPr>
                <w:b/>
              </w:rPr>
              <w:t>水源可供量</w:t>
            </w:r>
          </w:p>
        </w:tc>
        <w:tc>
          <w:tcPr>
            <w:tcW w:w="2200" w:type="dxa"/>
          </w:tcPr>
          <w:p w14:paraId="72C6E523">
            <w:r>
              <w:rPr>
                <w:b/>
              </w:rPr>
              <w:t>传统需求</w:t>
            </w:r>
          </w:p>
        </w:tc>
      </w:tr>
      <w:tr w14:paraId="3C09F0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Pr>
          <w:p w14:paraId="7C6F460D">
            <w:r>
              <w:t>G0 常规</w:t>
            </w:r>
          </w:p>
        </w:tc>
        <w:tc>
          <w:tcPr>
            <w:tcW w:w="2200" w:type="dxa"/>
          </w:tcPr>
          <w:p w14:paraId="75B44C85">
            <w:r>
              <w:t>常规</w:t>
            </w:r>
          </w:p>
        </w:tc>
        <w:tc>
          <w:tcPr>
            <w:tcW w:w="2200" w:type="dxa"/>
          </w:tcPr>
          <w:p w14:paraId="1F0B5486">
            <w:r>
              <w:t>正常</w:t>
            </w:r>
          </w:p>
        </w:tc>
        <w:tc>
          <w:tcPr>
            <w:tcW w:w="2200" w:type="dxa"/>
          </w:tcPr>
          <w:p w14:paraId="249447D0">
            <w:r>
              <w:t>常规</w:t>
            </w:r>
          </w:p>
        </w:tc>
      </w:tr>
      <w:tr w14:paraId="0A7D2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Pr>
          <w:p w14:paraId="2759B933">
            <w:r>
              <w:t>G1 高温</w:t>
            </w:r>
          </w:p>
        </w:tc>
        <w:tc>
          <w:tcPr>
            <w:tcW w:w="2200" w:type="dxa"/>
          </w:tcPr>
          <w:p w14:paraId="2A7D9FE6">
            <w:r>
              <w:t>高</w:t>
            </w:r>
          </w:p>
        </w:tc>
        <w:tc>
          <w:tcPr>
            <w:tcW w:w="2200" w:type="dxa"/>
          </w:tcPr>
          <w:p w14:paraId="26A0CE77">
            <w:r>
              <w:t>正常</w:t>
            </w:r>
          </w:p>
        </w:tc>
        <w:tc>
          <w:tcPr>
            <w:tcW w:w="2200" w:type="dxa"/>
          </w:tcPr>
          <w:p w14:paraId="683C9340">
            <w:r>
              <w:t>偏高</w:t>
            </w:r>
          </w:p>
        </w:tc>
      </w:tr>
      <w:tr w14:paraId="5E2AE6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Pr>
          <w:p w14:paraId="7A13C76E">
            <w:r>
              <w:t>G2 干旱</w:t>
            </w:r>
          </w:p>
        </w:tc>
        <w:tc>
          <w:tcPr>
            <w:tcW w:w="2200" w:type="dxa"/>
          </w:tcPr>
          <w:p w14:paraId="04216D46">
            <w:r>
              <w:t>常规/偏高</w:t>
            </w:r>
          </w:p>
        </w:tc>
        <w:tc>
          <w:tcPr>
            <w:tcW w:w="2200" w:type="dxa"/>
          </w:tcPr>
          <w:p w14:paraId="3BA8677E">
            <w:r>
              <w:t>折减</w:t>
            </w:r>
          </w:p>
        </w:tc>
        <w:tc>
          <w:tcPr>
            <w:tcW w:w="2200" w:type="dxa"/>
          </w:tcPr>
          <w:p w14:paraId="2D4F290F">
            <w:r>
              <w:t>常规</w:t>
            </w:r>
          </w:p>
        </w:tc>
      </w:tr>
      <w:tr w14:paraId="27A9E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Pr>
          <w:p w14:paraId="233A1C1F">
            <w:r>
              <w:t>G3 复合压力</w:t>
            </w:r>
          </w:p>
        </w:tc>
        <w:tc>
          <w:tcPr>
            <w:tcW w:w="2200" w:type="dxa"/>
          </w:tcPr>
          <w:p w14:paraId="5BD32EF9">
            <w:r>
              <w:t>高</w:t>
            </w:r>
          </w:p>
        </w:tc>
        <w:tc>
          <w:tcPr>
            <w:tcW w:w="2200" w:type="dxa"/>
          </w:tcPr>
          <w:p w14:paraId="72F650E4">
            <w:r>
              <w:t>折减</w:t>
            </w:r>
          </w:p>
        </w:tc>
        <w:tc>
          <w:tcPr>
            <w:tcW w:w="2200" w:type="dxa"/>
          </w:tcPr>
          <w:p w14:paraId="31874829">
            <w:r>
              <w:t>峰值</w:t>
            </w:r>
          </w:p>
        </w:tc>
      </w:tr>
    </w:tbl>
    <w:p w14:paraId="584AEC0A">
      <w:pPr>
        <w:spacing w:before="0" w:after="0" w:line="360" w:lineRule="auto"/>
        <w:ind w:firstLine="420"/>
      </w:pPr>
      <w:r>
        <w:rPr>
          <w:rFonts w:ascii="Times New Roman" w:hAnsi="Times New Roman" w:eastAsia="宋体" w:cs="Times New Roman"/>
          <w:b w:val="0"/>
          <w:color w:val="000000"/>
          <w:sz w:val="24"/>
        </w:rPr>
        <w:t>（4）不确定性与稳健性。对负载率、能源效率、浓缩倍数、回流比例、再生水回收率与关键设施能力等参数，采用有工程依据的取值区间或条件分布表达；对气候条件、水源政策与设施扩容时点采用离散情景表达。分析重点回答三个问题：哪些参数决定代谢结构转折与承载边界，参数之间的相关关系是否改变敏感性排序，以及主要结论在不同参数与压力条件下是否稳定。除参数敏感性外，还通过改变压力的时间排列、替换关键冷却关系与调整约束优先级等方式，检验结论的结构稳健性。</w:t>
      </w:r>
    </w:p>
    <w:p w14:paraId="399379D6">
      <w:pPr>
        <w:pStyle w:val="23"/>
        <w:pageBreakBefore w:val="0"/>
        <w:ind w:firstLine="0" w:firstLineChars="0"/>
        <w:outlineLvl w:val="1"/>
      </w:pPr>
      <w:bookmarkStart w:id="34" w:name="_Toc14263"/>
      <w:r>
        <w:rPr>
          <w:rFonts w:ascii="Times New Roman" w:hAnsi="Times New Roman" w:eastAsia="黑体" w:cs="Times New Roman"/>
          <w:b/>
          <w:color w:val="000000"/>
          <w:sz w:val="28"/>
        </w:rPr>
        <w:t>3.7 瓶颈识别与干预机制分析</w:t>
      </w:r>
      <w:bookmarkEnd w:id="28"/>
      <w:bookmarkEnd w:id="34"/>
    </w:p>
    <w:p w14:paraId="67A6D760">
      <w:pPr>
        <w:spacing w:before="0" w:after="0" w:line="360" w:lineRule="auto"/>
        <w:ind w:firstLine="420"/>
      </w:pPr>
      <w:r>
        <w:rPr>
          <w:rFonts w:ascii="Times New Roman" w:hAnsi="Times New Roman" w:eastAsia="宋体" w:cs="Times New Roman"/>
          <w:b w:val="0"/>
          <w:color w:val="000000"/>
          <w:sz w:val="24"/>
        </w:rPr>
        <w:t>瓶颈识别回答“哪一个环节最先限制 AI 扩张”。对每一类约束记录其首次达到失效条件时的 AI 规模，其中最先失效的约束即为主导瓶颈；若若干约束的失效规模相近，则记为共同主导瓶颈。随 AI 规模提高，主导瓶颈可在水源、给水、局部接入、污水处理与再生水等环节之间迁移。</w:t>
      </w:r>
    </w:p>
    <w:p w14:paraId="56715579">
      <w:pPr>
        <w:spacing w:before="0" w:after="0" w:line="360" w:lineRule="auto"/>
        <w:ind w:firstLine="420"/>
      </w:pPr>
      <w:r>
        <w:rPr>
          <w:rFonts w:ascii="Times New Roman" w:hAnsi="Times New Roman" w:eastAsia="宋体" w:cs="Times New Roman"/>
          <w:b w:val="0"/>
          <w:color w:val="000000"/>
          <w:sz w:val="24"/>
        </w:rPr>
        <w:t>干预分析回答“增加某一单位能力能够释放多少承载空间”。实验遵循先识别瓶颈、再实施干预的顺序：先运行基准情景确定主导瓶颈，再仅针对该瓶颈逐级增加能力并重新计算承载边界，观察增量收益的变化；当继续扩容而承载边界不再明显提升时，检查是否出现新的主导约束，由此得到瓶颈迁移路径与各类干预措施的有效区间。</w:t>
      </w:r>
    </w:p>
    <w:p w14:paraId="5533F03A">
      <w:pPr>
        <w:spacing w:before="0" w:after="0" w:line="360" w:lineRule="auto"/>
        <w:ind w:firstLine="420"/>
      </w:pPr>
      <w:r>
        <w:rPr>
          <w:rFonts w:ascii="Times New Roman" w:hAnsi="Times New Roman" w:eastAsia="宋体" w:cs="Times New Roman"/>
          <w:b w:val="0"/>
          <w:color w:val="000000"/>
          <w:sz w:val="24"/>
        </w:rPr>
        <w:t>干预措施分为连续设施能力干预与技术情景干预两类。前者包括给水处理、污水处理、再生水深度处理与输配能力扩容，以单位能力增量带来的承载边界提升进行横向比较；后者包括冷却方式替换、储水配置与负荷削峰等离散选项，直接比较方案间的边界差异。研究通过改变水源条件、处理能力、再生利用水平与冷却方式等条件，分析不同干预措施对承载边界的提升效果及瓶颈迁移规律，最终形成“城市系统状态—供水配置—AI 规模—主导瓶颈—有效干预”的条件对应关系，而不是给出“扩再生水优于扩给水”一类无条件排序。</w:t>
      </w:r>
    </w:p>
    <w:p w14:paraId="452A3B36">
      <w:pPr>
        <w:pStyle w:val="22"/>
        <w:pageBreakBefore/>
        <w:ind w:firstLine="0" w:firstLineChars="0"/>
        <w:outlineLvl w:val="0"/>
      </w:pPr>
      <w:bookmarkStart w:id="35" w:name="_Toc23871"/>
      <w:bookmarkStart w:id="36" w:name="_Toc10917"/>
      <w:r>
        <w:rPr>
          <w:rFonts w:ascii="Times New Roman" w:hAnsi="Times New Roman" w:eastAsia="黑体" w:cs="Times New Roman"/>
          <w:b/>
          <w:color w:val="000000"/>
          <w:sz w:val="30"/>
        </w:rPr>
        <w:t>4 预期达到的目标</w:t>
      </w:r>
      <w:bookmarkEnd w:id="35"/>
      <w:bookmarkEnd w:id="36"/>
    </w:p>
    <w:p w14:paraId="6966E2E1">
      <w:pPr>
        <w:pStyle w:val="23"/>
        <w:pageBreakBefore w:val="0"/>
        <w:ind w:firstLine="0" w:firstLineChars="0"/>
        <w:outlineLvl w:val="1"/>
      </w:pPr>
      <w:bookmarkStart w:id="37" w:name="_Toc17900"/>
      <w:bookmarkStart w:id="38" w:name="_Toc4751"/>
      <w:r>
        <w:rPr>
          <w:rFonts w:ascii="Times New Roman" w:hAnsi="Times New Roman" w:eastAsia="黑体" w:cs="Times New Roman"/>
          <w:b/>
          <w:color w:val="000000"/>
          <w:sz w:val="28"/>
        </w:rPr>
        <w:t>4.1 预期科学认识</w:t>
      </w:r>
      <w:bookmarkEnd w:id="37"/>
      <w:bookmarkEnd w:id="38"/>
    </w:p>
    <w:p w14:paraId="45EFBD85">
      <w:pPr>
        <w:spacing w:before="0" w:after="0" w:line="360" w:lineRule="auto"/>
        <w:ind w:firstLine="420"/>
      </w:pPr>
      <w:r>
        <w:rPr>
          <w:rFonts w:ascii="Times New Roman" w:hAnsi="Times New Roman" w:eastAsia="宋体" w:cs="Times New Roman"/>
          <w:b w:val="0"/>
          <w:color w:val="000000"/>
          <w:sz w:val="24"/>
        </w:rPr>
        <w:t>明确AI负荷相对于城市基准水流达到何种相对规模后，系统响应由总量增加转为代谢结构重构。</w:t>
      </w:r>
    </w:p>
    <w:p w14:paraId="45A58175">
      <w:pPr>
        <w:spacing w:before="0" w:after="0" w:line="360" w:lineRule="auto"/>
        <w:ind w:firstLine="420"/>
      </w:pPr>
      <w:r>
        <w:rPr>
          <w:rFonts w:ascii="宋体" w:hAnsi="宋体" w:eastAsia="宋体" w:cs="Times New Roman"/>
          <w:b w:val="0"/>
          <w:color w:val="000000"/>
          <w:sz w:val="24"/>
        </w:rPr>
        <w:t>识别年均、日尺度和极端时段容量边界差异的控制因素，说明峰值重合和设施裕度在不同城市中的作用。</w:t>
      </w:r>
    </w:p>
    <w:p w14:paraId="685A141D">
      <w:pPr>
        <w:spacing w:before="0" w:after="0" w:line="360" w:lineRule="auto"/>
        <w:ind w:firstLine="420"/>
      </w:pPr>
      <w:r>
        <w:rPr>
          <w:rFonts w:ascii="宋体" w:hAnsi="宋体" w:eastAsia="宋体"/>
          <w:sz w:val="24"/>
        </w:rPr>
        <w:t>建立水源，给水，污水，再生水，接入约束的瓶颈转换条件，区分稳健主导区与竞争约束区。</w:t>
      </w:r>
    </w:p>
    <w:p w14:paraId="4B672CCD">
      <w:pPr>
        <w:spacing w:before="0" w:after="0" w:line="360" w:lineRule="auto"/>
        <w:ind w:firstLine="420"/>
      </w:pPr>
      <w:r>
        <w:rPr>
          <w:rFonts w:ascii="宋体" w:hAnsi="宋体" w:eastAsia="宋体" w:cs="Times New Roman"/>
          <w:b w:val="0"/>
          <w:color w:val="000000"/>
          <w:sz w:val="24"/>
        </w:rPr>
        <w:t>解释再生水</w:t>
      </w:r>
      <w:bookmarkStart w:id="65" w:name="_GoBack"/>
      <w:bookmarkEnd w:id="65"/>
      <w:r>
        <w:rPr>
          <w:rFonts w:ascii="宋体" w:hAnsi="宋体" w:eastAsia="宋体" w:cs="Times New Roman"/>
          <w:b w:val="0"/>
          <w:color w:val="000000"/>
          <w:sz w:val="24"/>
        </w:rPr>
        <w:t>扩容何时有效、何时受源量等条件限制，并识别节水措施可能造成的能耗、碳排放或成本转移。</w:t>
      </w:r>
    </w:p>
    <w:p w14:paraId="6458820D">
      <w:pPr>
        <w:pStyle w:val="23"/>
        <w:pageBreakBefore w:val="0"/>
        <w:ind w:firstLine="0" w:firstLineChars="0"/>
        <w:outlineLvl w:val="1"/>
      </w:pPr>
      <w:bookmarkStart w:id="39" w:name="_Toc8098"/>
      <w:bookmarkStart w:id="40" w:name="_Toc30187"/>
      <w:r>
        <w:rPr>
          <w:rFonts w:ascii="Times New Roman" w:hAnsi="Times New Roman" w:eastAsia="黑体" w:cs="Times New Roman"/>
          <w:b/>
          <w:color w:val="000000"/>
          <w:sz w:val="28"/>
        </w:rPr>
        <w:t>4.2 预期创新</w:t>
      </w:r>
      <w:bookmarkEnd w:id="39"/>
      <w:bookmarkEnd w:id="40"/>
    </w:p>
    <w:p w14:paraId="6410D675">
      <w:pPr>
        <w:bidi w:val="0"/>
      </w:pPr>
      <w:r>
        <w:t>创新一（研究对象与系统接口）：将 AI 算力基础设施由独立设施水足迹核算对象转化为城市人工水系统中的显式过程节点，建立“IT 容量—实际负载—热排散—冷却补水—消耗与排污—污水处理—再生水回用”与城市供排水系统之间的水量闭合接口，使 AI 扩张可在城市水循环整体边界内分析。</w:t>
      </w:r>
    </w:p>
    <w:p w14:paraId="00FE25D5">
      <w:pPr>
        <w:bidi w:val="0"/>
      </w:pPr>
      <w:r>
        <w:t>创新二（时间尺度机制）：在年度总负荷可比的条件下，将 AI 连续运行、气候敏感冷却和传统城市需水峰值纳入同一实验框架，比较年均、日尺度和极端周小时尺度的条件化承载边界，识别时间聚合导致承载能力高估的条件及其控制因素。</w:t>
      </w:r>
    </w:p>
    <w:p w14:paraId="60CB0DDC">
      <w:pPr>
        <w:bidi w:val="0"/>
      </w:pPr>
      <w:r>
        <w:t>创新三（条件边界与瓶颈迁移）：将 AI 水系统承载能力表述为由水源、给水、局部接入、污水与再生水条件共同决定的条件化可行边界，并通过约束临界容量和结构化干预实验识别主导瓶颈迁移及扩容的边际收益转折，为算力布局与水务协同规划提供机制化解释。</w:t>
      </w:r>
    </w:p>
    <w:p w14:paraId="3979AD1A">
      <w:pPr>
        <w:pStyle w:val="23"/>
        <w:pageBreakBefore w:val="0"/>
        <w:ind w:firstLine="0" w:firstLineChars="0"/>
        <w:outlineLvl w:val="1"/>
      </w:pPr>
      <w:bookmarkStart w:id="41" w:name="_Toc21798"/>
      <w:bookmarkStart w:id="42" w:name="_Toc2957"/>
      <w:commentRangeStart w:id="1"/>
      <w:r>
        <w:rPr>
          <w:rFonts w:ascii="Times New Roman" w:hAnsi="Times New Roman" w:eastAsia="黑体" w:cs="Times New Roman"/>
          <w:b/>
          <w:color w:val="000000"/>
          <w:sz w:val="28"/>
        </w:rPr>
        <w:t>4.3 预期成果</w:t>
      </w:r>
      <w:commentRangeEnd w:id="1"/>
      <w:r>
        <w:commentReference w:id="1"/>
      </w:r>
      <w:bookmarkEnd w:id="41"/>
      <w:bookmarkEnd w:id="42"/>
    </w:p>
    <w:p w14:paraId="715FDCEE">
      <w:pPr>
        <w:spacing w:before="0" w:after="0" w:line="360" w:lineRule="auto"/>
        <w:ind w:firstLine="420"/>
      </w:pPr>
      <w:r>
        <w:rPr>
          <w:rFonts w:ascii="Times New Roman" w:hAnsi="Times New Roman" w:eastAsia="宋体" w:cs="Times New Roman"/>
          <w:b w:val="0"/>
          <w:color w:val="000000"/>
          <w:sz w:val="24"/>
        </w:rPr>
        <w:t>形成经过代码验证、工程过程Benchmark、极限行为检验、结构稳健性检验和外部参数域校核的AI-UWM模型及版本化代码。</w:t>
      </w:r>
    </w:p>
    <w:p w14:paraId="6C4C6006">
      <w:pPr>
        <w:spacing w:before="0" w:after="0" w:line="360" w:lineRule="auto"/>
        <w:ind w:firstLine="420"/>
      </w:pPr>
      <w:r>
        <w:rPr>
          <w:rFonts w:ascii="Times New Roman" w:hAnsi="Times New Roman" w:eastAsia="宋体"/>
          <w:sz w:val="24"/>
        </w:rPr>
        <w:t>形成AI容量，代谢结构，分系统峰值压力响应面和适用参数域。</w:t>
      </w:r>
    </w:p>
    <w:p w14:paraId="22500872">
      <w:pPr>
        <w:spacing w:before="0" w:after="0" w:line="360" w:lineRule="auto"/>
        <w:ind w:firstLine="420"/>
      </w:pPr>
      <w:r>
        <w:rPr>
          <w:rFonts w:ascii="Times New Roman" w:hAnsi="Times New Roman" w:eastAsia="宋体" w:cs="Times New Roman"/>
          <w:b w:val="0"/>
          <w:color w:val="000000"/>
          <w:sz w:val="24"/>
        </w:rPr>
        <w:t>形成工程安全与风险条件下的CAWCC边界、边界提前量和瓶颈转换图谱。</w:t>
      </w:r>
    </w:p>
    <w:p w14:paraId="7D55109D">
      <w:pPr>
        <w:spacing w:before="0" w:after="0" w:line="360" w:lineRule="auto"/>
        <w:ind w:firstLine="420"/>
      </w:pPr>
      <w:r>
        <w:rPr>
          <w:rFonts w:ascii="宋体" w:hAnsi="宋体" w:eastAsia="宋体" w:cs="Times New Roman"/>
          <w:b w:val="0"/>
          <w:color w:val="000000"/>
          <w:sz w:val="24"/>
        </w:rPr>
        <w:t>发表围绕模型、时间尺度边界和瓶颈/干预机制的系列论文，提交数据字典、参数证据表和可重复运行脚本。</w:t>
      </w:r>
    </w:p>
    <w:p w14:paraId="3D8CE7FC">
      <w:pPr>
        <w:pStyle w:val="23"/>
        <w:ind w:firstLine="0" w:firstLineChars="0"/>
        <w:outlineLvl w:val="1"/>
      </w:pPr>
      <w:bookmarkStart w:id="43" w:name="_Toc28342"/>
      <w:bookmarkStart w:id="44" w:name="_Toc23763"/>
      <w:r>
        <w:rPr>
          <w:rFonts w:ascii="Times New Roman" w:hAnsi="Times New Roman"/>
          <w:sz w:val="24"/>
        </w:rPr>
        <w:t>4.4 成果评价指标</w:t>
      </w:r>
      <w:bookmarkEnd w:id="43"/>
      <w:bookmarkEnd w:id="44"/>
    </w:p>
    <w:p w14:paraId="7434481A">
      <w:pPr>
        <w:spacing w:before="0" w:after="0" w:line="360" w:lineRule="auto"/>
        <w:ind w:firstLine="420"/>
      </w:pPr>
      <w:r>
        <w:rPr>
          <w:rFonts w:ascii="Times New Roman" w:hAnsi="Times New Roman"/>
          <w:sz w:val="24"/>
        </w:rPr>
        <w:t>模型成果以可重复运行和可审计为基本要求：完成水量、储量和内部回用的守恒测试，形成参数证据表、情景配置文件和版本化运行脚本；科学成果至少形成三类可量化输出，即代谢结构重构阈值、年均与峰值 CAWCC 的边界提前量、以及水源—给水—污水—再生水约束的瓶颈转换条件；应用成果形成不同系统状态下的响应面、适用参数域和干预边界。论文只把通过三道筛选的结果列为主要结论：模型通过守恒、边界与过程基准测试；结果在重复抽样和至少两种压力剖面下方向一致；机制解释能对应可识别的结构指标或约束状态转换。主要结论一律以条件化形式表述。</w:t>
      </w:r>
    </w:p>
    <w:p w14:paraId="5C893B0C">
      <w:pPr>
        <w:pStyle w:val="22"/>
        <w:pageBreakBefore w:val="0"/>
        <w:ind w:firstLine="0" w:firstLineChars="0"/>
        <w:outlineLvl w:val="0"/>
      </w:pPr>
      <w:bookmarkStart w:id="45" w:name="_Toc30513"/>
      <w:bookmarkStart w:id="46" w:name="_Toc20943"/>
      <w:r>
        <w:rPr>
          <w:rFonts w:ascii="Times New Roman" w:hAnsi="Times New Roman" w:eastAsia="黑体" w:cs="Times New Roman"/>
          <w:b/>
          <w:color w:val="000000"/>
          <w:sz w:val="30"/>
        </w:rPr>
        <w:t>5 已完成的学术研究工作</w:t>
      </w:r>
      <w:bookmarkEnd w:id="45"/>
      <w:bookmarkEnd w:id="46"/>
    </w:p>
    <w:p w14:paraId="43D9611B">
      <w:pPr>
        <w:spacing w:before="0" w:after="0" w:line="360" w:lineRule="auto"/>
        <w:ind w:firstLine="420"/>
      </w:pPr>
      <w:r>
        <w:rPr>
          <w:rFonts w:ascii="Times New Roman" w:hAnsi="Times New Roman" w:eastAsia="宋体" w:cs="Times New Roman"/>
          <w:b w:val="0"/>
          <w:color w:val="000000"/>
          <w:sz w:val="24"/>
        </w:rPr>
        <w:t>前期已完成城市资源代谢模拟框架的主体结构，形成水源、给水、终端需求、污水处理和再生利用的日尺度计算模块，并建立了情景切换与不确定性分析接口。现有原型已能按节点记录外部输入、内部回用、最终排放和储量变化；下一步是在该骨架上接入 AI 冷却节点，把研究重点放在 AI 节点引入后的科学响应。</w:t>
      </w:r>
    </w:p>
    <w:p w14:paraId="5BB2288C">
      <w:pPr>
        <w:spacing w:before="0" w:after="0" w:line="360" w:lineRule="auto"/>
        <w:ind w:firstLine="420"/>
      </w:pPr>
      <w:r>
        <w:rPr>
          <w:rFonts w:ascii="宋体" w:hAnsi="宋体" w:eastAsia="宋体"/>
          <w:sz w:val="24"/>
        </w:rPr>
        <w:t>现有积累形成三项可直接用于论文工作的基础：一是已将城市水系统表示为节点—路径网络，并区分外部输入、内部回用与最终排放；二是已把服务器侧热捕集与设施侧末端热排散分开，可在同一框架比较空气、液冷、干式与湿式方案；三是已建立参数证据分级表，分别记录公开统计、工程文献、企业披露和情景假设。</w:t>
      </w:r>
    </w:p>
    <w:p w14:paraId="0B1A426C">
      <w:pPr>
        <w:pStyle w:val="22"/>
        <w:pageBreakBefore w:val="0"/>
        <w:ind w:firstLine="0" w:firstLineChars="0"/>
        <w:outlineLvl w:val="0"/>
      </w:pPr>
      <w:bookmarkStart w:id="47" w:name="_Toc14609"/>
      <w:bookmarkStart w:id="48" w:name="_Toc193"/>
      <w:r>
        <w:rPr>
          <w:rFonts w:ascii="Times New Roman" w:hAnsi="Times New Roman" w:eastAsia="黑体" w:cs="Times New Roman"/>
          <w:b/>
          <w:color w:val="000000"/>
          <w:sz w:val="30"/>
        </w:rPr>
        <w:t>6 进度安排</w:t>
      </w:r>
      <w:bookmarkEnd w:id="47"/>
      <w:bookmarkEnd w:id="48"/>
    </w:p>
    <w:p w14:paraId="607ECEE0">
      <w:pPr>
        <w:spacing w:before="120" w:after="120" w:line="360" w:lineRule="auto"/>
        <w:ind w:firstLine="420"/>
      </w:pPr>
      <w:r>
        <w:rPr>
          <w:rFonts w:ascii="Times New Roman" w:hAnsi="Times New Roman" w:eastAsia="宋体" w:cs="Times New Roman"/>
          <w:b w:val="0"/>
          <w:color w:val="000000"/>
          <w:sz w:val="24"/>
        </w:rPr>
        <w:t>表6-1 研究阶段、主要工作与阶段产出</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0CF53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Pr>
          <w:p w14:paraId="429665F4">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阶段</w:t>
            </w:r>
          </w:p>
        </w:tc>
        <w:tc>
          <w:tcPr>
            <w:tcW w:w="2267" w:type="dxa"/>
          </w:tcPr>
          <w:p w14:paraId="4999D5B0">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时间</w:t>
            </w:r>
          </w:p>
        </w:tc>
        <w:tc>
          <w:tcPr>
            <w:tcW w:w="2267" w:type="dxa"/>
          </w:tcPr>
          <w:p w14:paraId="14D57C16">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主要工作</w:t>
            </w:r>
          </w:p>
        </w:tc>
        <w:tc>
          <w:tcPr>
            <w:tcW w:w="2270" w:type="dxa"/>
          </w:tcPr>
          <w:p w14:paraId="28CFA97F">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阶段产出</w:t>
            </w:r>
          </w:p>
        </w:tc>
      </w:tr>
      <w:tr w14:paraId="311C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F17E3E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第一阶段</w:t>
            </w:r>
          </w:p>
        </w:tc>
        <w:tc>
          <w:tcPr>
            <w:tcW w:w="2267" w:type="dxa"/>
          </w:tcPr>
          <w:p w14:paraId="761470BB">
            <w:pPr>
              <w:keepNext w:val="0"/>
              <w:spacing w:before="40" w:after="40" w:line="276" w:lineRule="auto"/>
              <w:ind w:left="0" w:right="0" w:firstLine="0"/>
              <w:jc w:val="left"/>
              <w:rPr>
                <w:rFonts w:hint="default" w:ascii="Times New Roman" w:hAnsi="Times New Roman" w:eastAsia="宋体"/>
                <w:lang w:val="en-US" w:eastAsia="zh-CN"/>
              </w:rPr>
            </w:pPr>
            <w:r>
              <w:rPr>
                <w:rFonts w:ascii="宋体" w:hAnsi="宋体" w:eastAsia="宋体"/>
                <w:sz w:val="21"/>
              </w:rPr>
              <w:t>2026.0</w:t>
            </w:r>
            <w:r>
              <w:rPr>
                <w:rFonts w:hint="eastAsia"/>
                <w:sz w:val="21"/>
                <w:lang w:val="en-US" w:eastAsia="zh-CN"/>
              </w:rPr>
              <w:t>6</w:t>
            </w:r>
            <w:r>
              <w:rPr>
                <w:rFonts w:ascii="宋体" w:hAnsi="宋体" w:eastAsia="宋体"/>
                <w:sz w:val="21"/>
              </w:rPr>
              <w:t>，202</w:t>
            </w:r>
            <w:r>
              <w:rPr>
                <w:rFonts w:hint="eastAsia"/>
                <w:sz w:val="21"/>
                <w:lang w:val="en-US" w:eastAsia="zh-CN"/>
              </w:rPr>
              <w:t>6</w:t>
            </w:r>
            <w:r>
              <w:rPr>
                <w:rFonts w:ascii="宋体" w:hAnsi="宋体" w:eastAsia="宋体"/>
                <w:sz w:val="21"/>
              </w:rPr>
              <w:t>.</w:t>
            </w:r>
            <w:r>
              <w:rPr>
                <w:rFonts w:hint="eastAsia"/>
                <w:sz w:val="21"/>
                <w:lang w:val="en-US" w:eastAsia="zh-CN"/>
              </w:rPr>
              <w:t>11</w:t>
            </w:r>
          </w:p>
        </w:tc>
        <w:tc>
          <w:tcPr>
            <w:tcW w:w="2267" w:type="dxa"/>
          </w:tcPr>
          <w:p w14:paraId="0347188D">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数据审计、案例筛选、文献综述、最小闭环、单元测试</w:t>
            </w:r>
          </w:p>
        </w:tc>
        <w:tc>
          <w:tcPr>
            <w:tcW w:w="2270" w:type="dxa"/>
          </w:tcPr>
          <w:p w14:paraId="53F4D343">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研究数据库、AI-UWM原型、方法论文初稿</w:t>
            </w:r>
          </w:p>
        </w:tc>
      </w:tr>
      <w:tr w14:paraId="4A03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6BEDA35">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第二阶段</w:t>
            </w:r>
          </w:p>
        </w:tc>
        <w:tc>
          <w:tcPr>
            <w:tcW w:w="2267" w:type="dxa"/>
          </w:tcPr>
          <w:p w14:paraId="0290DC2B">
            <w:pPr>
              <w:keepNext w:val="0"/>
              <w:spacing w:before="40" w:after="40" w:line="276" w:lineRule="auto"/>
              <w:ind w:left="0" w:right="0" w:firstLine="0"/>
              <w:jc w:val="left"/>
              <w:rPr>
                <w:rFonts w:hint="eastAsia" w:ascii="Times New Roman" w:hAnsi="Times New Roman" w:eastAsia="宋体"/>
                <w:lang w:eastAsia="zh-CN"/>
              </w:rPr>
            </w:pPr>
            <w:r>
              <w:rPr>
                <w:rFonts w:ascii="宋体" w:hAnsi="宋体" w:eastAsia="宋体"/>
                <w:sz w:val="21"/>
              </w:rPr>
              <w:t>202</w:t>
            </w:r>
            <w:r>
              <w:rPr>
                <w:rFonts w:hint="eastAsia"/>
                <w:sz w:val="21"/>
                <w:lang w:val="en-US" w:eastAsia="zh-CN"/>
              </w:rPr>
              <w:t>6</w:t>
            </w:r>
            <w:r>
              <w:rPr>
                <w:rFonts w:ascii="宋体" w:hAnsi="宋体" w:eastAsia="宋体"/>
                <w:sz w:val="21"/>
              </w:rPr>
              <w:t>.0</w:t>
            </w:r>
            <w:r>
              <w:rPr>
                <w:rFonts w:hint="eastAsia"/>
                <w:sz w:val="21"/>
                <w:lang w:val="en-US" w:eastAsia="zh-CN"/>
              </w:rPr>
              <w:t>11</w:t>
            </w:r>
            <w:r>
              <w:rPr>
                <w:rFonts w:ascii="宋体" w:hAnsi="宋体" w:eastAsia="宋体"/>
                <w:sz w:val="21"/>
              </w:rPr>
              <w:t>，202</w:t>
            </w:r>
            <w:r>
              <w:rPr>
                <w:rFonts w:hint="eastAsia"/>
                <w:sz w:val="21"/>
                <w:lang w:val="en-US" w:eastAsia="zh-CN"/>
              </w:rPr>
              <w:t>7</w:t>
            </w:r>
            <w:r>
              <w:rPr>
                <w:rFonts w:ascii="宋体" w:hAnsi="宋体" w:eastAsia="宋体"/>
                <w:sz w:val="21"/>
              </w:rPr>
              <w:t>.0</w:t>
            </w:r>
            <w:r>
              <w:rPr>
                <w:rFonts w:hint="eastAsia"/>
                <w:sz w:val="21"/>
                <w:lang w:val="en-US" w:eastAsia="zh-CN"/>
              </w:rPr>
              <w:t>1</w:t>
            </w:r>
          </w:p>
        </w:tc>
        <w:tc>
          <w:tcPr>
            <w:tcW w:w="2267" w:type="dxa"/>
          </w:tcPr>
          <w:p w14:paraId="785FAECB">
            <w:pPr>
              <w:spacing w:line="276" w:lineRule="auto"/>
            </w:pPr>
            <w:r>
              <w:rPr>
                <w:rFonts w:ascii="宋体" w:hAnsi="宋体" w:eastAsia="宋体"/>
                <w:sz w:val="21"/>
              </w:rPr>
              <w:t>参数化系统输入校核、替代压力剖面检验、参数范围校核和对照实验</w:t>
            </w:r>
          </w:p>
        </w:tc>
        <w:tc>
          <w:tcPr>
            <w:tcW w:w="2270" w:type="dxa"/>
          </w:tcPr>
          <w:p w14:paraId="3B59D12F">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代谢响应结果、论文1、可复现代码版本</w:t>
            </w:r>
          </w:p>
        </w:tc>
      </w:tr>
      <w:tr w14:paraId="6C49E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3F023CD8">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第三阶段</w:t>
            </w:r>
          </w:p>
        </w:tc>
        <w:tc>
          <w:tcPr>
            <w:tcW w:w="2267" w:type="dxa"/>
          </w:tcPr>
          <w:p w14:paraId="3E6EA77E">
            <w:pPr>
              <w:keepNext w:val="0"/>
              <w:spacing w:before="40" w:after="40" w:line="276" w:lineRule="auto"/>
              <w:ind w:left="0" w:right="0" w:firstLine="0"/>
              <w:jc w:val="left"/>
              <w:rPr>
                <w:rFonts w:hint="default" w:ascii="Times New Roman" w:hAnsi="Times New Roman" w:eastAsia="宋体"/>
                <w:lang w:val="en-US" w:eastAsia="zh-CN"/>
              </w:rPr>
            </w:pPr>
            <w:r>
              <w:rPr>
                <w:rFonts w:ascii="宋体" w:hAnsi="宋体" w:eastAsia="宋体"/>
                <w:sz w:val="21"/>
              </w:rPr>
              <w:t>202</w:t>
            </w:r>
            <w:r>
              <w:rPr>
                <w:rFonts w:hint="eastAsia"/>
                <w:sz w:val="21"/>
                <w:lang w:val="en-US" w:eastAsia="zh-CN"/>
              </w:rPr>
              <w:t>7</w:t>
            </w:r>
            <w:r>
              <w:rPr>
                <w:rFonts w:ascii="宋体" w:hAnsi="宋体" w:eastAsia="宋体"/>
                <w:sz w:val="21"/>
              </w:rPr>
              <w:t>.0</w:t>
            </w:r>
            <w:r>
              <w:rPr>
                <w:rFonts w:hint="eastAsia"/>
                <w:sz w:val="21"/>
                <w:lang w:val="en-US" w:eastAsia="zh-CN"/>
              </w:rPr>
              <w:t>1</w:t>
            </w:r>
            <w:r>
              <w:rPr>
                <w:rFonts w:ascii="宋体" w:hAnsi="宋体" w:eastAsia="宋体"/>
                <w:sz w:val="21"/>
              </w:rPr>
              <w:t>，202</w:t>
            </w:r>
            <w:r>
              <w:rPr>
                <w:rFonts w:hint="eastAsia"/>
                <w:sz w:val="21"/>
                <w:lang w:val="en-US" w:eastAsia="zh-CN"/>
              </w:rPr>
              <w:t>7</w:t>
            </w:r>
            <w:r>
              <w:rPr>
                <w:rFonts w:ascii="宋体" w:hAnsi="宋体" w:eastAsia="宋体"/>
                <w:sz w:val="21"/>
              </w:rPr>
              <w:t>.</w:t>
            </w:r>
            <w:r>
              <w:rPr>
                <w:rFonts w:hint="eastAsia"/>
                <w:sz w:val="21"/>
                <w:lang w:val="en-US" w:eastAsia="zh-CN"/>
              </w:rPr>
              <w:t>04</w:t>
            </w:r>
          </w:p>
        </w:tc>
        <w:tc>
          <w:tcPr>
            <w:tcW w:w="2267" w:type="dxa"/>
          </w:tcPr>
          <w:p w14:paraId="2CE8E214">
            <w:pPr>
              <w:keepNext w:val="0"/>
              <w:spacing w:before="40" w:after="40" w:line="276" w:lineRule="auto"/>
              <w:ind w:left="0" w:right="0" w:firstLine="0"/>
              <w:jc w:val="left"/>
              <w:rPr>
                <w:rFonts w:ascii="Times New Roman" w:hAnsi="Times New Roman" w:eastAsia="宋体"/>
              </w:rPr>
            </w:pPr>
            <w:r>
              <w:rPr>
                <w:rFonts w:ascii="宋体" w:hAnsi="宋体" w:eastAsia="宋体"/>
                <w:sz w:val="21"/>
              </w:rPr>
              <w:t>年均，日，小时比较、高温干旱复合压力、CAWCC</w:t>
            </w:r>
          </w:p>
        </w:tc>
        <w:tc>
          <w:tcPr>
            <w:tcW w:w="2270" w:type="dxa"/>
          </w:tcPr>
          <w:p w14:paraId="7A1112ED">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时间尺度边界结果、论文2</w:t>
            </w:r>
          </w:p>
        </w:tc>
      </w:tr>
      <w:tr w14:paraId="3A86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1B628C61">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第四阶段</w:t>
            </w:r>
          </w:p>
        </w:tc>
        <w:tc>
          <w:tcPr>
            <w:tcW w:w="2267" w:type="dxa"/>
          </w:tcPr>
          <w:p w14:paraId="42066DAE">
            <w:pPr>
              <w:keepNext w:val="0"/>
              <w:spacing w:before="40" w:after="40" w:line="276" w:lineRule="auto"/>
              <w:ind w:left="0" w:right="0" w:firstLine="0"/>
              <w:jc w:val="left"/>
              <w:rPr>
                <w:rFonts w:ascii="Times New Roman" w:hAnsi="Times New Roman" w:eastAsia="宋体"/>
              </w:rPr>
            </w:pPr>
            <w:r>
              <w:rPr>
                <w:rFonts w:ascii="宋体" w:hAnsi="宋体" w:eastAsia="宋体"/>
                <w:sz w:val="21"/>
              </w:rPr>
              <w:t>202</w:t>
            </w:r>
            <w:r>
              <w:rPr>
                <w:rFonts w:hint="eastAsia"/>
                <w:sz w:val="21"/>
                <w:lang w:val="en-US" w:eastAsia="zh-CN"/>
              </w:rPr>
              <w:t>7</w:t>
            </w:r>
            <w:r>
              <w:rPr>
                <w:rFonts w:ascii="宋体" w:hAnsi="宋体" w:eastAsia="宋体"/>
                <w:sz w:val="21"/>
              </w:rPr>
              <w:t>.0</w:t>
            </w:r>
            <w:r>
              <w:rPr>
                <w:rFonts w:hint="eastAsia"/>
                <w:sz w:val="21"/>
                <w:lang w:val="en-US" w:eastAsia="zh-CN"/>
              </w:rPr>
              <w:t>5</w:t>
            </w:r>
            <w:r>
              <w:rPr>
                <w:rFonts w:ascii="宋体" w:hAnsi="宋体" w:eastAsia="宋体"/>
                <w:sz w:val="21"/>
              </w:rPr>
              <w:t>，202</w:t>
            </w:r>
            <w:r>
              <w:rPr>
                <w:rFonts w:hint="eastAsia"/>
                <w:sz w:val="21"/>
                <w:lang w:val="en-US" w:eastAsia="zh-CN"/>
              </w:rPr>
              <w:t>7</w:t>
            </w:r>
            <w:r>
              <w:rPr>
                <w:rFonts w:ascii="宋体" w:hAnsi="宋体" w:eastAsia="宋体"/>
                <w:sz w:val="21"/>
              </w:rPr>
              <w:t>.09</w:t>
            </w:r>
          </w:p>
        </w:tc>
        <w:tc>
          <w:tcPr>
            <w:tcW w:w="2267" w:type="dxa"/>
          </w:tcPr>
          <w:p w14:paraId="7FD01A73">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不确定性、瓶颈转换、再生水和设施干预</w:t>
            </w:r>
          </w:p>
        </w:tc>
        <w:tc>
          <w:tcPr>
            <w:tcW w:w="2270" w:type="dxa"/>
          </w:tcPr>
          <w:p w14:paraId="7DD53A58">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边界图谱、机制论文、参数证据库</w:t>
            </w:r>
          </w:p>
        </w:tc>
      </w:tr>
      <w:tr w14:paraId="5C64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225BB289">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第五阶段</w:t>
            </w:r>
          </w:p>
        </w:tc>
        <w:tc>
          <w:tcPr>
            <w:tcW w:w="2267" w:type="dxa"/>
          </w:tcPr>
          <w:p w14:paraId="58F5542F">
            <w:pPr>
              <w:keepNext w:val="0"/>
              <w:spacing w:before="40" w:after="40" w:line="276" w:lineRule="auto"/>
              <w:ind w:left="0" w:right="0" w:firstLine="0"/>
              <w:jc w:val="left"/>
              <w:rPr>
                <w:rFonts w:hint="default" w:ascii="Times New Roman" w:hAnsi="Times New Roman" w:eastAsia="宋体"/>
                <w:lang w:val="en-US" w:eastAsia="zh-CN"/>
              </w:rPr>
            </w:pPr>
            <w:r>
              <w:rPr>
                <w:rFonts w:ascii="宋体" w:hAnsi="宋体" w:eastAsia="宋体"/>
                <w:sz w:val="21"/>
              </w:rPr>
              <w:t>202</w:t>
            </w:r>
            <w:r>
              <w:rPr>
                <w:rFonts w:hint="eastAsia"/>
                <w:sz w:val="21"/>
                <w:lang w:val="en-US" w:eastAsia="zh-CN"/>
              </w:rPr>
              <w:t>7</w:t>
            </w:r>
            <w:r>
              <w:rPr>
                <w:rFonts w:ascii="宋体" w:hAnsi="宋体" w:eastAsia="宋体"/>
                <w:sz w:val="21"/>
              </w:rPr>
              <w:t>.10，20</w:t>
            </w:r>
            <w:r>
              <w:rPr>
                <w:rFonts w:hint="eastAsia"/>
                <w:sz w:val="21"/>
                <w:lang w:val="en-US" w:eastAsia="zh-CN"/>
              </w:rPr>
              <w:t>28</w:t>
            </w:r>
            <w:r>
              <w:rPr>
                <w:rFonts w:ascii="宋体" w:hAnsi="宋体" w:eastAsia="宋体"/>
                <w:sz w:val="21"/>
              </w:rPr>
              <w:t>.</w:t>
            </w:r>
            <w:r>
              <w:rPr>
                <w:rFonts w:hint="eastAsia"/>
                <w:sz w:val="21"/>
                <w:lang w:val="en-US" w:eastAsia="zh-CN"/>
              </w:rPr>
              <w:t>04</w:t>
            </w:r>
          </w:p>
        </w:tc>
        <w:tc>
          <w:tcPr>
            <w:tcW w:w="2267" w:type="dxa"/>
          </w:tcPr>
          <w:p w14:paraId="23C6EEF4">
            <w:pPr>
              <w:keepNext w:val="0"/>
              <w:spacing w:before="40" w:after="40" w:line="276" w:lineRule="auto"/>
              <w:ind w:left="0" w:right="0" w:firstLine="0"/>
              <w:jc w:val="left"/>
              <w:rPr>
                <w:rFonts w:ascii="Times New Roman" w:hAnsi="Times New Roman" w:eastAsia="宋体"/>
              </w:rPr>
            </w:pPr>
            <w:r>
              <w:rPr>
                <w:rFonts w:ascii="宋体" w:hAnsi="宋体" w:eastAsia="宋体"/>
                <w:sz w:val="21"/>
              </w:rPr>
              <w:t>固定容量水，能，碳比较、论文整合、预答辩与送审</w:t>
            </w:r>
          </w:p>
        </w:tc>
        <w:tc>
          <w:tcPr>
            <w:tcW w:w="2270" w:type="dxa"/>
          </w:tcPr>
          <w:p w14:paraId="1E03C4FA">
            <w:pPr>
              <w:keepNext w:val="0"/>
              <w:spacing w:before="40" w:after="40" w:line="276" w:lineRule="auto"/>
              <w:ind w:left="0" w:right="0" w:firstLine="0"/>
              <w:jc w:val="left"/>
              <w:rPr>
                <w:rFonts w:ascii="Times New Roman" w:hAnsi="Times New Roman" w:eastAsia="宋体"/>
              </w:rPr>
            </w:pPr>
            <w:r>
              <w:rPr>
                <w:rFonts w:hint="eastAsia" w:ascii="宋体" w:hAnsi="宋体" w:eastAsia="宋体" w:cs="Times New Roman"/>
                <w:b w:val="0"/>
                <w:color w:val="000000"/>
                <w:sz w:val="21"/>
                <w:lang w:eastAsia="zh-CN"/>
              </w:rPr>
              <w:t>硕士</w:t>
            </w:r>
            <w:r>
              <w:rPr>
                <w:rFonts w:ascii="宋体" w:hAnsi="宋体" w:eastAsia="宋体" w:cs="Times New Roman"/>
                <w:b w:val="0"/>
                <w:color w:val="000000"/>
                <w:sz w:val="21"/>
              </w:rPr>
              <w:t>论文、代码和数据治理文档</w:t>
            </w:r>
          </w:p>
        </w:tc>
      </w:tr>
    </w:tbl>
    <w:p w14:paraId="3F5C3547">
      <w:pPr>
        <w:pStyle w:val="22"/>
        <w:pageBreakBefore w:val="0"/>
        <w:ind w:firstLine="0" w:firstLineChars="0"/>
        <w:outlineLvl w:val="0"/>
      </w:pPr>
      <w:bookmarkStart w:id="49" w:name="_Toc8218"/>
      <w:bookmarkStart w:id="50" w:name="_Toc29805"/>
      <w:r>
        <w:rPr>
          <w:rFonts w:ascii="Times New Roman" w:hAnsi="Times New Roman" w:eastAsia="黑体" w:cs="Times New Roman"/>
          <w:b/>
          <w:color w:val="000000"/>
          <w:sz w:val="30"/>
        </w:rPr>
        <w:t>7 为完成课题所需的条件</w:t>
      </w:r>
      <w:bookmarkEnd w:id="49"/>
      <w:bookmarkEnd w:id="50"/>
    </w:p>
    <w:p w14:paraId="1C3F9983">
      <w:pPr>
        <w:pStyle w:val="23"/>
        <w:pageBreakBefore w:val="0"/>
        <w:ind w:firstLine="0" w:firstLineChars="0"/>
        <w:outlineLvl w:val="1"/>
      </w:pPr>
      <w:bookmarkStart w:id="51" w:name="_Toc22866"/>
      <w:bookmarkStart w:id="52" w:name="_Toc29455"/>
      <w:r>
        <w:rPr>
          <w:rFonts w:ascii="Times New Roman" w:hAnsi="Times New Roman" w:eastAsia="黑体" w:cs="Times New Roman"/>
          <w:b/>
          <w:color w:val="000000"/>
          <w:sz w:val="28"/>
        </w:rPr>
        <w:t>7.1 理论、数据、软件与计算条件</w:t>
      </w:r>
      <w:bookmarkEnd w:id="51"/>
      <w:bookmarkEnd w:id="52"/>
    </w:p>
    <w:p w14:paraId="57D6C175">
      <w:pPr>
        <w:spacing w:before="0" w:after="0" w:line="360" w:lineRule="auto"/>
        <w:ind w:firstLine="420"/>
      </w:pPr>
      <w:r>
        <w:rPr>
          <w:rFonts w:ascii="宋体" w:hAnsi="宋体" w:eastAsia="宋体" w:cs="Times New Roman"/>
          <w:b w:val="0"/>
          <w:color w:val="000000"/>
          <w:sz w:val="24"/>
        </w:rPr>
        <w:t>理论可行性：城市代谢、综合水系统、数据中心冷却和可靠性评价已有成熟理论接口，本研究的增量在于耦合和机制解释。</w:t>
      </w:r>
    </w:p>
    <w:p w14:paraId="7B04E49A">
      <w:pPr>
        <w:spacing w:before="0" w:after="0" w:line="360" w:lineRule="auto"/>
        <w:ind w:firstLine="420"/>
      </w:pPr>
      <w:r>
        <w:rPr>
          <w:rFonts w:ascii="Times New Roman" w:hAnsi="Times New Roman" w:eastAsia="宋体" w:cs="Times New Roman"/>
          <w:b w:val="0"/>
          <w:color w:val="000000"/>
          <w:sz w:val="24"/>
        </w:rPr>
        <w:t>数据可行性：核心城市水务和气象数据可由公开统计与管理资料支撑；商业敏感数据采取工程 Benchmark、区间参数和条件剖面替代。</w:t>
      </w:r>
    </w:p>
    <w:p w14:paraId="01F32231">
      <w:pPr>
        <w:spacing w:before="0" w:after="0" w:line="360" w:lineRule="auto"/>
        <w:ind w:firstLine="420"/>
      </w:pPr>
      <w:r>
        <w:rPr>
          <w:rFonts w:ascii="宋体" w:hAnsi="宋体" w:eastAsia="宋体" w:cs="Times New Roman"/>
          <w:b w:val="0"/>
          <w:color w:val="000000"/>
          <w:sz w:val="24"/>
        </w:rPr>
        <w:t>计算可行性：模型按模块开发，优先在边界附近计算；高维敏感性分析只对证据充分的变量实施。</w:t>
      </w:r>
    </w:p>
    <w:p w14:paraId="4CB28AC8">
      <w:pPr>
        <w:spacing w:before="0" w:after="0" w:line="360" w:lineRule="auto"/>
        <w:ind w:firstLine="420"/>
      </w:pPr>
      <w:r>
        <w:rPr>
          <w:rFonts w:ascii="宋体" w:hAnsi="宋体" w:eastAsia="宋体"/>
          <w:sz w:val="24"/>
        </w:rPr>
        <w:t>论文可行性：模型建立、代谢响应、承载边界、瓶颈与干预四部分具有相对独立的研究问题，可形成连续论文产出。</w:t>
      </w:r>
    </w:p>
    <w:p w14:paraId="7348F27D">
      <w:pPr>
        <w:spacing w:before="0" w:after="0" w:line="360" w:lineRule="auto"/>
        <w:ind w:firstLine="420"/>
      </w:pPr>
      <w:r>
        <w:rPr>
          <w:rFonts w:ascii="宋体" w:hAnsi="宋体" w:eastAsia="宋体"/>
          <w:sz w:val="24"/>
        </w:rPr>
        <w:t>模型采用 Python 或同类科学计算环境实现，使用版本控制记录配置和输出图表；参数扫描采用可并行批处理，结果保存为结构化表格。基准实验以普通</w:t>
      </w:r>
      <w:r>
        <w:rPr>
          <w:rFonts w:hint="eastAsia"/>
          <w:sz w:val="24"/>
          <w:lang w:val="en-US" w:eastAsia="zh-CN"/>
        </w:rPr>
        <w:t>笔记本电脑</w:t>
      </w:r>
      <w:r>
        <w:rPr>
          <w:rFonts w:ascii="宋体" w:hAnsi="宋体" w:eastAsia="宋体"/>
          <w:sz w:val="24"/>
        </w:rPr>
        <w:t>即可完成，</w:t>
      </w:r>
      <w:r>
        <w:rPr>
          <w:rFonts w:hint="eastAsia"/>
          <w:sz w:val="24"/>
          <w:lang w:val="en-US" w:eastAsia="zh-CN"/>
        </w:rPr>
        <w:t>如有必要可</w:t>
      </w:r>
      <w:r>
        <w:rPr>
          <w:rFonts w:ascii="宋体" w:hAnsi="宋体" w:eastAsia="宋体"/>
          <w:sz w:val="24"/>
        </w:rPr>
        <w:t>启用并行计算。</w:t>
      </w:r>
    </w:p>
    <w:p w14:paraId="0A8D2CAA">
      <w:pPr>
        <w:pStyle w:val="23"/>
        <w:pageBreakBefore w:val="0"/>
        <w:ind w:firstLine="0" w:firstLineChars="0"/>
        <w:outlineLvl w:val="1"/>
      </w:pPr>
      <w:bookmarkStart w:id="53" w:name="_Toc26258"/>
      <w:bookmarkStart w:id="54" w:name="_Toc27266"/>
      <w:r>
        <w:rPr>
          <w:rFonts w:ascii="Times New Roman" w:hAnsi="Times New Roman" w:eastAsia="黑体" w:cs="Times New Roman"/>
          <w:b/>
          <w:color w:val="000000"/>
          <w:sz w:val="28"/>
        </w:rPr>
        <w:t>7.2 研究组织与成果管理</w:t>
      </w:r>
      <w:bookmarkEnd w:id="53"/>
      <w:bookmarkEnd w:id="54"/>
    </w:p>
    <w:p w14:paraId="5CD7E6B5">
      <w:pPr>
        <w:spacing w:before="0" w:after="0" w:line="360" w:lineRule="auto"/>
        <w:ind w:firstLine="420"/>
      </w:pPr>
      <w:r>
        <w:rPr>
          <w:rFonts w:ascii="宋体" w:hAnsi="宋体" w:eastAsia="宋体" w:cs="Times New Roman"/>
          <w:b w:val="0"/>
          <w:color w:val="000000"/>
          <w:sz w:val="24"/>
        </w:rPr>
        <w:t>研究将按模型、验证、机制实验和论文四类工作包安排阶段检查。参数证据更新、关键守恒测试和数据质量核查先于机制实验；每阶段以可重复运行的模型版本、结果图表和研究记录衔接下一阶段。</w:t>
      </w:r>
    </w:p>
    <w:p w14:paraId="701EA649">
      <w:pPr>
        <w:pStyle w:val="22"/>
        <w:pageBreakBefore w:val="0"/>
        <w:ind w:firstLine="0" w:firstLineChars="0"/>
        <w:outlineLvl w:val="0"/>
      </w:pPr>
      <w:bookmarkStart w:id="55" w:name="_Toc22519"/>
      <w:bookmarkStart w:id="56" w:name="_Toc8803"/>
      <w:r>
        <w:rPr>
          <w:rFonts w:ascii="Times New Roman" w:hAnsi="Times New Roman" w:eastAsia="黑体" w:cs="Times New Roman"/>
          <w:b/>
          <w:color w:val="000000"/>
          <w:sz w:val="30"/>
        </w:rPr>
        <w:t>8 研究过程中可能遇到的问题及解决措施</w:t>
      </w:r>
      <w:bookmarkEnd w:id="55"/>
      <w:bookmarkEnd w:id="56"/>
    </w:p>
    <w:p w14:paraId="42EC31FE">
      <w:pPr>
        <w:spacing w:before="120" w:after="120" w:line="360" w:lineRule="auto"/>
        <w:ind w:firstLine="420"/>
        <w:jc w:val="center"/>
      </w:pPr>
      <w:r>
        <w:rPr>
          <w:rFonts w:ascii="Times New Roman" w:hAnsi="Times New Roman" w:eastAsia="宋体" w:cs="Times New Roman"/>
          <w:b w:val="0"/>
          <w:color w:val="000000"/>
          <w:sz w:val="24"/>
        </w:rPr>
        <w:t>表8-1 关键难点、研究影响与解决路径</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3"/>
        <w:gridCol w:w="3023"/>
        <w:gridCol w:w="3025"/>
      </w:tblGrid>
      <w:tr w14:paraId="6FA0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3" w:type="dxa"/>
            <w:tcBorders>
              <w:top w:val="single" w:color="000000" w:sz="12" w:space="0"/>
              <w:left w:val="nil"/>
              <w:bottom w:val="single" w:color="000000" w:sz="4" w:space="0"/>
              <w:right w:val="nil"/>
              <w:tl2br w:val="nil"/>
            </w:tcBorders>
            <w:shd w:val="clear" w:color="auto" w:fill="FFFFFF"/>
          </w:tcPr>
          <w:p w14:paraId="54BCDDEA">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难点</w:t>
            </w:r>
          </w:p>
        </w:tc>
        <w:tc>
          <w:tcPr>
            <w:tcW w:w="3023" w:type="dxa"/>
            <w:tcBorders>
              <w:top w:val="single" w:color="000000" w:sz="12" w:space="0"/>
              <w:left w:val="nil"/>
              <w:bottom w:val="single" w:color="000000" w:sz="4" w:space="0"/>
              <w:right w:val="nil"/>
            </w:tcBorders>
            <w:shd w:val="clear" w:color="auto" w:fill="FFFFFF"/>
          </w:tcPr>
          <w:p w14:paraId="20AD0984">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可能后果</w:t>
            </w:r>
          </w:p>
        </w:tc>
        <w:tc>
          <w:tcPr>
            <w:tcW w:w="3025" w:type="dxa"/>
            <w:tcBorders>
              <w:top w:val="single" w:color="000000" w:sz="12" w:space="0"/>
              <w:left w:val="nil"/>
              <w:bottom w:val="single" w:color="000000" w:sz="4" w:space="0"/>
              <w:right w:val="nil"/>
            </w:tcBorders>
            <w:shd w:val="clear" w:color="auto" w:fill="FFFFFF"/>
          </w:tcPr>
          <w:p w14:paraId="0E75BAAC">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应对措施</w:t>
            </w:r>
          </w:p>
        </w:tc>
      </w:tr>
      <w:tr w14:paraId="07BD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single" w:color="000000" w:sz="4" w:space="0"/>
              <w:left w:val="nil"/>
              <w:bottom w:val="nil"/>
              <w:right w:val="nil"/>
            </w:tcBorders>
            <w:shd w:val="clear" w:color="auto" w:fill="FFFFFF"/>
          </w:tcPr>
          <w:p w14:paraId="5B633C57">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AI运行数据不足</w:t>
            </w:r>
          </w:p>
        </w:tc>
        <w:tc>
          <w:tcPr>
            <w:tcW w:w="3023" w:type="dxa"/>
            <w:tcBorders>
              <w:top w:val="single" w:color="000000" w:sz="4" w:space="0"/>
              <w:left w:val="nil"/>
              <w:bottom w:val="nil"/>
              <w:right w:val="nil"/>
            </w:tcBorders>
            <w:shd w:val="clear" w:color="auto" w:fill="FFFFFF"/>
          </w:tcPr>
          <w:p w14:paraId="31ED21BC">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难以校准逐小时负荷和水耗</w:t>
            </w:r>
          </w:p>
        </w:tc>
        <w:tc>
          <w:tcPr>
            <w:tcW w:w="3025" w:type="dxa"/>
            <w:tcBorders>
              <w:top w:val="single" w:color="000000" w:sz="4" w:space="0"/>
              <w:left w:val="nil"/>
              <w:bottom w:val="nil"/>
              <w:right w:val="nil"/>
            </w:tcBorders>
            <w:shd w:val="clear" w:color="auto" w:fill="FFFFFF"/>
          </w:tcPr>
          <w:p w14:paraId="1E76CBE5">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采用公开工程参数、文献Benchmark和保留日总量的条件剖面；把不可辨识性单独报告</w:t>
            </w:r>
          </w:p>
        </w:tc>
      </w:tr>
      <w:tr w14:paraId="2E16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nil"/>
              <w:left w:val="nil"/>
              <w:bottom w:val="nil"/>
              <w:right w:val="nil"/>
            </w:tcBorders>
            <w:shd w:val="clear" w:color="auto" w:fill="FFFFFF"/>
          </w:tcPr>
          <w:p w14:paraId="372D5FD7">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反馈导致可行域非单调</w:t>
            </w:r>
          </w:p>
        </w:tc>
        <w:tc>
          <w:tcPr>
            <w:tcW w:w="3023" w:type="dxa"/>
            <w:tcBorders>
              <w:top w:val="nil"/>
              <w:left w:val="nil"/>
              <w:bottom w:val="nil"/>
              <w:right w:val="nil"/>
            </w:tcBorders>
            <w:shd w:val="clear" w:color="auto" w:fill="FFFFFF"/>
          </w:tcPr>
          <w:p w14:paraId="244B3DFE">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只报告最大值会掩盖中间失效</w:t>
            </w:r>
          </w:p>
        </w:tc>
        <w:tc>
          <w:tcPr>
            <w:tcW w:w="3025" w:type="dxa"/>
            <w:tcBorders>
              <w:top w:val="nil"/>
              <w:left w:val="nil"/>
              <w:bottom w:val="nil"/>
              <w:right w:val="nil"/>
            </w:tcBorders>
            <w:shd w:val="clear" w:color="auto" w:fill="FFFFFF"/>
          </w:tcPr>
          <w:p w14:paraId="11567EA9">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先网格扫描，报告全部可行区间和首次/最终失效</w:t>
            </w:r>
          </w:p>
        </w:tc>
      </w:tr>
      <w:tr w14:paraId="0B3C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nil"/>
              <w:left w:val="nil"/>
              <w:bottom w:val="single" w:color="000000" w:sz="12" w:space="0"/>
              <w:right w:val="nil"/>
            </w:tcBorders>
            <w:shd w:val="clear" w:color="auto" w:fill="FFFFFF"/>
          </w:tcPr>
          <w:p w14:paraId="495F9B2D">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城市间可比性不足</w:t>
            </w:r>
          </w:p>
        </w:tc>
        <w:tc>
          <w:tcPr>
            <w:tcW w:w="3023" w:type="dxa"/>
            <w:tcBorders>
              <w:top w:val="nil"/>
              <w:left w:val="nil"/>
              <w:bottom w:val="single" w:color="000000" w:sz="12" w:space="0"/>
              <w:right w:val="nil"/>
            </w:tcBorders>
            <w:shd w:val="clear" w:color="auto" w:fill="FFFFFF"/>
          </w:tcPr>
          <w:p w14:paraId="7718DA51">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跨城市结论被过度外推</w:t>
            </w:r>
          </w:p>
        </w:tc>
        <w:tc>
          <w:tcPr>
            <w:tcW w:w="3025" w:type="dxa"/>
            <w:tcBorders>
              <w:top w:val="nil"/>
              <w:left w:val="nil"/>
              <w:bottom w:val="single" w:color="000000" w:sz="12" w:space="0"/>
              <w:right w:val="nil"/>
            </w:tcBorders>
            <w:shd w:val="clear" w:color="auto" w:fill="FFFFFF"/>
          </w:tcPr>
          <w:p w14:paraId="200DD65D">
            <w:pPr>
              <w:spacing w:line="276" w:lineRule="auto"/>
              <w:rPr>
                <w:b w:val="0"/>
              </w:rPr>
            </w:pPr>
            <w:r>
              <w:rPr>
                <w:rFonts w:ascii="宋体" w:hAnsi="宋体" w:eastAsia="宋体"/>
                <w:b w:val="0"/>
                <w:sz w:val="21"/>
              </w:rPr>
              <w:t>使用无量纲裕度和适用参数域，参数范围校核只承担方向核验</w:t>
            </w:r>
          </w:p>
        </w:tc>
      </w:tr>
    </w:tbl>
    <w:p w14:paraId="6B05DAC1">
      <w:pPr>
        <w:pStyle w:val="23"/>
        <w:ind w:firstLine="0" w:firstLineChars="0"/>
        <w:outlineLvl w:val="1"/>
      </w:pPr>
      <w:bookmarkStart w:id="57" w:name="_Toc4492"/>
      <w:bookmarkStart w:id="58" w:name="_Toc4740"/>
      <w:r>
        <w:rPr>
          <w:rFonts w:ascii="Times New Roman" w:hAnsi="Times New Roman"/>
          <w:sz w:val="24"/>
        </w:rPr>
        <w:t>8.1 研究边界变化与复杂度控制</w:t>
      </w:r>
      <w:bookmarkEnd w:id="57"/>
      <w:bookmarkEnd w:id="58"/>
    </w:p>
    <w:p w14:paraId="3CF2EC5F">
      <w:pPr>
        <w:spacing w:before="0" w:after="0" w:line="360" w:lineRule="auto"/>
        <w:ind w:firstLine="420"/>
      </w:pPr>
      <w:r>
        <w:rPr>
          <w:rFonts w:ascii="Times New Roman" w:hAnsi="Times New Roman"/>
          <w:sz w:val="24"/>
        </w:rPr>
        <w:t>系统模拟容易在水量、水—能—碳、成本和跨城市比较之间不断扩张。研究采用“核心闭合—边界实验—扩展分析”的顺序，任何扩展模块都必须明确新增输入、输出和验证方式，且不能改变核心 CAWCC 的定义。</w:t>
      </w:r>
    </w:p>
    <w:p w14:paraId="19BE5530">
      <w:pPr>
        <w:pStyle w:val="23"/>
        <w:ind w:firstLine="0" w:firstLineChars="0"/>
        <w:outlineLvl w:val="1"/>
      </w:pPr>
      <w:bookmarkStart w:id="59" w:name="_Toc25480"/>
      <w:bookmarkStart w:id="60" w:name="_Toc28662"/>
      <w:r>
        <w:rPr>
          <w:rFonts w:ascii="Times New Roman" w:hAnsi="Times New Roman"/>
          <w:sz w:val="24"/>
        </w:rPr>
        <w:t>8.2 证据等级与外推</w:t>
      </w:r>
      <w:bookmarkEnd w:id="59"/>
      <w:bookmarkEnd w:id="60"/>
    </w:p>
    <w:p w14:paraId="18517CC6">
      <w:pPr>
        <w:spacing w:before="0" w:after="0" w:line="360" w:lineRule="auto"/>
        <w:ind w:firstLine="420"/>
      </w:pPr>
      <w:r>
        <w:rPr>
          <w:rFonts w:ascii="宋体" w:hAnsi="宋体" w:eastAsia="宋体"/>
          <w:sz w:val="24"/>
        </w:rPr>
        <w:t>参数来自标准、工程文献、公开统计和情景设定，证据强度不同。研究为每个参数记录来源、年份、适用工况、上下界和是否参与主要结论；结果分别标记为工程基准支持、参数域条件规律或机制方向性结论，不把抽象系统结果直接等同于任一真实城市容量。</w:t>
      </w:r>
    </w:p>
    <w:p w14:paraId="2C3E4561">
      <w:pPr>
        <w:pStyle w:val="23"/>
        <w:ind w:firstLine="0" w:firstLineChars="0"/>
        <w:outlineLvl w:val="1"/>
      </w:pPr>
      <w:bookmarkStart w:id="61" w:name="_Toc4657"/>
      <w:bookmarkStart w:id="62" w:name="_Toc21997"/>
      <w:r>
        <w:rPr>
          <w:rFonts w:ascii="Times New Roman" w:hAnsi="Times New Roman"/>
          <w:sz w:val="24"/>
        </w:rPr>
        <w:t>8.3 结果稳定性与质量保证</w:t>
      </w:r>
      <w:bookmarkEnd w:id="61"/>
      <w:bookmarkEnd w:id="62"/>
    </w:p>
    <w:p w14:paraId="42CECE59">
      <w:pPr>
        <w:spacing w:before="0" w:after="0" w:line="360" w:lineRule="auto"/>
        <w:ind w:firstLine="420"/>
      </w:pPr>
      <w:r>
        <w:rPr>
          <w:rFonts w:ascii="宋体" w:hAnsi="宋体" w:eastAsia="宋体"/>
          <w:sz w:val="24"/>
        </w:rPr>
        <w:t>对核心结论开展三类稳定性检验：改变参数分布和相关结构，改变高温—干旱—需求峰值的时间排列，替换冷却方程和约束优先级。结论方向在多数扰动下一致则进入主要结论，只在狭窄参数区间成立则以适用域和边界条件表述。质量保证贯穿模型、数据和写作三个层面：模型层面实行单元测试、守恒测试、回归测试和版本标签；数据层面实行来源登记、单位统一、异常值说明和证据等级；写作层面实行研究问题—假设—方法—结果—限制逐项对应。</w:t>
      </w:r>
    </w:p>
    <w:p w14:paraId="0BE3BC36">
      <w:pPr>
        <w:pStyle w:val="22"/>
        <w:pageBreakBefore/>
        <w:ind w:firstLine="0" w:firstLineChars="0"/>
        <w:outlineLvl w:val="0"/>
      </w:pPr>
      <w:bookmarkStart w:id="63" w:name="_Toc29258"/>
      <w:bookmarkStart w:id="64" w:name="_Toc30807"/>
      <w:r>
        <w:rPr>
          <w:rFonts w:ascii="Times New Roman" w:hAnsi="Times New Roman" w:eastAsia="黑体" w:cs="Times New Roman"/>
          <w:b/>
          <w:color w:val="000000"/>
          <w:sz w:val="30"/>
        </w:rPr>
        <w:t>9 参考文献</w:t>
      </w:r>
      <w:bookmarkEnd w:id="63"/>
      <w:bookmarkEnd w:id="64"/>
    </w:p>
    <w:p w14:paraId="2DA2B94E">
      <w:pPr>
        <w:spacing w:before="0" w:after="0" w:line="240" w:lineRule="auto"/>
        <w:ind w:left="420" w:hanging="420"/>
      </w:pPr>
      <w:r>
        <w:rPr>
          <w:rFonts w:ascii="Times New Roman" w:hAnsi="Times New Roman" w:eastAsia="宋体" w:cs="Times New Roman"/>
          <w:b w:val="0"/>
          <w:color w:val="000000"/>
          <w:sz w:val="24"/>
        </w:rPr>
        <w:t>[1] 国家发展改革委, 工业和信息化部, 国家能源局, 国家数据局. 数据中心绿色低碳发展专项行动计划[Z]. 发改环资〔2024〕970号, 2024.</w:t>
      </w:r>
    </w:p>
    <w:p w14:paraId="683D3B88">
      <w:pPr>
        <w:spacing w:before="0" w:after="0" w:line="240" w:lineRule="auto"/>
        <w:ind w:left="420" w:hanging="420"/>
      </w:pPr>
      <w:r>
        <w:rPr>
          <w:rFonts w:ascii="Times New Roman" w:hAnsi="Times New Roman" w:eastAsia="宋体" w:cs="Times New Roman"/>
          <w:b w:val="0"/>
          <w:color w:val="000000"/>
          <w:sz w:val="24"/>
        </w:rPr>
        <w:t>[2] International Energy Agency. Key Questions on Energy and AI[R]. Paris: IEA, 2026.</w:t>
      </w:r>
    </w:p>
    <w:p w14:paraId="079E8635">
      <w:pPr>
        <w:spacing w:before="0" w:after="0" w:line="240" w:lineRule="auto"/>
        <w:ind w:left="420" w:hanging="420"/>
      </w:pPr>
      <w:r>
        <w:rPr>
          <w:rFonts w:ascii="Times New Roman" w:hAnsi="Times New Roman" w:eastAsia="宋体" w:cs="Times New Roman"/>
          <w:b w:val="0"/>
          <w:color w:val="000000"/>
          <w:sz w:val="24"/>
        </w:rPr>
        <w:t>[3] International Energy Agency. Energy and AI[R]. Paris: IEA, 2025.</w:t>
      </w:r>
    </w:p>
    <w:p w14:paraId="331827A7">
      <w:pPr>
        <w:spacing w:before="0" w:after="0" w:line="240" w:lineRule="auto"/>
        <w:ind w:left="420" w:hanging="420"/>
      </w:pPr>
      <w:r>
        <w:rPr>
          <w:rFonts w:ascii="Times New Roman" w:hAnsi="Times New Roman" w:eastAsia="宋体" w:cs="Times New Roman"/>
          <w:b w:val="0"/>
          <w:color w:val="000000"/>
          <w:sz w:val="24"/>
        </w:rPr>
        <w:t>[4] Shehabi A, Smith S J, Hubbard A, Newkirk A, Lei N, Siddik M A B, et al. 2024 United States Data Center Energy Usage Report[R]. Berkeley: Lawrence Berkeley National Laboratory, 2024. DOI: 10.71468/P1WC7Q.</w:t>
      </w:r>
    </w:p>
    <w:p w14:paraId="6D51A629">
      <w:pPr>
        <w:spacing w:before="0" w:after="0" w:line="240" w:lineRule="auto"/>
        <w:ind w:left="420" w:hanging="420"/>
      </w:pPr>
      <w:r>
        <w:rPr>
          <w:rFonts w:ascii="Times New Roman" w:hAnsi="Times New Roman" w:eastAsia="宋体" w:cs="Times New Roman"/>
          <w:b w:val="0"/>
          <w:color w:val="000000"/>
          <w:sz w:val="24"/>
        </w:rPr>
        <w:t>[5] Masanet E, Shehabi A, Lei N, Smith S, Koomey J. Recalibrating global data center energy-use estimates[J]. Science, 2020, 367(6481): 984-986. DOI: 10.1126/science.aba3758.</w:t>
      </w:r>
    </w:p>
    <w:p w14:paraId="3666576E">
      <w:pPr>
        <w:spacing w:before="0" w:after="0" w:line="240" w:lineRule="auto"/>
        <w:ind w:left="420" w:hanging="420"/>
      </w:pPr>
      <w:r>
        <w:rPr>
          <w:rFonts w:ascii="Times New Roman" w:hAnsi="Times New Roman" w:eastAsia="宋体" w:cs="Times New Roman"/>
          <w:b w:val="0"/>
          <w:color w:val="000000"/>
          <w:sz w:val="24"/>
        </w:rPr>
        <w:t>[6] de Vries A. The growing energy footprint of artificial intelligence[J]. Joule, 2023, 7(10): 2191-2194. DOI: 10.1016/j.joule.2023.09.004.</w:t>
      </w:r>
    </w:p>
    <w:p w14:paraId="5F18F378">
      <w:pPr>
        <w:spacing w:before="0" w:after="0" w:line="240" w:lineRule="auto"/>
        <w:ind w:left="420" w:hanging="420"/>
      </w:pPr>
      <w:r>
        <w:rPr>
          <w:rFonts w:ascii="Times New Roman" w:hAnsi="Times New Roman" w:eastAsia="宋体" w:cs="Times New Roman"/>
          <w:b w:val="0"/>
          <w:color w:val="000000"/>
          <w:sz w:val="24"/>
        </w:rPr>
        <w:t>[7] Mytton D. Data centre water consumption[J]. npj Clean Water, 2021, 4: 11. DOI: 10.1038/s41545-021-00101-w.</w:t>
      </w:r>
    </w:p>
    <w:p w14:paraId="1CD19AFB">
      <w:pPr>
        <w:spacing w:before="0" w:after="0" w:line="240" w:lineRule="auto"/>
        <w:ind w:left="420" w:hanging="420"/>
      </w:pPr>
      <w:r>
        <w:rPr>
          <w:rFonts w:ascii="Times New Roman" w:hAnsi="Times New Roman" w:eastAsia="宋体" w:cs="Times New Roman"/>
          <w:b w:val="0"/>
          <w:color w:val="000000"/>
          <w:sz w:val="24"/>
        </w:rPr>
        <w:t>[8] Lei N, Lu J, Shehabi A, Masanet E R. The water use of data center workloads: A review and assessment of key determinants[J]. Resources, Conservation and Recycling, 2025, 219: 108310. DOI: 10.1016/j.resconrec.2025.108310.</w:t>
      </w:r>
    </w:p>
    <w:p w14:paraId="5A46F6EF">
      <w:pPr>
        <w:spacing w:before="0" w:after="0" w:line="240" w:lineRule="auto"/>
        <w:ind w:left="420" w:hanging="420"/>
      </w:pPr>
      <w:r>
        <w:rPr>
          <w:rFonts w:ascii="Times New Roman" w:hAnsi="Times New Roman" w:eastAsia="宋体" w:cs="Times New Roman"/>
          <w:b w:val="0"/>
          <w:color w:val="000000"/>
          <w:sz w:val="24"/>
        </w:rPr>
        <w:t>[9] Xiao T, Fuso Nerini F, Matthews H D, Tavoni M, You F. Environmental impact and net-zero pathways for sustainable artificial intelligence servers in the USA[J]. Nature Sustainability, 2025, 8: 1541-1553. DOI: 10.1038/s41893-025-01681-y.</w:t>
      </w:r>
    </w:p>
    <w:p w14:paraId="2A220B8A">
      <w:pPr>
        <w:spacing w:before="0" w:after="0" w:line="240" w:lineRule="auto"/>
        <w:ind w:left="420" w:hanging="420"/>
      </w:pPr>
      <w:r>
        <w:rPr>
          <w:rFonts w:ascii="Times New Roman" w:hAnsi="Times New Roman" w:eastAsia="宋体" w:cs="Times New Roman"/>
          <w:b w:val="0"/>
          <w:color w:val="000000"/>
          <w:sz w:val="24"/>
        </w:rPr>
        <w:t>[10] Jiang F, Duan C, Chen B. Facility-level energy-driven water footprint and scarcity implications of Chinese data centers: A bottom-up analysis and scenario-based projection[J]. Applied Energy, 2025, 399: 126522. DOI: 10.1016/j.apenergy.2025.126522.</w:t>
      </w:r>
    </w:p>
    <w:p w14:paraId="248272F1">
      <w:pPr>
        <w:spacing w:before="0" w:after="0" w:line="240" w:lineRule="auto"/>
        <w:ind w:left="420" w:hanging="420"/>
      </w:pPr>
      <w:r>
        <w:rPr>
          <w:rFonts w:ascii="Times New Roman" w:hAnsi="Times New Roman" w:eastAsia="宋体" w:cs="Times New Roman"/>
          <w:b w:val="0"/>
          <w:color w:val="000000"/>
          <w:sz w:val="24"/>
        </w:rPr>
        <w:t>[11] 北京市水务局. 北京市水资源公报（2024年度）[R]. 2025. https://swj.beijing.gov.cn/zwgk/szygb/</w:t>
      </w:r>
    </w:p>
    <w:p w14:paraId="1F92EC81">
      <w:pPr>
        <w:spacing w:before="0" w:after="0" w:line="240" w:lineRule="auto"/>
        <w:ind w:left="420" w:hanging="420"/>
      </w:pPr>
      <w:r>
        <w:rPr>
          <w:rFonts w:ascii="Times New Roman" w:hAnsi="Times New Roman" w:eastAsia="宋体" w:cs="Times New Roman"/>
          <w:b w:val="0"/>
          <w:color w:val="000000"/>
          <w:sz w:val="24"/>
        </w:rPr>
        <w:t>[12] 北京市水务局. 2024年北京市水务工作报告[R]. 2024. https://swj.beijing.gov.cn/zwgk/ghjhzj/202405/t20240521_3690638.html</w:t>
      </w:r>
    </w:p>
    <w:p w14:paraId="13B8CDF8">
      <w:pPr>
        <w:spacing w:before="0" w:after="0" w:line="240" w:lineRule="auto"/>
        <w:ind w:left="420" w:hanging="420"/>
      </w:pPr>
      <w:r>
        <w:rPr>
          <w:rFonts w:ascii="Times New Roman" w:hAnsi="Times New Roman" w:eastAsia="宋体" w:cs="Times New Roman"/>
          <w:b w:val="0"/>
          <w:color w:val="000000"/>
          <w:sz w:val="24"/>
        </w:rPr>
        <w:t>[13] 天津水文水资源. 2024年天津市水资源公报[R]. 2025. https://www.tjwater.net.cn/nd.jsp?fromColId=2&amp;id=1063</w:t>
      </w:r>
    </w:p>
    <w:p w14:paraId="480CA44C">
      <w:pPr>
        <w:spacing w:before="0" w:after="0" w:line="240" w:lineRule="auto"/>
        <w:ind w:left="420" w:hanging="420"/>
      </w:pPr>
      <w:r>
        <w:rPr>
          <w:rFonts w:ascii="Times New Roman" w:hAnsi="Times New Roman" w:eastAsia="宋体" w:cs="Times New Roman"/>
          <w:b w:val="0"/>
          <w:color w:val="000000"/>
          <w:sz w:val="24"/>
        </w:rPr>
        <w:t>[14] 贵州省水利厅. 2024年贵州省水资源公报[R]. 2026. https://gzswj.guizhou.gov.cn/swyw/szy/</w:t>
      </w:r>
    </w:p>
    <w:p w14:paraId="4D0D1697">
      <w:pPr>
        <w:spacing w:before="0" w:after="0" w:line="240" w:lineRule="auto"/>
        <w:ind w:left="420" w:hanging="420"/>
      </w:pPr>
      <w:r>
        <w:rPr>
          <w:rFonts w:ascii="Times New Roman" w:hAnsi="Times New Roman" w:eastAsia="宋体" w:cs="Times New Roman"/>
          <w:b w:val="0"/>
          <w:color w:val="000000"/>
          <w:sz w:val="24"/>
        </w:rPr>
        <w:t>[15] 北京市水务局. 本市去年用量达12.77亿立方米：再生水已成稳定的“第二水源”[EB/OL]. 2024. https://swj.beijing.gov.cn/swdt/swyw/202403/t20240325_3600506.html</w:t>
      </w:r>
    </w:p>
    <w:p w14:paraId="02547DF4">
      <w:pPr>
        <w:spacing w:before="0" w:after="0" w:line="240" w:lineRule="auto"/>
        <w:ind w:left="420" w:hanging="420"/>
      </w:pPr>
      <w:r>
        <w:rPr>
          <w:rFonts w:ascii="Times New Roman" w:hAnsi="Times New Roman" w:eastAsia="宋体" w:cs="Times New Roman"/>
          <w:b w:val="0"/>
          <w:color w:val="000000"/>
          <w:sz w:val="24"/>
        </w:rPr>
        <w:t>[16] Wolman A. The metabolism of cities[J]. Scientific American, 1965, 213(3): 178-190. DOI: 10.1038/scientificamerican0965-178.</w:t>
      </w:r>
    </w:p>
    <w:p w14:paraId="116DE03F">
      <w:pPr>
        <w:spacing w:before="0" w:after="0" w:line="240" w:lineRule="auto"/>
        <w:ind w:left="420" w:hanging="420"/>
      </w:pPr>
      <w:r>
        <w:rPr>
          <w:rFonts w:ascii="Times New Roman" w:hAnsi="Times New Roman" w:eastAsia="宋体" w:cs="Times New Roman"/>
          <w:b w:val="0"/>
          <w:color w:val="000000"/>
          <w:sz w:val="24"/>
        </w:rPr>
        <w:t>[17] Kennedy C, Cuddihy J, Engel-Yan J. The changing metabolism of cities[J]. Journal of Industrial Ecology, 2007, 11(2): 43-59. DOI: 10.1162/jie.2007.1107.</w:t>
      </w:r>
    </w:p>
    <w:p w14:paraId="021228AE">
      <w:pPr>
        <w:spacing w:before="0" w:after="0" w:line="240" w:lineRule="auto"/>
        <w:ind w:left="420" w:hanging="420"/>
      </w:pPr>
      <w:r>
        <w:rPr>
          <w:rFonts w:ascii="Times New Roman" w:hAnsi="Times New Roman" w:eastAsia="宋体" w:cs="Times New Roman"/>
          <w:b w:val="0"/>
          <w:color w:val="000000"/>
          <w:sz w:val="24"/>
        </w:rPr>
        <w:t>[18] Kennedy C, Pincetl S, Bunje P. The study of urban metabolism and its applications to urban planning and design[J]. Environmental Pollution, 2011, 159(8-9): 1965-1973. DOI: 10.1016/j.envpol.2010.10.022.</w:t>
      </w:r>
    </w:p>
    <w:p w14:paraId="376A4FEC">
      <w:pPr>
        <w:spacing w:before="0" w:after="0" w:line="240" w:lineRule="auto"/>
        <w:ind w:left="420" w:hanging="420"/>
      </w:pPr>
      <w:r>
        <w:rPr>
          <w:rFonts w:ascii="Times New Roman" w:hAnsi="Times New Roman" w:eastAsia="宋体" w:cs="Times New Roman"/>
          <w:b w:val="0"/>
          <w:color w:val="000000"/>
          <w:sz w:val="24"/>
        </w:rPr>
        <w:t>[19] Castán Broto V, Allen A, Rapoport E. Interdisciplinary perspectives on urban metabolism[J]. Journal of Industrial Ecology, 2012, 16(6): 851-861. DOI: 10.1111/j.1530-9290.2012.00556.x.</w:t>
      </w:r>
    </w:p>
    <w:p w14:paraId="0D51438A">
      <w:pPr>
        <w:spacing w:before="0" w:after="0" w:line="240" w:lineRule="auto"/>
        <w:ind w:left="420" w:hanging="420"/>
      </w:pPr>
      <w:r>
        <w:rPr>
          <w:rFonts w:ascii="Times New Roman" w:hAnsi="Times New Roman" w:eastAsia="宋体" w:cs="Times New Roman"/>
          <w:b w:val="0"/>
          <w:color w:val="000000"/>
          <w:sz w:val="24"/>
        </w:rPr>
        <w:t>[20] Behzadian K, Kapelan Z, Venkatesh G, Brattebø H, Sægrov S. WaterMet²: a tool for integrated analysis of sustainability-based performance of urban water systems[J]. Drinking Water Engineering and Science, 2014, 7: 63-72. DOI: 10.5194/dwes-7-63-2014.</w:t>
      </w:r>
    </w:p>
    <w:p w14:paraId="6B8C3891">
      <w:pPr>
        <w:spacing w:before="0" w:after="0" w:line="240" w:lineRule="auto"/>
        <w:ind w:left="420" w:hanging="420"/>
      </w:pPr>
      <w:r>
        <w:rPr>
          <w:rFonts w:ascii="Times New Roman" w:hAnsi="Times New Roman" w:eastAsia="宋体" w:cs="Times New Roman"/>
          <w:b w:val="0"/>
          <w:color w:val="000000"/>
          <w:sz w:val="24"/>
        </w:rPr>
        <w:t>[21] Behzadian K, Kapelan Z. Modelling metabolism based performance of an urban water system using WaterMet²[J]. Resources, Conservation and Recycling, 2015, 99: 84-99. DOI: 10.1016/j.resconrec.2015.03.015.</w:t>
      </w:r>
    </w:p>
    <w:p w14:paraId="47E48550">
      <w:pPr>
        <w:spacing w:before="0" w:after="0" w:line="240" w:lineRule="auto"/>
        <w:ind w:left="420" w:hanging="420"/>
      </w:pPr>
      <w:r>
        <w:rPr>
          <w:rFonts w:ascii="Times New Roman" w:hAnsi="Times New Roman" w:eastAsia="宋体" w:cs="Times New Roman"/>
          <w:b w:val="0"/>
          <w:color w:val="000000"/>
          <w:sz w:val="24"/>
        </w:rPr>
        <w:t>[22] Urich C, Rauch W. Modelling the urban water cycle as an integrated part of the city: a review[J]. Water Science and Technology, 2014, 70(11): 1857-1872. DOI: 10.2166/wst.2014.363.</w:t>
      </w:r>
    </w:p>
    <w:p w14:paraId="3F270E76">
      <w:pPr>
        <w:spacing w:before="0" w:after="0" w:line="240" w:lineRule="auto"/>
        <w:ind w:left="420" w:hanging="420"/>
      </w:pPr>
      <w:r>
        <w:rPr>
          <w:rFonts w:ascii="Times New Roman" w:hAnsi="Times New Roman" w:eastAsia="宋体" w:cs="Times New Roman"/>
          <w:b w:val="0"/>
          <w:color w:val="000000"/>
          <w:sz w:val="24"/>
        </w:rPr>
        <w:t>[23] Bach P M, Rauch W, Mikkelsen P S, McCarthy D T, Deletic A. A critical review of integrated urban water modelling—Urban drainage and beyond[J]. Environmental Modelling &amp; Software, 2014, 54: 88-107. DOI: 10.1016/j.envsoft.2013.12.018.</w:t>
      </w:r>
    </w:p>
    <w:p w14:paraId="6A3EF402">
      <w:pPr>
        <w:spacing w:before="0" w:after="0" w:line="240" w:lineRule="auto"/>
        <w:ind w:left="420" w:hanging="420"/>
      </w:pPr>
      <w:r>
        <w:rPr>
          <w:rFonts w:ascii="Times New Roman" w:hAnsi="Times New Roman" w:eastAsia="宋体" w:cs="Times New Roman"/>
          <w:b w:val="0"/>
          <w:color w:val="000000"/>
          <w:sz w:val="24"/>
        </w:rPr>
        <w:t>[24] Dobson B, Liu L, Mijic A. Modelling water quantity and quality for integrated water cycle management with the Water Systems Integrated Modelling framework (WSIMOD) software[J]. Geoscientific Model Development, 2024, 17: 4495-4513. DOI: 10.5194/gmd-17-4495-2024.</w:t>
      </w:r>
    </w:p>
    <w:p w14:paraId="48DA998E">
      <w:pPr>
        <w:spacing w:before="0" w:after="0" w:line="240" w:lineRule="auto"/>
        <w:ind w:left="420" w:hanging="420"/>
      </w:pPr>
      <w:r>
        <w:rPr>
          <w:rFonts w:ascii="Times New Roman" w:hAnsi="Times New Roman" w:eastAsia="宋体" w:cs="Times New Roman"/>
          <w:b w:val="0"/>
          <w:color w:val="000000"/>
          <w:sz w:val="24"/>
        </w:rPr>
        <w:t>[25] Nezami N, Zarghami M, Tizghadam M, Abbasi M. A novel hybrid systemic modeling into sustainable dynamic urban water metabolism management: Case study[J]. Sustainable Cities and Society, 2022, 85: 104065. DOI: 10.1016/j.scs.2022.104065.</w:t>
      </w:r>
    </w:p>
    <w:p w14:paraId="7D3E1D9A">
      <w:pPr>
        <w:spacing w:before="0" w:after="0" w:line="240" w:lineRule="auto"/>
        <w:ind w:left="420" w:hanging="420"/>
      </w:pPr>
      <w:r>
        <w:rPr>
          <w:rFonts w:ascii="Times New Roman" w:hAnsi="Times New Roman" w:eastAsia="宋体" w:cs="Times New Roman"/>
          <w:b w:val="0"/>
          <w:color w:val="000000"/>
          <w:sz w:val="24"/>
        </w:rPr>
        <w:t>[26] Emamjomehzadeh O, Kerachian R, Emami-Skardi M J, Momeni M. Combining urban metabolism and reinforcement learning concepts for sustainable water resources management: A nexus approach[J]. Journal of Environmental Management, 2023, 329: 117046. DOI: 10.1016/j.jenvman.2022.117046.</w:t>
      </w:r>
    </w:p>
    <w:p w14:paraId="088C6125">
      <w:pPr>
        <w:spacing w:before="0" w:after="0" w:line="240" w:lineRule="auto"/>
        <w:ind w:left="420" w:hanging="420"/>
      </w:pPr>
      <w:r>
        <w:rPr>
          <w:rFonts w:ascii="Times New Roman" w:hAnsi="Times New Roman" w:eastAsia="宋体" w:cs="Times New Roman"/>
          <w:b w:val="0"/>
          <w:color w:val="000000"/>
          <w:sz w:val="24"/>
        </w:rPr>
        <w:t>[27] House-Peters L A, Chang H. Urban water demand modeling: Review of concepts, methods, and organizing principles[J]. Water Resources Research, 2011, 47(5): W05401. DOI: 10.1029/2010WR009624.</w:t>
      </w:r>
    </w:p>
    <w:p w14:paraId="51442F3A">
      <w:pPr>
        <w:spacing w:before="0" w:after="0" w:line="240" w:lineRule="auto"/>
        <w:ind w:left="420" w:hanging="420"/>
      </w:pPr>
      <w:r>
        <w:rPr>
          <w:rFonts w:ascii="Times New Roman" w:hAnsi="Times New Roman" w:eastAsia="宋体" w:cs="Times New Roman"/>
          <w:b w:val="0"/>
          <w:color w:val="000000"/>
          <w:sz w:val="24"/>
        </w:rPr>
        <w:t>[28] Kenway S J, Lant P A, Priestley A, Daniels P. The connection between water and energy in cities: a review[J]. Water Science and Technology, 2011, 63(9): 1983-1990. DOI: 10.2166/wst.2011.070.</w:t>
      </w:r>
    </w:p>
    <w:p w14:paraId="0FE2A12E">
      <w:pPr>
        <w:spacing w:before="0" w:after="0" w:line="240" w:lineRule="auto"/>
        <w:ind w:left="420" w:hanging="420"/>
      </w:pPr>
      <w:r>
        <w:rPr>
          <w:rFonts w:ascii="Times New Roman" w:hAnsi="Times New Roman" w:eastAsia="宋体" w:cs="Times New Roman"/>
          <w:b w:val="0"/>
          <w:color w:val="000000"/>
          <w:sz w:val="24"/>
        </w:rPr>
        <w:t>[29] Kenway S J, Binks A, Lane J, Lant P A, Lam K L, Simms A. A systemic framework and analysis of urban water energy[J]. Environmental Modelling &amp; Software, 2015, 73: 272-285. DOI: 10.1016/j.envsoft.2015.08.009.</w:t>
      </w:r>
    </w:p>
    <w:p w14:paraId="7A0AA2D6">
      <w:pPr>
        <w:spacing w:before="0" w:after="0" w:line="240" w:lineRule="auto"/>
        <w:ind w:left="420" w:hanging="420"/>
      </w:pPr>
      <w:r>
        <w:rPr>
          <w:rFonts w:ascii="Times New Roman" w:hAnsi="Times New Roman" w:eastAsia="宋体" w:cs="Times New Roman"/>
          <w:b w:val="0"/>
          <w:color w:val="000000"/>
          <w:sz w:val="24"/>
        </w:rPr>
        <w:t>[30] Nair S, George B, Malano H M, Arora M, Nawarathna B. Water–energy–greenhouse gas nexus of urban water systems: Review of concepts, state-of-art and methods[J]. Resources, Conservation and Recycling, 2014, 89: 1-10. DOI: 10.1016/j.resconrec.2014.05.007.</w:t>
      </w:r>
    </w:p>
    <w:p w14:paraId="204C6022">
      <w:pPr>
        <w:spacing w:before="0" w:after="0" w:line="240" w:lineRule="auto"/>
        <w:ind w:left="420" w:hanging="420"/>
      </w:pPr>
      <w:r>
        <w:rPr>
          <w:rFonts w:ascii="Times New Roman" w:hAnsi="Times New Roman" w:eastAsia="宋体" w:cs="Times New Roman"/>
          <w:b w:val="0"/>
          <w:color w:val="000000"/>
          <w:sz w:val="24"/>
        </w:rPr>
        <w:t>[31] Lee M, Keller A A, Chiang P C, Den W, Wang H, Hou C H, et al. Water-energy nexus for urban water systems: A comparative review on energy intensity and environmental impacts in relation to global water risks[J]. Applied Energy, 2017, 205: 589-601. DOI: 10.1016/j.apenergy.2017.08.002.</w:t>
      </w:r>
    </w:p>
    <w:p w14:paraId="223FFE3F">
      <w:pPr>
        <w:spacing w:before="0" w:after="0" w:line="240" w:lineRule="auto"/>
        <w:ind w:left="420" w:hanging="420"/>
      </w:pPr>
      <w:r>
        <w:rPr>
          <w:rFonts w:ascii="Times New Roman" w:hAnsi="Times New Roman" w:eastAsia="宋体" w:cs="Times New Roman"/>
          <w:b w:val="0"/>
          <w:color w:val="000000"/>
          <w:sz w:val="24"/>
        </w:rPr>
        <w:t>[32] Stokes J R, Horvath A. Energy and air emission effects of water supply[J]. Environmental Science &amp; Technology, 2009, 43(8): 2680-2687. DOI: 10.1021/es801802h.</w:t>
      </w:r>
    </w:p>
    <w:p w14:paraId="1B8B3004">
      <w:pPr>
        <w:spacing w:before="0" w:after="0" w:line="240" w:lineRule="auto"/>
        <w:ind w:left="420" w:hanging="420"/>
      </w:pPr>
      <w:r>
        <w:rPr>
          <w:rFonts w:ascii="Times New Roman" w:hAnsi="Times New Roman" w:eastAsia="宋体" w:cs="Times New Roman"/>
          <w:b w:val="0"/>
          <w:color w:val="000000"/>
          <w:sz w:val="24"/>
        </w:rPr>
        <w:t>[33] Alissa H, Nick T, Raniwala A, et al. Using life cycle assessment to drive innovation for sustainable cool clouds[J]. Nature, 2025, 641: 331-338. DOI: 10.1038/s41586-025-08832-3.</w:t>
      </w:r>
    </w:p>
    <w:p w14:paraId="1721DFEE">
      <w:pPr>
        <w:spacing w:before="0" w:after="0" w:line="240" w:lineRule="auto"/>
        <w:ind w:left="420" w:hanging="420"/>
      </w:pPr>
      <w:r>
        <w:rPr>
          <w:rFonts w:ascii="Times New Roman" w:hAnsi="Times New Roman" w:eastAsia="宋体" w:cs="Times New Roman"/>
          <w:b w:val="0"/>
          <w:color w:val="000000"/>
          <w:sz w:val="24"/>
        </w:rPr>
        <w:t>[34] Strubell E, Ganesh A, McCallum A. Energy and policy considerations for deep learning in NLP[C]//Proceedings of the 57th Annual Meeting of the Association for Computational Linguistics. Florence: ACL, 2019: 3645-3650. DOI: 10.18653/v1/P19-1355.</w:t>
      </w:r>
    </w:p>
    <w:p w14:paraId="60F8EE6E">
      <w:pPr>
        <w:spacing w:before="0" w:after="0" w:line="240" w:lineRule="auto"/>
        <w:ind w:left="420" w:hanging="420"/>
      </w:pPr>
      <w:r>
        <w:rPr>
          <w:rFonts w:ascii="Times New Roman" w:hAnsi="Times New Roman" w:eastAsia="宋体" w:cs="Times New Roman"/>
          <w:b w:val="0"/>
          <w:color w:val="000000"/>
          <w:sz w:val="24"/>
        </w:rPr>
        <w:t>[35] Henderson P, Hu J, Romoff J, Brunskill E, Jurafsky D, Pineau J. Towards the systematic reporting of the energy and carbon footprints of machine learning[J]. Journal of Machine Learning Research, 2020, 21(248): 1-43.</w:t>
      </w:r>
    </w:p>
    <w:p w14:paraId="3B863CF5">
      <w:pPr>
        <w:spacing w:before="0" w:after="0" w:line="240" w:lineRule="auto"/>
        <w:ind w:left="420" w:hanging="420"/>
      </w:pPr>
      <w:r>
        <w:rPr>
          <w:rFonts w:ascii="Times New Roman" w:hAnsi="Times New Roman" w:eastAsia="宋体" w:cs="Times New Roman"/>
          <w:b w:val="0"/>
          <w:color w:val="000000"/>
          <w:sz w:val="24"/>
        </w:rPr>
        <w:t>[36] Lannelongue L, Grealey J, Inouye M. Green Algorithms: Quantifying the carbon footprint of computation[J]. Advanced Science, 2021, 8(12): 2100707. DOI: 10.1002/advs.202100707.</w:t>
      </w:r>
    </w:p>
    <w:p w14:paraId="6A44D311">
      <w:pPr>
        <w:spacing w:before="0" w:after="0" w:line="240" w:lineRule="auto"/>
        <w:ind w:left="420" w:hanging="420"/>
      </w:pPr>
      <w:r>
        <w:rPr>
          <w:rFonts w:ascii="Times New Roman" w:hAnsi="Times New Roman" w:eastAsia="宋体" w:cs="Times New Roman"/>
          <w:b w:val="0"/>
          <w:color w:val="000000"/>
          <w:sz w:val="24"/>
        </w:rPr>
        <w:t>[37] Schwartz R, Dodge J, Smith N A, Etzioni O. Green AI[J]. Communications of the ACM, 2020, 63(12): 54-63. DOI: 10.1145/3381831.</w:t>
      </w:r>
    </w:p>
    <w:p w14:paraId="521316E9">
      <w:pPr>
        <w:spacing w:before="0" w:after="0" w:line="240" w:lineRule="auto"/>
        <w:ind w:left="420" w:hanging="420"/>
      </w:pPr>
      <w:r>
        <w:rPr>
          <w:rFonts w:ascii="Times New Roman" w:hAnsi="Times New Roman" w:eastAsia="宋体" w:cs="Times New Roman"/>
          <w:b w:val="0"/>
          <w:color w:val="000000"/>
          <w:sz w:val="24"/>
        </w:rPr>
        <w:t>[38] Patterson D, Gonzalez J, Hölzle U, Le Q, Liang C, Munguia L M, et al. The carbon footprint of machine learning training will plateau, then shrink[J]. Computer, 2022, 55(7): 18-28. DOI: 10.1109/MC.2022.3148714.</w:t>
      </w:r>
    </w:p>
    <w:p w14:paraId="493021B9">
      <w:pPr>
        <w:spacing w:before="0" w:after="0" w:line="240" w:lineRule="auto"/>
        <w:ind w:left="420" w:hanging="420"/>
      </w:pPr>
      <w:r>
        <w:rPr>
          <w:rFonts w:ascii="Times New Roman" w:hAnsi="Times New Roman" w:eastAsia="宋体" w:cs="Times New Roman"/>
          <w:b w:val="0"/>
          <w:color w:val="000000"/>
          <w:sz w:val="24"/>
        </w:rPr>
        <w:t>[39] Luccioni A S, Viguier S, Ligozat A L. Estimating the carbon footprint of BLOOM, a 176B parameter language model[J]. Journal of Machine Learning Research, 2023, 24(253): 1-15.</w:t>
      </w:r>
    </w:p>
    <w:p w14:paraId="762A545D">
      <w:pPr>
        <w:spacing w:before="0" w:after="0" w:line="240" w:lineRule="auto"/>
        <w:ind w:left="420" w:hanging="420"/>
      </w:pPr>
      <w:r>
        <w:rPr>
          <w:rFonts w:ascii="Times New Roman" w:hAnsi="Times New Roman" w:eastAsia="宋体" w:cs="Times New Roman"/>
          <w:b w:val="0"/>
          <w:color w:val="000000"/>
          <w:sz w:val="24"/>
        </w:rPr>
        <w:t>[40] Luccioni A S, Jernite Y, Strubell E. Power hungry processing: Watts driving the cost of AI deployment?[C]//Proceedings of the 2024 ACM Conference on Fairness, Accountability, and Transparency. New York: ACM, 2024: 85-99. DOI: 10.1145/3630106.3658542.</w:t>
      </w:r>
    </w:p>
    <w:p w14:paraId="3CD32609">
      <w:pPr>
        <w:spacing w:before="0" w:after="0" w:line="240" w:lineRule="auto"/>
        <w:ind w:left="420" w:hanging="420"/>
      </w:pPr>
      <w:r>
        <w:rPr>
          <w:rFonts w:ascii="Times New Roman" w:hAnsi="Times New Roman" w:eastAsia="宋体" w:cs="Times New Roman"/>
          <w:b w:val="0"/>
          <w:color w:val="000000"/>
          <w:sz w:val="24"/>
        </w:rPr>
        <w:t>[41] Wang P, Zhang L Y, Tzachor A, Chen W Q. E-waste challenges of generative artificial intelligence[J]. Nature Computational Science, 2024, 4: 818-823. DOI: 10.1038/s43588-024-00712-6.</w:t>
      </w:r>
    </w:p>
    <w:p w14:paraId="423BF03C">
      <w:pPr>
        <w:spacing w:before="0" w:after="0" w:line="240" w:lineRule="auto"/>
        <w:ind w:left="420" w:hanging="420"/>
      </w:pPr>
      <w:r>
        <w:rPr>
          <w:rFonts w:ascii="Times New Roman" w:hAnsi="Times New Roman" w:eastAsia="宋体" w:cs="Times New Roman"/>
          <w:b w:val="0"/>
          <w:color w:val="000000"/>
          <w:sz w:val="24"/>
        </w:rPr>
        <w:t>[42] Li P, Yang J, Islam M A, Ren S. Making AI Less “Thirsty”: Uncovering and addressing the secret water footprint of AI models[J]. Communications of the ACM, 2025, 68(7): 54-61. DOI: 10.1145/3724499.</w:t>
      </w:r>
    </w:p>
    <w:p w14:paraId="0CF24410">
      <w:pPr>
        <w:spacing w:before="0" w:after="0" w:line="240" w:lineRule="auto"/>
        <w:ind w:left="420" w:hanging="420"/>
      </w:pPr>
      <w:r>
        <w:rPr>
          <w:rFonts w:ascii="Times New Roman" w:hAnsi="Times New Roman" w:eastAsia="宋体" w:cs="Times New Roman"/>
          <w:b w:val="0"/>
          <w:color w:val="000000"/>
          <w:sz w:val="24"/>
        </w:rPr>
        <w:t>[43] Herrera M, Xie X, Menapace A, Zanfei A, Brentan B M. Sustainable AI infrastructure: A scenario-based forecast of water footprint under uncertainty[J]. Journal of Cleaner Production, 2025, 526: 146528. DOI: 10.1016/j.jclepro.2025.146528.</w:t>
      </w:r>
    </w:p>
    <w:p w14:paraId="04F3AA22">
      <w:pPr>
        <w:spacing w:before="0" w:after="0" w:line="240" w:lineRule="auto"/>
        <w:ind w:left="420" w:hanging="420"/>
      </w:pPr>
      <w:r>
        <w:rPr>
          <w:rFonts w:ascii="Times New Roman" w:hAnsi="Times New Roman" w:eastAsia="宋体" w:cs="Times New Roman"/>
          <w:b w:val="0"/>
          <w:color w:val="000000"/>
          <w:sz w:val="24"/>
        </w:rPr>
        <w:t>[44] Han Y, Li P, Wierman A, Ren S. Small Bottle, Big Pipe: Quantifying and Addressing the Impact of Data Centers on Public Water Systems[EB/OL]. arXiv:2603.02705, 2026. DOI: 10.48550/arXiv.2603.02705. （预印本）</w:t>
      </w:r>
    </w:p>
    <w:p w14:paraId="68AA9A0B">
      <w:pPr>
        <w:spacing w:before="0" w:after="0" w:line="240" w:lineRule="auto"/>
        <w:ind w:left="420" w:hanging="420"/>
      </w:pPr>
      <w:r>
        <w:rPr>
          <w:rFonts w:ascii="Times New Roman" w:hAnsi="Times New Roman" w:eastAsia="宋体" w:cs="Times New Roman"/>
          <w:b w:val="0"/>
          <w:color w:val="000000"/>
          <w:sz w:val="24"/>
        </w:rPr>
        <w:t>[45] Akinade B A, Amanambu A C, Frame J M, Ren S. AI Data Centers and the Water Use Feedback Loop[EB/OL]. arXiv:2606.21760, 2026. DOI: 10.48550/arXiv.2606.21760. （预印本）</w:t>
      </w:r>
    </w:p>
    <w:p w14:paraId="3DFB3676">
      <w:pPr>
        <w:spacing w:before="0" w:after="0" w:line="240" w:lineRule="auto"/>
        <w:ind w:left="420" w:hanging="420"/>
      </w:pPr>
      <w:r>
        <w:rPr>
          <w:rFonts w:ascii="Times New Roman" w:hAnsi="Times New Roman" w:eastAsia="宋体" w:cs="Times New Roman"/>
          <w:b w:val="0"/>
          <w:color w:val="000000"/>
          <w:sz w:val="24"/>
        </w:rPr>
        <w:t>[46] Wang A, Zhang C, Xu T, Savić D, Jiang J, Xiao P, et al. Global data–water symbiosis reduces AI infrastructure’s carbon and water footprint[J]. Environmental Science and Ecotechnology, 2026, 31: 100702. DOI: 10.1016/j.ese.2026.100702.</w:t>
      </w:r>
    </w:p>
    <w:p w14:paraId="7AAACFC0">
      <w:pPr>
        <w:spacing w:before="0" w:after="0" w:line="240" w:lineRule="auto"/>
        <w:ind w:left="420" w:hanging="420"/>
      </w:pPr>
      <w:r>
        <w:rPr>
          <w:rFonts w:ascii="Times New Roman" w:hAnsi="Times New Roman" w:eastAsia="宋体" w:cs="Times New Roman"/>
          <w:b w:val="0"/>
          <w:color w:val="000000"/>
          <w:sz w:val="24"/>
        </w:rPr>
        <w:t>[47] Ebrahimi K, Jones G F, Fleischer A S. A review of data center cooling technology, operating conditions and the corresponding low-grade waste heat recovery opportunities[J]. Renewable and Sustainable Energy Reviews, 2014, 31: 622-638. DOI: 10.1016/j.rser.2013.12.007.</w:t>
      </w:r>
    </w:p>
    <w:p w14:paraId="024EC905">
      <w:pPr>
        <w:spacing w:before="0" w:after="0" w:line="240" w:lineRule="auto"/>
        <w:ind w:left="420" w:hanging="420"/>
      </w:pPr>
      <w:r>
        <w:rPr>
          <w:rFonts w:ascii="Times New Roman" w:hAnsi="Times New Roman" w:eastAsia="宋体" w:cs="Times New Roman"/>
          <w:b w:val="0"/>
          <w:color w:val="000000"/>
          <w:sz w:val="24"/>
        </w:rPr>
        <w:t>[48] Zhang H, Shao S, Xu H, Zou H, Tian C. Free cooling of data centers: A review[J]. Renewable and Sustainable Energy Reviews, 2014, 35: 171-182. DOI: 10.1016/j.rser.2014.04.017.</w:t>
      </w:r>
    </w:p>
    <w:p w14:paraId="2F86C596">
      <w:pPr>
        <w:spacing w:before="0" w:after="0" w:line="240" w:lineRule="auto"/>
        <w:ind w:left="420" w:hanging="420"/>
      </w:pPr>
      <w:r>
        <w:rPr>
          <w:rFonts w:ascii="Times New Roman" w:hAnsi="Times New Roman" w:eastAsia="宋体" w:cs="Times New Roman"/>
          <w:b w:val="0"/>
          <w:color w:val="000000"/>
          <w:sz w:val="24"/>
        </w:rPr>
        <w:t>[49] Daraghmeh H M, Wang C C. A review of current status of free cooling in datacenters[J]. Applied Thermal Engineering, 2017, 114: 1224-1239. DOI: 10.1016/j.applthermaleng.2016.10.093.</w:t>
      </w:r>
    </w:p>
    <w:p w14:paraId="0D45DAF9">
      <w:pPr>
        <w:spacing w:before="0" w:after="0" w:line="240" w:lineRule="auto"/>
        <w:ind w:left="420" w:hanging="420"/>
      </w:pPr>
      <w:r>
        <w:rPr>
          <w:rFonts w:ascii="Times New Roman" w:hAnsi="Times New Roman" w:eastAsia="宋体" w:cs="Times New Roman"/>
          <w:b w:val="0"/>
          <w:color w:val="000000"/>
          <w:sz w:val="24"/>
        </w:rPr>
        <w:t>[50] Yuan X, Zhou X, Pan Y, Kosonen R, Cai H, Gao Y, Wang Y. Phase change cooling in data centers: A review[J]. Energy and Buildings, 2021, 236: 110764. DOI: 10.1016/j.enbuild.2021.110764.</w:t>
      </w:r>
    </w:p>
    <w:p w14:paraId="7B7A559F">
      <w:pPr>
        <w:spacing w:before="0" w:after="0" w:line="240" w:lineRule="auto"/>
        <w:ind w:left="420" w:hanging="420"/>
      </w:pPr>
      <w:r>
        <w:rPr>
          <w:rFonts w:ascii="Times New Roman" w:hAnsi="Times New Roman" w:eastAsia="宋体" w:cs="Times New Roman"/>
          <w:b w:val="0"/>
          <w:color w:val="000000"/>
          <w:sz w:val="24"/>
        </w:rPr>
        <w:t>[51] Zhang Y, Zhao Y, Dai S, Nie B, Ma H, Li J, et al. Cooling technologies for data centres and telecommunication base stations—A comprehensive review[J]. Journal of Cleaner Production, 2022, 334: 130280. DOI: 10.1016/j.jclepro.2021.130280.</w:t>
      </w:r>
    </w:p>
    <w:p w14:paraId="72F714B0">
      <w:pPr>
        <w:spacing w:before="0" w:after="0" w:line="240" w:lineRule="auto"/>
        <w:ind w:left="420" w:hanging="420"/>
      </w:pPr>
      <w:r>
        <w:rPr>
          <w:rFonts w:ascii="Times New Roman" w:hAnsi="Times New Roman" w:eastAsia="宋体" w:cs="Times New Roman"/>
          <w:b w:val="0"/>
          <w:color w:val="000000"/>
          <w:sz w:val="24"/>
        </w:rPr>
        <w:t>[52] Chen H, Li D. Current status and challenges for liquid-cooled data centers[J]. Frontiers in Energy Research, 2022, 10: 952680. DOI: 10.3389/fenrg.2022.952680.</w:t>
      </w:r>
    </w:p>
    <w:p w14:paraId="407BA92F">
      <w:pPr>
        <w:spacing w:before="0" w:after="0" w:line="240" w:lineRule="auto"/>
        <w:ind w:left="420" w:hanging="420"/>
      </w:pPr>
      <w:r>
        <w:rPr>
          <w:rFonts w:ascii="Times New Roman" w:hAnsi="Times New Roman" w:eastAsia="宋体" w:cs="Times New Roman"/>
          <w:b w:val="0"/>
          <w:color w:val="000000"/>
          <w:sz w:val="24"/>
        </w:rPr>
        <w:t>[53] Hashimoto T, Stedinger J R, Loucks D P. Reliability, resiliency, and vulnerability criteria for water resource system performance evaluation[J]. Water Resources Research, 1982, 18(1): 14-20. DOI: 10.1029/WR018i001p00014.</w:t>
      </w:r>
    </w:p>
    <w:p w14:paraId="2CD28000">
      <w:pPr>
        <w:spacing w:before="0" w:after="0" w:line="240" w:lineRule="auto"/>
        <w:ind w:left="420" w:hanging="420"/>
      </w:pPr>
      <w:r>
        <w:rPr>
          <w:rFonts w:ascii="Times New Roman" w:hAnsi="Times New Roman" w:eastAsia="宋体" w:cs="Times New Roman"/>
          <w:b w:val="0"/>
          <w:color w:val="000000"/>
          <w:sz w:val="24"/>
        </w:rPr>
        <w:t>[54] Mortazavi-Naeini M, Kuczera G, Kiem A S, Cui L, Henley B, Berghout B, Turner E. Robust optimization to secure urban bulk water supply against extreme drought and uncertain climate change[J]. Environmental Modelling &amp; Software, 2015, 69: 437-451. DOI: 10.1016/j.envsoft.2015.02.021.</w:t>
      </w:r>
    </w:p>
    <w:p w14:paraId="731EF9AB">
      <w:pPr>
        <w:spacing w:before="0" w:after="0" w:line="240" w:lineRule="auto"/>
        <w:ind w:left="420" w:hanging="420"/>
      </w:pPr>
      <w:r>
        <w:rPr>
          <w:rFonts w:ascii="Times New Roman" w:hAnsi="Times New Roman" w:eastAsia="宋体" w:cs="Times New Roman"/>
          <w:b w:val="0"/>
          <w:color w:val="000000"/>
          <w:sz w:val="24"/>
        </w:rPr>
        <w:t>[55] Lempert R J, Groves D G. Identifying and evaluating robust adaptive policy responses to climate change for water management agencies in the American West[J]. Technological Forecasting and Social Change, 2010, 77(6): 960-974. DOI: 10.1016/j.techfore.2010.04.007.</w:t>
      </w:r>
    </w:p>
    <w:p w14:paraId="59E75948">
      <w:pPr>
        <w:spacing w:before="0" w:after="0" w:line="240" w:lineRule="auto"/>
        <w:ind w:left="420" w:hanging="420"/>
      </w:pPr>
      <w:r>
        <w:rPr>
          <w:rFonts w:ascii="Times New Roman" w:hAnsi="Times New Roman" w:eastAsia="宋体" w:cs="Times New Roman"/>
          <w:b w:val="0"/>
          <w:color w:val="000000"/>
          <w:sz w:val="24"/>
        </w:rPr>
        <w:t>[56] Haasnoot M, Kwakkel J H, Walker W E, ter Maat J. Dynamic adaptive policy pathways: A method for crafting robust decisions for a deeply uncertain world[J]. Global Environmental Change, 2013, 23(2): 485-498. DOI: 10.1016/j.gloenvcha.2012.12.006.</w:t>
      </w:r>
    </w:p>
    <w:p w14:paraId="7A388BC2">
      <w:pPr>
        <w:spacing w:before="0" w:after="0" w:line="240" w:lineRule="auto"/>
        <w:ind w:left="420" w:hanging="420"/>
      </w:pPr>
      <w:r>
        <w:rPr>
          <w:rFonts w:ascii="Times New Roman" w:hAnsi="Times New Roman" w:eastAsia="宋体" w:cs="Times New Roman"/>
          <w:b w:val="0"/>
          <w:color w:val="000000"/>
          <w:sz w:val="24"/>
        </w:rPr>
        <w:t>[57] Kwakkel J H, Haasnoot M, Walker W E. Developing dynamic adaptive policy pathways: A computer-assisted approach for developing adaptive strategies for a deeply uncertain world[J]. Climatic Change, 2015, 132(3): 373-386. DOI: 10.1007/s10584-014-1210-4.</w:t>
      </w:r>
    </w:p>
    <w:p w14:paraId="54F19AF2">
      <w:pPr>
        <w:spacing w:before="0" w:after="0" w:line="240" w:lineRule="auto"/>
        <w:ind w:left="420" w:hanging="420"/>
      </w:pPr>
      <w:r>
        <w:rPr>
          <w:rFonts w:ascii="Times New Roman" w:hAnsi="Times New Roman" w:eastAsia="宋体" w:cs="Times New Roman"/>
          <w:b w:val="0"/>
          <w:color w:val="000000"/>
          <w:sz w:val="24"/>
        </w:rPr>
        <w:t>[58] Sadr S M K, Casal-Campos A, Fu G, Farmani R, Ward S, Butler D. Strategic planning of the integrated urban wastewater system using adaptation pathways[J]. Water Research, 2020, 182: 116013. DOI: 10.1016/j.watres.2020.116013.</w:t>
      </w:r>
    </w:p>
    <w:p w14:paraId="4718391B">
      <w:pPr>
        <w:spacing w:before="0" w:after="0" w:line="240" w:lineRule="auto"/>
        <w:ind w:left="420" w:hanging="420"/>
      </w:pPr>
      <w:r>
        <w:rPr>
          <w:rFonts w:ascii="Times New Roman" w:hAnsi="Times New Roman" w:eastAsia="宋体" w:cs="Times New Roman"/>
          <w:b w:val="0"/>
          <w:color w:val="000000"/>
          <w:sz w:val="24"/>
        </w:rPr>
        <w:t>[59] Deb K, Pratap A, Agarwal S, Meyarivan T. A fast and elitist multiobjective genetic algorithm: NSGA-II[J]. IEEE Transactions on Evolutionary Computation, 2002, 6(2): 182-197. DOI: 10.1109/4235.996017.</w:t>
      </w:r>
    </w:p>
    <w:p w14:paraId="2E78E4D2">
      <w:pPr>
        <w:spacing w:before="0" w:after="0" w:line="240" w:lineRule="auto"/>
        <w:ind w:left="420" w:hanging="420"/>
      </w:pPr>
      <w:r>
        <w:rPr>
          <w:rFonts w:ascii="Times New Roman" w:hAnsi="Times New Roman" w:eastAsia="宋体" w:cs="Times New Roman"/>
          <w:b w:val="0"/>
          <w:color w:val="000000"/>
          <w:sz w:val="24"/>
        </w:rPr>
        <w:t>[60] 段春青, 刘昌明, 陈晓楠, 柳文华, 郑红星. 区域水资源承载力概念及研究方法的探讨[J]. 地理学报, 2010, 65(1): 82-90. DOI: 10.11821/xb201001009.</w:t>
      </w:r>
    </w:p>
    <w:p w14:paraId="15D091A8">
      <w:pPr>
        <w:spacing w:before="0" w:after="0" w:line="240" w:lineRule="auto"/>
        <w:ind w:left="420" w:hanging="420"/>
      </w:pPr>
      <w:r>
        <w:rPr>
          <w:rFonts w:ascii="Times New Roman" w:hAnsi="Times New Roman" w:eastAsia="宋体" w:cs="Times New Roman"/>
          <w:b w:val="0"/>
          <w:color w:val="000000"/>
          <w:sz w:val="24"/>
        </w:rPr>
        <w:t>[61] Qin G, Li H, Wang X, Ding J. Research on water resources design carrying capacity[J]. Water, 2016, 8(4): 157. DOI: 10.3390/w8040157.</w:t>
      </w:r>
    </w:p>
    <w:p w14:paraId="4E3804AA">
      <w:pPr>
        <w:spacing w:before="0" w:after="0" w:line="240" w:lineRule="auto"/>
        <w:ind w:left="420" w:hanging="420"/>
      </w:pPr>
      <w:r>
        <w:rPr>
          <w:rFonts w:ascii="Times New Roman" w:hAnsi="Times New Roman" w:eastAsia="宋体" w:cs="Times New Roman"/>
          <w:b w:val="0"/>
          <w:color w:val="000000"/>
          <w:sz w:val="24"/>
        </w:rPr>
        <w:t>[62] Feng L H, Zhang X C, Luo G Y. Application of system dynamics in analyzing the carrying capacity of water resources in Yiwu City, China[J]. Mathematics and Computers in Simulation, 2008, 79(3): 269-278. DOI: 10.1016/j.matcom.2007.11.018.</w:t>
      </w:r>
    </w:p>
    <w:p w14:paraId="4F167466">
      <w:pPr>
        <w:spacing w:before="0" w:after="0" w:line="240" w:lineRule="auto"/>
        <w:ind w:left="420" w:hanging="420"/>
      </w:pPr>
      <w:r>
        <w:rPr>
          <w:rFonts w:ascii="Times New Roman" w:hAnsi="Times New Roman" w:eastAsia="宋体" w:cs="Times New Roman"/>
          <w:b w:val="0"/>
          <w:color w:val="000000"/>
          <w:sz w:val="24"/>
        </w:rPr>
        <w:t>[63] Wang X J, Zhang J Y, Liu J F, Wang G Q, He R M, Elmahdi A, Elsawah S. Water resources planning and management based on system dynamics: A case study of Yulin city[J]. Environment, Development and Sustainability, 2011, 13(2): 331-351. DOI: 10.1007/s10668-010-9264-6.</w:t>
      </w:r>
    </w:p>
    <w:p w14:paraId="28D91A73">
      <w:pPr>
        <w:spacing w:before="0" w:after="0" w:line="240" w:lineRule="auto"/>
        <w:ind w:left="420" w:hanging="420"/>
      </w:pPr>
      <w:r>
        <w:rPr>
          <w:rFonts w:ascii="Times New Roman" w:hAnsi="Times New Roman" w:eastAsia="宋体" w:cs="Times New Roman"/>
          <w:b w:val="0"/>
          <w:color w:val="000000"/>
          <w:sz w:val="24"/>
        </w:rPr>
        <w:t>[64] Wang G, Xiao C, Qi Z, Meng F, Liang X. Development tendency analysis for the water resource carrying capacity based on system dynamics model and the improved fuzzy comprehensive evaluation method in Changchun City, China[J]. Ecological Indicators, 2021, 122: 107232. DOI: 10.1016/j.ecolind.2020.107232.</w:t>
      </w:r>
    </w:p>
    <w:p w14:paraId="062C4F1A">
      <w:pPr>
        <w:spacing w:before="0" w:after="0" w:line="240" w:lineRule="auto"/>
        <w:ind w:left="420" w:hanging="420"/>
      </w:pPr>
      <w:r>
        <w:rPr>
          <w:rFonts w:ascii="Times New Roman" w:hAnsi="Times New Roman" w:eastAsia="宋体" w:cs="Times New Roman"/>
          <w:b w:val="0"/>
          <w:color w:val="000000"/>
          <w:sz w:val="24"/>
        </w:rPr>
        <w:t>[65] Wang X, Liu L, Zhang S, Gao C. Dynamic simulation and comprehensive evaluation of the water resources carrying capacity in Guangzhou City, China[J]. Ecological Indicators, 2022, 135: 108528. DOI: 10.1016/j.ecolind.2021.108528.</w:t>
      </w:r>
    </w:p>
    <w:p w14:paraId="61132F48">
      <w:pPr>
        <w:spacing w:before="0" w:after="0" w:line="240" w:lineRule="auto"/>
        <w:ind w:left="420" w:hanging="420"/>
      </w:pPr>
      <w:r>
        <w:rPr>
          <w:rFonts w:ascii="Times New Roman" w:hAnsi="Times New Roman" w:eastAsia="宋体" w:cs="Times New Roman"/>
          <w:b w:val="0"/>
          <w:color w:val="000000"/>
          <w:sz w:val="24"/>
        </w:rPr>
        <w:t>[66] Jia Z, Cai Y, Chen Y, Zeng W. Regionalization of water environmental carrying capacity for supporting the sustainable water resources management and development in China[J]. Resources, Conservation and Recycling, 2018, 134: 282-293. DOI: 10.1016/j.resconrec.2018.03.030.</w:t>
      </w:r>
    </w:p>
    <w:p w14:paraId="3659F0B1">
      <w:pPr>
        <w:spacing w:before="0" w:after="0" w:line="240" w:lineRule="auto"/>
        <w:ind w:left="420" w:hanging="420"/>
      </w:pPr>
      <w:r>
        <w:rPr>
          <w:rFonts w:ascii="Times New Roman" w:hAnsi="Times New Roman" w:eastAsia="宋体" w:cs="Times New Roman"/>
          <w:b w:val="0"/>
          <w:color w:val="000000"/>
          <w:sz w:val="24"/>
        </w:rPr>
        <w:t>[67] Zhou X Y, Zheng B, Khu S T. Validation of the hypothesis on carrying capacity limits using the water environment carrying capacity[J]. Science of the Total Environment, 2019, 665: 774-784. DOI: 10.1016/j.scitotenv.2019.02.146.</w:t>
      </w:r>
    </w:p>
    <w:p w14:paraId="390BE598">
      <w:pPr>
        <w:spacing w:before="0" w:after="0" w:line="240" w:lineRule="auto"/>
        <w:ind w:left="420" w:hanging="420"/>
      </w:pPr>
      <w:r>
        <w:rPr>
          <w:rFonts w:ascii="Times New Roman" w:hAnsi="Times New Roman" w:eastAsia="宋体" w:cs="Times New Roman"/>
          <w:b w:val="0"/>
          <w:color w:val="000000"/>
          <w:sz w:val="24"/>
        </w:rPr>
        <w:t>[68] Cui D, Zeng W, Ma B, Zhuo Y, Xie Y. Ecological network analysis of an urban water metabolic system: Integrated metabolic processes of physical and virtual water[J]. Science of the Total Environment, 2021, 787: 147432. DOI: 10.1016/j.scitotenv.2021.147432.</w:t>
      </w:r>
    </w:p>
    <w:p w14:paraId="41FA0227">
      <w:pPr>
        <w:spacing w:before="0" w:after="0" w:line="240" w:lineRule="auto"/>
        <w:ind w:left="420" w:hanging="420"/>
      </w:pPr>
      <w:r>
        <w:rPr>
          <w:rFonts w:ascii="Times New Roman" w:hAnsi="Times New Roman" w:eastAsia="宋体" w:cs="Times New Roman"/>
          <w:b w:val="0"/>
          <w:color w:val="000000"/>
          <w:sz w:val="24"/>
        </w:rPr>
        <w:t>[69] Fan J L, Kong L S, Wang H, Zhang X. A water-energy nexus review from the perspective of urban metabolism[J]. Ecological Modelling, 2019, 392: 128-136. DOI: 10.1016/j.ecolmodel.2018.11.019.</w:t>
      </w:r>
    </w:p>
    <w:p w14:paraId="7A3E99E9">
      <w:pPr>
        <w:spacing w:before="0" w:after="0" w:line="240" w:lineRule="auto"/>
        <w:ind w:left="420" w:hanging="420"/>
      </w:pPr>
      <w:r>
        <w:rPr>
          <w:rFonts w:ascii="Times New Roman" w:hAnsi="Times New Roman" w:eastAsia="宋体" w:cs="Times New Roman"/>
          <w:b w:val="0"/>
          <w:color w:val="000000"/>
          <w:sz w:val="24"/>
        </w:rPr>
        <w:t>[70] He C, Liu Z, Wu J, Pan X, Fang Z, Li J, Bryan B A. Future global urban water scarcity and potential solutions[J]. Nature Communications, 2021, 12: 4667. DOI: 10.1038/s41467-021-25026-3.</w:t>
      </w:r>
    </w:p>
    <w:p w14:paraId="40320417">
      <w:pPr>
        <w:spacing w:before="0" w:after="0" w:line="240" w:lineRule="auto"/>
        <w:ind w:left="420" w:hanging="420"/>
      </w:pPr>
      <w:r>
        <w:rPr>
          <w:rFonts w:ascii="Times New Roman" w:hAnsi="Times New Roman" w:eastAsia="宋体" w:cs="Times New Roman"/>
          <w:b w:val="0"/>
          <w:color w:val="000000"/>
          <w:sz w:val="24"/>
        </w:rPr>
        <w:t>[71] Li R, Zhang D, Dong X, Gong D, Mo L. How can urban wastewater and reclaimed water systems tackle an uncertain future without regret?—Solutions based on adaptive pathway planning[J]. Journal of Environmental Management, 2026, 410: 130062. DOI: 10.1016/j.jenvman.2026.130062.</w:t>
      </w:r>
    </w:p>
    <w:p w14:paraId="790108C1">
      <w:pPr>
        <w:spacing w:before="0" w:after="0" w:line="240" w:lineRule="auto"/>
        <w:ind w:left="420" w:hanging="420"/>
      </w:pPr>
      <w:r>
        <w:rPr>
          <w:rFonts w:ascii="Times New Roman" w:hAnsi="Times New Roman" w:eastAsia="宋体" w:cs="Times New Roman"/>
          <w:b w:val="0"/>
          <w:color w:val="000000"/>
          <w:sz w:val="24"/>
        </w:rPr>
        <w:t>[72] 国家市场监督管理总局, 国家标准化管理委员会. 数据中心 资源利用 第6部分：水资源使用效率: GB/T 32910.6-2025[S]. 2025.</w:t>
      </w:r>
    </w:p>
    <w:p w14:paraId="1D1BB0C4">
      <w:pPr>
        <w:spacing w:before="0" w:after="0" w:line="240" w:lineRule="auto"/>
        <w:ind w:left="420" w:hanging="420"/>
      </w:pPr>
      <w:r>
        <w:rPr>
          <w:rFonts w:ascii="Times New Roman" w:hAnsi="Times New Roman" w:eastAsia="宋体" w:cs="Times New Roman"/>
          <w:b w:val="0"/>
          <w:color w:val="000000"/>
          <w:sz w:val="24"/>
        </w:rPr>
        <w:t>[73] 中华人民共和国住房和城乡建设部. 室外给水设计标准: GB 50013-2018[S]. 北京: 中国计划出版社, 2018.</w:t>
      </w:r>
    </w:p>
    <w:p w14:paraId="3A56C6C6">
      <w:pPr>
        <w:spacing w:before="0" w:after="0" w:line="240" w:lineRule="auto"/>
        <w:ind w:left="420" w:hanging="420"/>
      </w:pPr>
      <w:r>
        <w:rPr>
          <w:rFonts w:ascii="Times New Roman" w:hAnsi="Times New Roman" w:eastAsia="宋体" w:cs="Times New Roman"/>
          <w:b w:val="0"/>
          <w:color w:val="000000"/>
          <w:sz w:val="24"/>
        </w:rPr>
        <w:t>[74] 中华人民共和国住房和城乡建设部. 室外排水设计标准: GB 50014-2021[S]. 北京: 中国计划出版社, 2021.</w:t>
      </w:r>
    </w:p>
    <w:p w14:paraId="2E88881D">
      <w:pPr>
        <w:spacing w:before="0" w:after="0" w:line="240" w:lineRule="auto"/>
        <w:ind w:left="420" w:hanging="420"/>
      </w:pPr>
      <w:r>
        <w:rPr>
          <w:rFonts w:ascii="Times New Roman" w:hAnsi="Times New Roman" w:eastAsia="宋体" w:cs="Times New Roman"/>
          <w:b w:val="0"/>
          <w:color w:val="000000"/>
          <w:sz w:val="24"/>
        </w:rPr>
        <w:t>[75]  Siddik M A B, Shehabi A, Marston L. The environmental footprint of data centers in the United States[J]. Environmental Research Letters, 2021, 16(6): 064017. DOI: 10.1088/1748-9326/abfba1.</w:t>
      </w:r>
    </w:p>
    <w:p w14:paraId="21FD9FF1">
      <w:pPr>
        <w:spacing w:before="0" w:after="0" w:line="240" w:lineRule="auto"/>
        <w:ind w:left="420" w:hanging="420"/>
      </w:pPr>
      <w:r>
        <w:rPr>
          <w:rFonts w:ascii="Times New Roman" w:hAnsi="Times New Roman" w:eastAsia="宋体" w:cs="Times New Roman"/>
          <w:b w:val="0"/>
          <w:color w:val="000000"/>
          <w:sz w:val="24"/>
        </w:rPr>
        <w:t>[76]  Fu G, Butler D, Khu S T. Multiple objective modelling of urban water systems: A review[J]. Water Research, 2019, 150: 1-14. DOI: 10.1016/j.watres.2018.11.046.</w:t>
      </w:r>
    </w:p>
    <w:p w14:paraId="4D58F28A">
      <w:pPr>
        <w:spacing w:before="0" w:after="0" w:line="240" w:lineRule="auto"/>
        <w:ind w:left="420" w:hanging="420"/>
      </w:pPr>
      <w:r>
        <w:rPr>
          <w:rFonts w:ascii="Times New Roman" w:hAnsi="Times New Roman" w:eastAsia="宋体" w:cs="Times New Roman"/>
          <w:b w:val="0"/>
          <w:color w:val="000000"/>
          <w:sz w:val="24"/>
        </w:rPr>
        <w:t>[77]  Behzadian K, Kapelan Z. Advantages of integrated and system dynamics approaches for urban water management[J]. Journal of Environmental Management, 2015, 150: 110-122. DOI: 10.1016/j.jenvman.2015.02.009.</w:t>
      </w:r>
    </w:p>
    <w:p w14:paraId="5C60A6DD">
      <w:pPr>
        <w:spacing w:before="0" w:after="0" w:line="240" w:lineRule="auto"/>
        <w:ind w:left="420" w:hanging="420"/>
      </w:pPr>
      <w:r>
        <w:rPr>
          <w:rFonts w:ascii="Times New Roman" w:hAnsi="Times New Roman" w:eastAsia="宋体" w:cs="Times New Roman"/>
          <w:b w:val="0"/>
          <w:color w:val="000000"/>
          <w:sz w:val="24"/>
        </w:rPr>
        <w:t>[78]  Wang Z, Yang Y, Sun Y, et al. Water reuse and recycling in industrial systems: A review of technologies and applications[J]. Journal of Cleaner Production, 2020, 258: 120789. DOI: 10.1016/j.jclepro.2020.120789.</w:t>
      </w:r>
    </w:p>
    <w:p w14:paraId="60F6A5C2">
      <w:pPr>
        <w:spacing w:before="0" w:after="0" w:line="240" w:lineRule="auto"/>
        <w:ind w:left="420" w:hanging="420"/>
      </w:pPr>
      <w:r>
        <w:rPr>
          <w:rFonts w:ascii="Times New Roman" w:hAnsi="Times New Roman" w:eastAsia="宋体" w:cs="Times New Roman"/>
          <w:b w:val="0"/>
          <w:color w:val="000000"/>
          <w:sz w:val="24"/>
        </w:rPr>
        <w:t>[79]  Dhar P. The carbon impact of artificial intelligence[J]. Nature Machine Intelligence, 2020, 2: 423-425. DOI: 10.1038/s42256-020-0219-9.</w:t>
      </w:r>
    </w:p>
    <w:sectPr>
      <w:headerReference r:id="rId7" w:type="default"/>
      <w:footerReference r:id="rId8" w:type="default"/>
      <w:pgSz w:w="11909" w:h="16834"/>
      <w:pgMar w:top="1417" w:right="1417" w:bottom="1247" w:left="1417" w:header="850" w:footer="850" w:gutter="0"/>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邵敬哲" w:date="2026-09-08T19:22:28Z" w:initials="">
    <w:p w14:paraId="09EB620E">
      <w:pPr>
        <w:pStyle w:val="3"/>
        <w:rPr>
          <w:rFonts w:hint="eastAsia" w:eastAsia="宋体"/>
          <w:lang w:eastAsia="zh-CN"/>
        </w:rPr>
      </w:pPr>
      <w:r>
        <w:rPr>
          <w:rFonts w:hint="eastAsia"/>
          <w:lang w:val="en-US" w:eastAsia="zh-CN"/>
        </w:rPr>
        <w:t>项目</w:t>
      </w:r>
      <w:r>
        <w:rPr>
          <w:rFonts w:hint="eastAsia"/>
          <w:lang w:eastAsia="zh-CN"/>
        </w:rPr>
        <w:t>？</w:t>
      </w:r>
    </w:p>
  </w:comment>
  <w:comment w:id="1" w:author="邵敬哲" w:date="2026-09-07T23:56:30Z" w:initials="">
    <w:p w14:paraId="0A79F937">
      <w:pPr>
        <w:pStyle w:val="3"/>
        <w:rPr>
          <w:rFonts w:hint="default" w:eastAsia="宋体"/>
          <w:lang w:val="en-US" w:eastAsia="zh-CN"/>
        </w:rPr>
      </w:pPr>
      <w:r>
        <w:rPr>
          <w:rFonts w:hint="eastAsia"/>
          <w:lang w:val="en-US" w:eastAsia="zh-CN"/>
        </w:rPr>
        <w:t>论文？专利？等</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9EB620E" w15:done="0"/>
  <w15:commentEx w15:paraId="0A79F93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Roman PS">
    <w:altName w:val="Times New Roman"/>
    <w:panose1 w:val="00000000000000000000"/>
    <w:charset w:val="00"/>
    <w:family w:val="roman"/>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A9761">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EA1CF"/>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邵敬哲">
    <w15:presenceInfo w15:providerId="WPS Office" w15:userId="112250403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92E"/>
    <w:rsid w:val="0000711F"/>
    <w:rsid w:val="000151F5"/>
    <w:rsid w:val="001253D1"/>
    <w:rsid w:val="00176BD3"/>
    <w:rsid w:val="002F3D90"/>
    <w:rsid w:val="00413951"/>
    <w:rsid w:val="004C692E"/>
    <w:rsid w:val="005942BD"/>
    <w:rsid w:val="005E44D3"/>
    <w:rsid w:val="0074647F"/>
    <w:rsid w:val="007952D9"/>
    <w:rsid w:val="00863BEF"/>
    <w:rsid w:val="00A632F1"/>
    <w:rsid w:val="00AD222D"/>
    <w:rsid w:val="00C01852"/>
    <w:rsid w:val="00C3244B"/>
    <w:rsid w:val="00C85F00"/>
    <w:rsid w:val="00D61F58"/>
    <w:rsid w:val="00ED26A8"/>
    <w:rsid w:val="03D30E8F"/>
    <w:rsid w:val="24245A28"/>
    <w:rsid w:val="2A370E04"/>
    <w:rsid w:val="3A4F678F"/>
    <w:rsid w:val="3FDE13A9"/>
    <w:rsid w:val="40D53766"/>
    <w:rsid w:val="412169AB"/>
    <w:rsid w:val="41F51365"/>
    <w:rsid w:val="4D1063BF"/>
    <w:rsid w:val="5E011E53"/>
    <w:rsid w:val="61947D36"/>
    <w:rsid w:val="68C414B8"/>
    <w:rsid w:val="68DB147D"/>
    <w:rsid w:val="6CBE13CE"/>
    <w:rsid w:val="72122DAC"/>
    <w:rsid w:val="7C154B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widowControl/>
      <w:spacing w:before="0" w:after="0" w:line="360" w:lineRule="auto"/>
      <w:ind w:firstLine="480"/>
      <w:jc w:val="both"/>
    </w:pPr>
    <w:rPr>
      <w:rFonts w:ascii="宋体" w:hAnsi="宋体" w:eastAsia="宋体" w:cs="Times New Roman"/>
      <w:color w:val="000000"/>
      <w:kern w:val="2"/>
      <w:sz w:val="24"/>
      <w:szCs w:val="20"/>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semiHidden/>
    <w:unhideWhenUsed/>
    <w:uiPriority w:val="99"/>
    <w:pPr>
      <w:jc w:val="left"/>
    </w:pPr>
  </w:style>
  <w:style w:type="paragraph" w:styleId="4">
    <w:name w:val="Body Text Indent"/>
    <w:basedOn w:val="1"/>
    <w:link w:val="18"/>
    <w:qFormat/>
    <w:uiPriority w:val="0"/>
    <w:pPr>
      <w:ind w:left="360" w:hanging="360"/>
    </w:pPr>
  </w:style>
  <w:style w:type="paragraph" w:styleId="5">
    <w:name w:val="toc 3"/>
    <w:basedOn w:val="1"/>
    <w:next w:val="1"/>
    <w:semiHidden/>
    <w:unhideWhenUsed/>
    <w:qFormat/>
    <w:uiPriority w:val="39"/>
    <w:pPr>
      <w:ind w:left="840" w:leftChars="400"/>
    </w:pPr>
  </w:style>
  <w:style w:type="paragraph" w:styleId="6">
    <w:name w:val="Plain Text"/>
    <w:basedOn w:val="1"/>
    <w:link w:val="20"/>
    <w:qFormat/>
    <w:uiPriority w:val="0"/>
    <w:rPr>
      <w:rFonts w:ascii="宋体" w:hAnsi="Courier New"/>
    </w:rPr>
  </w:style>
  <w:style w:type="paragraph" w:styleId="7">
    <w:name w:val="Body Text Indent 2"/>
    <w:basedOn w:val="1"/>
    <w:link w:val="19"/>
    <w:qFormat/>
    <w:uiPriority w:val="0"/>
    <w:pPr>
      <w:ind w:left="420" w:hanging="420"/>
    </w:pPr>
  </w:style>
  <w:style w:type="paragraph" w:styleId="8">
    <w:name w:val="Balloon Text"/>
    <w:basedOn w:val="1"/>
    <w:link w:val="21"/>
    <w:semiHidden/>
    <w:unhideWhenUsed/>
    <w:qFormat/>
    <w:uiPriority w:val="99"/>
    <w:rPr>
      <w:sz w:val="18"/>
      <w:szCs w:val="18"/>
    </w:rPr>
  </w:style>
  <w:style w:type="paragraph" w:styleId="9">
    <w:name w:val="footer"/>
    <w:basedOn w:val="1"/>
    <w:link w:val="17"/>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6"/>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1">
    <w:name w:val="toc 1"/>
    <w:basedOn w:val="1"/>
    <w:next w:val="1"/>
    <w:semiHidden/>
    <w:unhideWhenUsed/>
    <w:qFormat/>
    <w:uiPriority w:val="39"/>
  </w:style>
  <w:style w:type="paragraph" w:styleId="12">
    <w:name w:val="toc 2"/>
    <w:basedOn w:val="1"/>
    <w:next w:val="1"/>
    <w:semiHidden/>
    <w:unhideWhenUsed/>
    <w:qFormat/>
    <w:uiPriority w:val="39"/>
    <w:pPr>
      <w:ind w:left="420" w:leftChars="200"/>
    </w:p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customStyle="1" w:styleId="16">
    <w:name w:val="页眉 字符"/>
    <w:basedOn w:val="15"/>
    <w:link w:val="10"/>
    <w:qFormat/>
    <w:uiPriority w:val="99"/>
    <w:rPr>
      <w:sz w:val="18"/>
      <w:szCs w:val="18"/>
    </w:rPr>
  </w:style>
  <w:style w:type="character" w:customStyle="1" w:styleId="17">
    <w:name w:val="页脚 字符"/>
    <w:basedOn w:val="15"/>
    <w:link w:val="9"/>
    <w:qFormat/>
    <w:uiPriority w:val="99"/>
    <w:rPr>
      <w:sz w:val="18"/>
      <w:szCs w:val="18"/>
    </w:rPr>
  </w:style>
  <w:style w:type="character" w:customStyle="1" w:styleId="18">
    <w:name w:val="正文文本缩进 字符"/>
    <w:basedOn w:val="15"/>
    <w:link w:val="4"/>
    <w:qFormat/>
    <w:uiPriority w:val="0"/>
    <w:rPr>
      <w:rFonts w:ascii="Times New Roman" w:hAnsi="Times New Roman" w:eastAsia="宋体" w:cs="Times New Roman"/>
      <w:szCs w:val="20"/>
    </w:rPr>
  </w:style>
  <w:style w:type="character" w:customStyle="1" w:styleId="19">
    <w:name w:val="正文文本缩进 2 字符"/>
    <w:basedOn w:val="15"/>
    <w:link w:val="7"/>
    <w:qFormat/>
    <w:uiPriority w:val="0"/>
    <w:rPr>
      <w:rFonts w:ascii="Times New Roman" w:hAnsi="Times New Roman" w:eastAsia="宋体" w:cs="Times New Roman"/>
      <w:szCs w:val="20"/>
    </w:rPr>
  </w:style>
  <w:style w:type="character" w:customStyle="1" w:styleId="20">
    <w:name w:val="纯文本 字符"/>
    <w:basedOn w:val="15"/>
    <w:link w:val="6"/>
    <w:qFormat/>
    <w:uiPriority w:val="0"/>
    <w:rPr>
      <w:rFonts w:ascii="宋体" w:hAnsi="Courier New" w:eastAsia="宋体" w:cs="Times New Roman"/>
      <w:szCs w:val="20"/>
    </w:rPr>
  </w:style>
  <w:style w:type="character" w:customStyle="1" w:styleId="21">
    <w:name w:val="批注框文本 字符"/>
    <w:basedOn w:val="15"/>
    <w:link w:val="8"/>
    <w:semiHidden/>
    <w:qFormat/>
    <w:uiPriority w:val="99"/>
    <w:rPr>
      <w:rFonts w:ascii="Times New Roman" w:hAnsi="Times New Roman" w:eastAsia="宋体" w:cs="Times New Roman"/>
      <w:sz w:val="18"/>
      <w:szCs w:val="18"/>
    </w:rPr>
  </w:style>
  <w:style w:type="paragraph" w:customStyle="1" w:styleId="22">
    <w:name w:val="heading 1"/>
    <w:qFormat/>
    <w:uiPriority w:val="0"/>
    <w:pPr>
      <w:keepNext/>
      <w:pageBreakBefore w:val="0"/>
      <w:widowControl/>
      <w:spacing w:before="210" w:after="210" w:line="360" w:lineRule="auto"/>
      <w:ind w:firstLine="0"/>
      <w:jc w:val="left"/>
    </w:pPr>
    <w:rPr>
      <w:rFonts w:ascii="黑体" w:hAnsi="黑体" w:eastAsia="黑体" w:cstheme="minorBidi"/>
      <w:b/>
      <w:color w:val="000000"/>
      <w:sz w:val="30"/>
    </w:rPr>
  </w:style>
  <w:style w:type="paragraph" w:customStyle="1" w:styleId="23">
    <w:name w:val="heading 2"/>
    <w:qFormat/>
    <w:uiPriority w:val="0"/>
    <w:pPr>
      <w:keepNext/>
      <w:pageBreakBefore w:val="0"/>
      <w:widowControl/>
      <w:spacing w:before="210" w:after="210" w:line="360" w:lineRule="auto"/>
      <w:ind w:firstLine="0"/>
      <w:jc w:val="left"/>
    </w:pPr>
    <w:rPr>
      <w:rFonts w:ascii="黑体" w:hAnsi="黑体" w:eastAsia="黑体" w:cstheme="minorBidi"/>
      <w:b/>
      <w:color w:val="000000"/>
      <w:sz w:val="28"/>
    </w:rPr>
  </w:style>
  <w:style w:type="paragraph" w:customStyle="1" w:styleId="24">
    <w:name w:val="heading 3"/>
    <w:qFormat/>
    <w:uiPriority w:val="0"/>
    <w:pPr>
      <w:keepNext/>
      <w:pageBreakBefore w:val="0"/>
      <w:widowControl/>
      <w:spacing w:before="0" w:after="0" w:line="360" w:lineRule="auto"/>
      <w:ind w:firstLine="0"/>
      <w:jc w:val="left"/>
    </w:pPr>
    <w:rPr>
      <w:rFonts w:ascii="黑体" w:hAnsi="黑体" w:eastAsia="黑体" w:cstheme="minorBidi"/>
      <w:b/>
      <w:color w:val="000000"/>
      <w:sz w:val="24"/>
    </w:rPr>
  </w:style>
  <w:style w:type="paragraph" w:customStyle="1" w:styleId="25">
    <w:name w:val="Reference"/>
    <w:qFormat/>
    <w:uiPriority w:val="0"/>
    <w:pPr>
      <w:keepNext w:val="0"/>
      <w:keepLines/>
      <w:widowControl/>
      <w:spacing w:before="0" w:after="40" w:line="240" w:lineRule="auto"/>
      <w:ind w:left="510" w:hanging="510"/>
      <w:jc w:val="left"/>
    </w:pPr>
    <w:rPr>
      <w:rFonts w:ascii="Times New Roman" w:hAnsi="Times New Roman" w:eastAsia="宋体" w:cstheme="minorBidi"/>
      <w:color w:val="000000"/>
      <w:sz w:val="24"/>
    </w:rPr>
  </w:style>
  <w:style w:type="paragraph" w:customStyle="1" w:styleId="26">
    <w:name w:val="caption"/>
    <w:qFormat/>
    <w:uiPriority w:val="0"/>
    <w:pPr>
      <w:keepNext/>
      <w:widowControl/>
      <w:spacing w:before="0" w:after="0" w:line="430" w:lineRule="exact"/>
      <w:ind w:firstLine="0"/>
      <w:jc w:val="center"/>
    </w:pPr>
    <w:rPr>
      <w:rFonts w:ascii="Times New Roman" w:hAnsi="Times New Roman" w:eastAsia="宋体" w:cstheme="minorBidi"/>
      <w:color w:val="000000"/>
      <w:sz w:val="24"/>
    </w:rPr>
  </w:style>
  <w:style w:type="paragraph" w:customStyle="1" w:styleId="27">
    <w:name w:val="ContentsEntry"/>
    <w:qFormat/>
    <w:uiPriority w:val="0"/>
    <w:pPr>
      <w:keepNext w:val="0"/>
      <w:widowControl/>
      <w:tabs>
        <w:tab w:val="right" w:leader="dot" w:pos="9071"/>
      </w:tabs>
      <w:spacing w:before="0" w:after="0" w:line="600" w:lineRule="exact"/>
      <w:ind w:firstLine="0"/>
      <w:jc w:val="left"/>
    </w:pPr>
    <w:rPr>
      <w:rFonts w:ascii="Times New Roman" w:hAnsi="Times New Roman" w:eastAsia="宋体" w:cstheme="minorBidi"/>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14021</Words>
  <Characters>25801</Characters>
  <Lines>11</Lines>
  <Paragraphs>3</Paragraphs>
  <TotalTime>204</TotalTime>
  <ScaleCrop>false</ScaleCrop>
  <LinksUpToDate>false</LinksUpToDate>
  <CharactersWithSpaces>28107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2018-03-30T02:09:00Z</dcterms:created>
  <dc:creator>lenovo</dc:creator>
  <dc:description>Academic-humanizer pass: varied sentence openings, removed boilerplate transitions and inflated verbs; numbers and citations preserved.</dc:description>
  <cp:lastModifiedBy>邵敬哲</cp:lastModifiedBy>
  <dcterms:modified xsi:type="dcterms:W3CDTF">2026-09-08T15:50:13Z</dcterms:modified>
  <dc:subject>开题报告：引用与模板规范</dc:subject>
  <dc:title>Master thesis proposal: AI-UWM parameterized virtual-city mechanistic experiments</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75D59639A93C4264A7FD610B43266492_13</vt:lpwstr>
  </property>
  <property fmtid="{D5CDD505-2E9C-101B-9397-08002B2CF9AE}" pid="4" name="KSOTemplateDocerSaveRecord">
    <vt:lpwstr>eyJoZGlkIjoiMTFhM2IzNWM3NjlkMzQ1M2QwMWYwMmIyMWUwMWQ5NzEiLCJ1c2VySWQiOiIxNzc3NTAzMzc5In0=</vt:lpwstr>
  </property>
</Properties>
</file>