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1CF7CB1B">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_Toc30601 </w:instrText>
      </w:r>
      <w:r>
        <w:fldChar w:fldCharType="separate"/>
      </w:r>
      <w:r>
        <w:rPr>
          <w:rFonts w:hint="eastAsia" w:cs="Times New Roman"/>
          <w:bCs/>
          <w:szCs w:val="30"/>
          <w:lang w:val="en-US" w:eastAsia="zh-CN"/>
        </w:rPr>
        <w:t>一、</w:t>
      </w:r>
      <w:r>
        <w:rPr>
          <w:rFonts w:ascii="Times New Roman" w:hAnsi="Times New Roman" w:eastAsia="黑体" w:cs="Times New Roman"/>
          <w:bCs/>
          <w:szCs w:val="30"/>
        </w:rPr>
        <w:t xml:space="preserve"> 课题来源及研究目的和意义</w:t>
      </w:r>
      <w:r>
        <w:tab/>
      </w:r>
      <w:r>
        <w:fldChar w:fldCharType="begin"/>
      </w:r>
      <w:r>
        <w:instrText xml:space="preserve"> PAGEREF _Toc30601 \h </w:instrText>
      </w:r>
      <w:r>
        <w:fldChar w:fldCharType="separate"/>
      </w:r>
      <w:r>
        <w:t>4</w:t>
      </w:r>
      <w:r>
        <w:fldChar w:fldCharType="end"/>
      </w:r>
      <w:r>
        <w:fldChar w:fldCharType="end"/>
      </w:r>
    </w:p>
    <w:p w14:paraId="2714101A">
      <w:pPr>
        <w:pStyle w:val="12"/>
        <w:tabs>
          <w:tab w:val="right" w:leader="dot" w:pos="9075"/>
        </w:tabs>
      </w:pPr>
      <w:r>
        <w:fldChar w:fldCharType="begin"/>
      </w:r>
      <w:r>
        <w:instrText xml:space="preserve"> HYPERLINK \l _Toc20618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_Toc20618 \h </w:instrText>
      </w:r>
      <w:r>
        <w:fldChar w:fldCharType="separate"/>
      </w:r>
      <w:r>
        <w:t>4</w:t>
      </w:r>
      <w:r>
        <w:fldChar w:fldCharType="end"/>
      </w:r>
      <w:r>
        <w:fldChar w:fldCharType="end"/>
      </w:r>
    </w:p>
    <w:p w14:paraId="0F75B878">
      <w:pPr>
        <w:pStyle w:val="12"/>
        <w:tabs>
          <w:tab w:val="right" w:leader="dot" w:pos="9075"/>
        </w:tabs>
      </w:pPr>
      <w:r>
        <w:fldChar w:fldCharType="begin"/>
      </w:r>
      <w:r>
        <w:instrText xml:space="preserve"> HYPERLINK \l _Toc6745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_Toc6745 \h </w:instrText>
      </w:r>
      <w:r>
        <w:fldChar w:fldCharType="separate"/>
      </w:r>
      <w:r>
        <w:t>4</w:t>
      </w:r>
      <w:r>
        <w:fldChar w:fldCharType="end"/>
      </w:r>
      <w:r>
        <w:fldChar w:fldCharType="end"/>
      </w:r>
    </w:p>
    <w:p w14:paraId="27FBD2EF">
      <w:pPr>
        <w:pStyle w:val="11"/>
        <w:tabs>
          <w:tab w:val="right" w:leader="dot" w:pos="9075"/>
        </w:tabs>
      </w:pPr>
      <w:r>
        <w:fldChar w:fldCharType="begin"/>
      </w:r>
      <w:r>
        <w:instrText xml:space="preserve"> HYPERLINK \l _Toc24361 </w:instrText>
      </w:r>
      <w:r>
        <w:fldChar w:fldCharType="separate"/>
      </w:r>
      <w:r>
        <w:rPr>
          <w:rFonts w:hint="eastAsia" w:cs="Times New Roman"/>
          <w:bCs/>
          <w:szCs w:val="30"/>
          <w:lang w:val="en-US" w:eastAsia="zh-CN"/>
        </w:rPr>
        <w:t>二、</w:t>
      </w:r>
      <w:r>
        <w:rPr>
          <w:rFonts w:ascii="Times New Roman" w:hAnsi="Times New Roman" w:eastAsia="黑体" w:cs="Times New Roman"/>
          <w:bCs/>
          <w:szCs w:val="30"/>
        </w:rPr>
        <w:t xml:space="preserve"> 国内外研究现状及分析</w:t>
      </w:r>
      <w:r>
        <w:tab/>
      </w:r>
      <w:r>
        <w:fldChar w:fldCharType="begin"/>
      </w:r>
      <w:r>
        <w:instrText xml:space="preserve"> PAGEREF _Toc24361 \h </w:instrText>
      </w:r>
      <w:r>
        <w:fldChar w:fldCharType="separate"/>
      </w:r>
      <w:r>
        <w:t>6</w:t>
      </w:r>
      <w:r>
        <w:fldChar w:fldCharType="end"/>
      </w:r>
      <w:r>
        <w:fldChar w:fldCharType="end"/>
      </w:r>
    </w:p>
    <w:p w14:paraId="290AE61B">
      <w:pPr>
        <w:pStyle w:val="12"/>
        <w:tabs>
          <w:tab w:val="right" w:leader="dot" w:pos="9075"/>
        </w:tabs>
      </w:pPr>
      <w:r>
        <w:fldChar w:fldCharType="begin"/>
      </w:r>
      <w:r>
        <w:instrText xml:space="preserve"> HYPERLINK \l _Toc2030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_Toc2030 \h </w:instrText>
      </w:r>
      <w:r>
        <w:fldChar w:fldCharType="separate"/>
      </w:r>
      <w:r>
        <w:t>6</w:t>
      </w:r>
      <w:r>
        <w:fldChar w:fldCharType="end"/>
      </w:r>
      <w:r>
        <w:fldChar w:fldCharType="end"/>
      </w:r>
    </w:p>
    <w:p w14:paraId="6AD06AF6">
      <w:pPr>
        <w:pStyle w:val="5"/>
        <w:tabs>
          <w:tab w:val="right" w:leader="dot" w:pos="9075"/>
        </w:tabs>
      </w:pPr>
      <w:r>
        <w:fldChar w:fldCharType="begin"/>
      </w:r>
      <w:r>
        <w:instrText xml:space="preserve"> HYPERLINK \l _Toc20021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_Toc20021 \h </w:instrText>
      </w:r>
      <w:r>
        <w:fldChar w:fldCharType="separate"/>
      </w:r>
      <w:r>
        <w:t>6</w:t>
      </w:r>
      <w:r>
        <w:fldChar w:fldCharType="end"/>
      </w:r>
      <w:r>
        <w:fldChar w:fldCharType="end"/>
      </w:r>
    </w:p>
    <w:p w14:paraId="1CF61CAC">
      <w:pPr>
        <w:pStyle w:val="5"/>
        <w:tabs>
          <w:tab w:val="right" w:leader="dot" w:pos="9075"/>
        </w:tabs>
      </w:pPr>
      <w:r>
        <w:fldChar w:fldCharType="begin"/>
      </w:r>
      <w:r>
        <w:instrText xml:space="preserve"> HYPERLINK \l _Toc1810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_Toc1810 \h </w:instrText>
      </w:r>
      <w:r>
        <w:fldChar w:fldCharType="separate"/>
      </w:r>
      <w:r>
        <w:t>6</w:t>
      </w:r>
      <w:r>
        <w:fldChar w:fldCharType="end"/>
      </w:r>
      <w:r>
        <w:fldChar w:fldCharType="end"/>
      </w:r>
    </w:p>
    <w:p w14:paraId="7D7B29E5">
      <w:pPr>
        <w:pStyle w:val="5"/>
        <w:tabs>
          <w:tab w:val="right" w:leader="dot" w:pos="9075"/>
        </w:tabs>
      </w:pPr>
      <w:r>
        <w:fldChar w:fldCharType="begin"/>
      </w:r>
      <w:r>
        <w:instrText xml:space="preserve"> HYPERLINK \l _Toc4372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_Toc4372 \h </w:instrText>
      </w:r>
      <w:r>
        <w:fldChar w:fldCharType="separate"/>
      </w:r>
      <w:r>
        <w:t>7</w:t>
      </w:r>
      <w:r>
        <w:fldChar w:fldCharType="end"/>
      </w:r>
      <w:r>
        <w:fldChar w:fldCharType="end"/>
      </w:r>
    </w:p>
    <w:p w14:paraId="5A75F91C">
      <w:pPr>
        <w:pStyle w:val="5"/>
        <w:tabs>
          <w:tab w:val="right" w:leader="dot" w:pos="9075"/>
        </w:tabs>
      </w:pPr>
      <w:r>
        <w:fldChar w:fldCharType="begin"/>
      </w:r>
      <w:r>
        <w:instrText xml:space="preserve"> HYPERLINK \l _Toc3632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_Toc3632 \h </w:instrText>
      </w:r>
      <w:r>
        <w:fldChar w:fldCharType="separate"/>
      </w:r>
      <w:r>
        <w:t>7</w:t>
      </w:r>
      <w:r>
        <w:fldChar w:fldCharType="end"/>
      </w:r>
      <w:r>
        <w:fldChar w:fldCharType="end"/>
      </w:r>
    </w:p>
    <w:p w14:paraId="5A259251">
      <w:pPr>
        <w:pStyle w:val="5"/>
        <w:tabs>
          <w:tab w:val="right" w:leader="dot" w:pos="9075"/>
        </w:tabs>
      </w:pPr>
      <w:r>
        <w:fldChar w:fldCharType="begin"/>
      </w:r>
      <w:r>
        <w:instrText xml:space="preserve"> HYPERLINK \l _Toc23201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_Toc23201 \h </w:instrText>
      </w:r>
      <w:r>
        <w:fldChar w:fldCharType="separate"/>
      </w:r>
      <w:r>
        <w:t>7</w:t>
      </w:r>
      <w:r>
        <w:fldChar w:fldCharType="end"/>
      </w:r>
      <w:r>
        <w:fldChar w:fldCharType="end"/>
      </w:r>
    </w:p>
    <w:p w14:paraId="319FDE3B">
      <w:pPr>
        <w:pStyle w:val="12"/>
        <w:tabs>
          <w:tab w:val="right" w:leader="dot" w:pos="9075"/>
        </w:tabs>
      </w:pPr>
      <w:r>
        <w:fldChar w:fldCharType="begin"/>
      </w:r>
      <w:r>
        <w:instrText xml:space="preserve"> HYPERLINK \l _Toc10862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_Toc10862 \h </w:instrText>
      </w:r>
      <w:r>
        <w:fldChar w:fldCharType="separate"/>
      </w:r>
      <w:r>
        <w:t>8</w:t>
      </w:r>
      <w:r>
        <w:fldChar w:fldCharType="end"/>
      </w:r>
      <w:r>
        <w:fldChar w:fldCharType="end"/>
      </w:r>
    </w:p>
    <w:p w14:paraId="5B1422E8">
      <w:pPr>
        <w:pStyle w:val="12"/>
        <w:tabs>
          <w:tab w:val="right" w:leader="dot" w:pos="9075"/>
        </w:tabs>
      </w:pPr>
      <w:r>
        <w:fldChar w:fldCharType="begin"/>
      </w:r>
      <w:r>
        <w:instrText xml:space="preserve"> HYPERLINK \l _Toc23128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_Toc23128 \h </w:instrText>
      </w:r>
      <w:r>
        <w:fldChar w:fldCharType="separate"/>
      </w:r>
      <w:r>
        <w:t>9</w:t>
      </w:r>
      <w:r>
        <w:fldChar w:fldCharType="end"/>
      </w:r>
      <w:r>
        <w:fldChar w:fldCharType="end"/>
      </w:r>
    </w:p>
    <w:p w14:paraId="3D44E127">
      <w:pPr>
        <w:pStyle w:val="11"/>
        <w:tabs>
          <w:tab w:val="right" w:leader="dot" w:pos="9075"/>
        </w:tabs>
      </w:pPr>
      <w:r>
        <w:fldChar w:fldCharType="begin"/>
      </w:r>
      <w:r>
        <w:instrText xml:space="preserve"> HYPERLINK \l _Toc28825 </w:instrText>
      </w:r>
      <w:r>
        <w:fldChar w:fldCharType="separate"/>
      </w:r>
      <w:r>
        <w:rPr>
          <w:rFonts w:hint="eastAsia" w:cs="Times New Roman"/>
          <w:bCs/>
          <w:szCs w:val="30"/>
          <w:lang w:val="en-US" w:eastAsia="zh-CN"/>
        </w:rPr>
        <w:t>三、</w:t>
      </w:r>
      <w:r>
        <w:rPr>
          <w:rFonts w:ascii="Times New Roman" w:hAnsi="Times New Roman" w:eastAsia="黑体" w:cs="Times New Roman"/>
          <w:bCs/>
          <w:szCs w:val="30"/>
        </w:rPr>
        <w:t xml:space="preserve"> 主要内容及方案</w:t>
      </w:r>
      <w:r>
        <w:tab/>
      </w:r>
      <w:r>
        <w:fldChar w:fldCharType="begin"/>
      </w:r>
      <w:r>
        <w:instrText xml:space="preserve"> PAGEREF _Toc28825 \h </w:instrText>
      </w:r>
      <w:r>
        <w:fldChar w:fldCharType="separate"/>
      </w:r>
      <w:r>
        <w:t>11</w:t>
      </w:r>
      <w:r>
        <w:fldChar w:fldCharType="end"/>
      </w:r>
      <w:r>
        <w:fldChar w:fldCharType="end"/>
      </w:r>
    </w:p>
    <w:p w14:paraId="6DE87F7F">
      <w:pPr>
        <w:pStyle w:val="12"/>
        <w:tabs>
          <w:tab w:val="right" w:leader="dot" w:pos="9075"/>
        </w:tabs>
      </w:pPr>
      <w:r>
        <w:fldChar w:fldCharType="begin"/>
      </w:r>
      <w:r>
        <w:instrText xml:space="preserve"> HYPERLINK \l _Toc28679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_Toc28679 \h </w:instrText>
      </w:r>
      <w:r>
        <w:fldChar w:fldCharType="separate"/>
      </w:r>
      <w:r>
        <w:t>11</w:t>
      </w:r>
      <w:r>
        <w:fldChar w:fldCharType="end"/>
      </w:r>
      <w:r>
        <w:fldChar w:fldCharType="end"/>
      </w:r>
    </w:p>
    <w:p w14:paraId="4725A2ED">
      <w:pPr>
        <w:pStyle w:val="12"/>
        <w:tabs>
          <w:tab w:val="right" w:leader="dot" w:pos="9075"/>
        </w:tabs>
      </w:pPr>
      <w:r>
        <w:fldChar w:fldCharType="begin"/>
      </w:r>
      <w:r>
        <w:instrText xml:space="preserve"> HYPERLINK \l _Toc20119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_Toc20119 \h </w:instrText>
      </w:r>
      <w:r>
        <w:fldChar w:fldCharType="separate"/>
      </w:r>
      <w:r>
        <w:t>12</w:t>
      </w:r>
      <w:r>
        <w:fldChar w:fldCharType="end"/>
      </w:r>
      <w:r>
        <w:fldChar w:fldCharType="end"/>
      </w:r>
    </w:p>
    <w:p w14:paraId="716DF450">
      <w:pPr>
        <w:pStyle w:val="12"/>
        <w:tabs>
          <w:tab w:val="right" w:leader="dot" w:pos="9075"/>
        </w:tabs>
      </w:pPr>
      <w:r>
        <w:fldChar w:fldCharType="begin"/>
      </w:r>
      <w:r>
        <w:instrText xml:space="preserve"> HYPERLINK \l _Toc29196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_Toc29196 \h </w:instrText>
      </w:r>
      <w:r>
        <w:fldChar w:fldCharType="separate"/>
      </w:r>
      <w:r>
        <w:t>12</w:t>
      </w:r>
      <w:r>
        <w:fldChar w:fldCharType="end"/>
      </w:r>
      <w:r>
        <w:fldChar w:fldCharType="end"/>
      </w:r>
    </w:p>
    <w:p w14:paraId="55086668">
      <w:pPr>
        <w:pStyle w:val="12"/>
        <w:tabs>
          <w:tab w:val="right" w:leader="dot" w:pos="9075"/>
        </w:tabs>
      </w:pPr>
      <w:r>
        <w:fldChar w:fldCharType="begin"/>
      </w:r>
      <w:r>
        <w:instrText xml:space="preserve"> HYPERLINK \l _Toc2354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_Toc2354 \h </w:instrText>
      </w:r>
      <w:r>
        <w:fldChar w:fldCharType="separate"/>
      </w:r>
      <w:r>
        <w:t>14</w:t>
      </w:r>
      <w:r>
        <w:fldChar w:fldCharType="end"/>
      </w:r>
      <w:r>
        <w:fldChar w:fldCharType="end"/>
      </w:r>
    </w:p>
    <w:p w14:paraId="5781043F">
      <w:pPr>
        <w:pStyle w:val="12"/>
        <w:tabs>
          <w:tab w:val="right" w:leader="dot" w:pos="9075"/>
        </w:tabs>
      </w:pPr>
      <w:r>
        <w:fldChar w:fldCharType="begin"/>
      </w:r>
      <w:r>
        <w:instrText xml:space="preserve"> HYPERLINK \l _Toc16988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_Toc16988 \h </w:instrText>
      </w:r>
      <w:r>
        <w:fldChar w:fldCharType="separate"/>
      </w:r>
      <w:r>
        <w:t>15</w:t>
      </w:r>
      <w:r>
        <w:fldChar w:fldCharType="end"/>
      </w:r>
      <w:r>
        <w:fldChar w:fldCharType="end"/>
      </w:r>
    </w:p>
    <w:p w14:paraId="5998BC2A">
      <w:pPr>
        <w:pStyle w:val="12"/>
        <w:tabs>
          <w:tab w:val="right" w:leader="dot" w:pos="9075"/>
        </w:tabs>
      </w:pPr>
      <w:r>
        <w:fldChar w:fldCharType="begin"/>
      </w:r>
      <w:r>
        <w:instrText xml:space="preserve"> HYPERLINK \l _Toc20863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_Toc20863 \h </w:instrText>
      </w:r>
      <w:r>
        <w:fldChar w:fldCharType="separate"/>
      </w:r>
      <w:r>
        <w:t>18</w:t>
      </w:r>
      <w:r>
        <w:fldChar w:fldCharType="end"/>
      </w:r>
      <w:r>
        <w:fldChar w:fldCharType="end"/>
      </w:r>
    </w:p>
    <w:p w14:paraId="7DD1EB4E">
      <w:pPr>
        <w:pStyle w:val="12"/>
        <w:tabs>
          <w:tab w:val="right" w:leader="dot" w:pos="9075"/>
        </w:tabs>
      </w:pPr>
      <w:r>
        <w:fldChar w:fldCharType="begin"/>
      </w:r>
      <w:r>
        <w:instrText xml:space="preserve"> HYPERLINK \l _Toc4327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_Toc4327 \h </w:instrText>
      </w:r>
      <w:r>
        <w:fldChar w:fldCharType="separate"/>
      </w:r>
      <w:r>
        <w:t>19</w:t>
      </w:r>
      <w:r>
        <w:fldChar w:fldCharType="end"/>
      </w:r>
      <w:r>
        <w:fldChar w:fldCharType="end"/>
      </w:r>
    </w:p>
    <w:p w14:paraId="6B849C72">
      <w:pPr>
        <w:pStyle w:val="11"/>
        <w:tabs>
          <w:tab w:val="right" w:leader="dot" w:pos="9075"/>
        </w:tabs>
      </w:pPr>
      <w:r>
        <w:fldChar w:fldCharType="begin"/>
      </w:r>
      <w:r>
        <w:instrText xml:space="preserve"> HYPERLINK \l _Toc30249 </w:instrText>
      </w:r>
      <w:r>
        <w:fldChar w:fldCharType="separate"/>
      </w:r>
      <w:r>
        <w:rPr>
          <w:rFonts w:hint="eastAsia" w:cs="Times New Roman"/>
          <w:bCs/>
          <w:szCs w:val="30"/>
          <w:lang w:val="en-US" w:eastAsia="zh-CN"/>
        </w:rPr>
        <w:t>四、</w:t>
      </w:r>
      <w:r>
        <w:rPr>
          <w:rFonts w:ascii="Times New Roman" w:hAnsi="Times New Roman" w:eastAsia="黑体" w:cs="Times New Roman"/>
          <w:bCs/>
          <w:szCs w:val="30"/>
        </w:rPr>
        <w:t xml:space="preserve"> 预期达到的目标</w:t>
      </w:r>
      <w:r>
        <w:tab/>
      </w:r>
      <w:r>
        <w:fldChar w:fldCharType="begin"/>
      </w:r>
      <w:r>
        <w:instrText xml:space="preserve"> PAGEREF _Toc30249 \h </w:instrText>
      </w:r>
      <w:r>
        <w:fldChar w:fldCharType="separate"/>
      </w:r>
      <w:r>
        <w:t>21</w:t>
      </w:r>
      <w:r>
        <w:fldChar w:fldCharType="end"/>
      </w:r>
      <w:r>
        <w:fldChar w:fldCharType="end"/>
      </w:r>
    </w:p>
    <w:p w14:paraId="45B1D300">
      <w:pPr>
        <w:pStyle w:val="12"/>
        <w:tabs>
          <w:tab w:val="right" w:leader="dot" w:pos="9075"/>
        </w:tabs>
      </w:pPr>
      <w:r>
        <w:fldChar w:fldCharType="begin"/>
      </w:r>
      <w:r>
        <w:instrText xml:space="preserve"> HYPERLINK \l _Toc24098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_Toc24098 \h </w:instrText>
      </w:r>
      <w:r>
        <w:fldChar w:fldCharType="separate"/>
      </w:r>
      <w:r>
        <w:t>21</w:t>
      </w:r>
      <w:r>
        <w:fldChar w:fldCharType="end"/>
      </w:r>
      <w:r>
        <w:fldChar w:fldCharType="end"/>
      </w:r>
    </w:p>
    <w:p w14:paraId="0649647F">
      <w:pPr>
        <w:pStyle w:val="12"/>
        <w:tabs>
          <w:tab w:val="right" w:leader="dot" w:pos="9075"/>
        </w:tabs>
      </w:pPr>
      <w:r>
        <w:fldChar w:fldCharType="begin"/>
      </w:r>
      <w:r>
        <w:instrText xml:space="preserve"> HYPERLINK \l _Toc6249 </w:instrText>
      </w:r>
      <w:r>
        <w:fldChar w:fldCharType="separate"/>
      </w:r>
      <w:r>
        <w:rPr>
          <w:rFonts w:ascii="Times New Roman" w:hAnsi="Times New Roman" w:eastAsia="黑体" w:cs="Times New Roman"/>
          <w:bCs/>
          <w:szCs w:val="28"/>
        </w:rPr>
        <w:t>4.2 预期创新</w:t>
      </w:r>
      <w:r>
        <w:tab/>
      </w:r>
      <w:r>
        <w:fldChar w:fldCharType="begin"/>
      </w:r>
      <w:r>
        <w:instrText xml:space="preserve"> PAGEREF _Toc6249 \h </w:instrText>
      </w:r>
      <w:r>
        <w:fldChar w:fldCharType="separate"/>
      </w:r>
      <w:r>
        <w:t>21</w:t>
      </w:r>
      <w:r>
        <w:fldChar w:fldCharType="end"/>
      </w:r>
      <w:r>
        <w:fldChar w:fldCharType="end"/>
      </w:r>
    </w:p>
    <w:p w14:paraId="528BABB4">
      <w:pPr>
        <w:pStyle w:val="12"/>
        <w:tabs>
          <w:tab w:val="right" w:leader="dot" w:pos="9075"/>
        </w:tabs>
      </w:pPr>
      <w:r>
        <w:fldChar w:fldCharType="begin"/>
      </w:r>
      <w:r>
        <w:instrText xml:space="preserve"> HYPERLINK \l _Toc9904 </w:instrText>
      </w:r>
      <w:r>
        <w:fldChar w:fldCharType="separate"/>
      </w:r>
      <w:r>
        <w:rPr>
          <w:rFonts w:ascii="Times New Roman" w:hAnsi="Times New Roman" w:eastAsia="黑体" w:cs="Times New Roman"/>
          <w:bCs/>
          <w:szCs w:val="28"/>
        </w:rPr>
        <w:t>4.3 预期成果</w:t>
      </w:r>
      <w:r>
        <w:tab/>
      </w:r>
      <w:r>
        <w:fldChar w:fldCharType="begin"/>
      </w:r>
      <w:r>
        <w:instrText xml:space="preserve"> PAGEREF _Toc9904 \h </w:instrText>
      </w:r>
      <w:r>
        <w:fldChar w:fldCharType="separate"/>
      </w:r>
      <w:r>
        <w:t>22</w:t>
      </w:r>
      <w:r>
        <w:fldChar w:fldCharType="end"/>
      </w:r>
      <w:r>
        <w:fldChar w:fldCharType="end"/>
      </w:r>
    </w:p>
    <w:p w14:paraId="775D0E72">
      <w:pPr>
        <w:pStyle w:val="12"/>
        <w:tabs>
          <w:tab w:val="right" w:leader="dot" w:pos="9075"/>
        </w:tabs>
      </w:pPr>
      <w:r>
        <w:fldChar w:fldCharType="begin"/>
      </w:r>
      <w:r>
        <w:instrText xml:space="preserve"> HYPERLINK \l _Toc18806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_Toc18806 \h </w:instrText>
      </w:r>
      <w:r>
        <w:fldChar w:fldCharType="separate"/>
      </w:r>
      <w:r>
        <w:t>22</w:t>
      </w:r>
      <w:r>
        <w:fldChar w:fldCharType="end"/>
      </w:r>
      <w:r>
        <w:fldChar w:fldCharType="end"/>
      </w:r>
    </w:p>
    <w:p w14:paraId="3D9EFB0A">
      <w:pPr>
        <w:pStyle w:val="11"/>
        <w:tabs>
          <w:tab w:val="right" w:leader="dot" w:pos="9075"/>
        </w:tabs>
      </w:pPr>
      <w:r>
        <w:fldChar w:fldCharType="begin"/>
      </w:r>
      <w:r>
        <w:instrText xml:space="preserve"> HYPERLINK \l _Toc10627 </w:instrText>
      </w:r>
      <w:r>
        <w:fldChar w:fldCharType="separate"/>
      </w:r>
      <w:r>
        <w:rPr>
          <w:rFonts w:hint="eastAsia" w:cs="Times New Roman"/>
          <w:bCs/>
          <w:szCs w:val="30"/>
          <w:lang w:val="en-US" w:eastAsia="zh-CN"/>
        </w:rPr>
        <w:t>五、</w:t>
      </w:r>
      <w:r>
        <w:rPr>
          <w:rFonts w:ascii="Times New Roman" w:hAnsi="Times New Roman" w:eastAsia="黑体" w:cs="Times New Roman"/>
          <w:bCs/>
          <w:szCs w:val="30"/>
        </w:rPr>
        <w:t xml:space="preserve"> 已完成的学术研究工作</w:t>
      </w:r>
      <w:r>
        <w:tab/>
      </w:r>
      <w:r>
        <w:fldChar w:fldCharType="begin"/>
      </w:r>
      <w:r>
        <w:instrText xml:space="preserve"> PAGEREF _Toc10627 \h </w:instrText>
      </w:r>
      <w:r>
        <w:fldChar w:fldCharType="separate"/>
      </w:r>
      <w:r>
        <w:t>22</w:t>
      </w:r>
      <w:r>
        <w:fldChar w:fldCharType="end"/>
      </w:r>
      <w:r>
        <w:fldChar w:fldCharType="end"/>
      </w:r>
    </w:p>
    <w:p w14:paraId="5F737FEC">
      <w:pPr>
        <w:pStyle w:val="11"/>
        <w:tabs>
          <w:tab w:val="right" w:leader="dot" w:pos="9075"/>
        </w:tabs>
      </w:pPr>
      <w:r>
        <w:fldChar w:fldCharType="begin"/>
      </w:r>
      <w:r>
        <w:instrText xml:space="preserve"> HYPERLINK \l _Toc23724 </w:instrText>
      </w:r>
      <w:r>
        <w:fldChar w:fldCharType="separate"/>
      </w:r>
      <w:r>
        <w:rPr>
          <w:rFonts w:hint="eastAsia" w:cs="Times New Roman"/>
          <w:bCs/>
          <w:szCs w:val="30"/>
          <w:lang w:val="en-US" w:eastAsia="zh-CN"/>
        </w:rPr>
        <w:t>六、</w:t>
      </w:r>
      <w:r>
        <w:rPr>
          <w:rFonts w:ascii="Times New Roman" w:hAnsi="Times New Roman" w:eastAsia="黑体" w:cs="Times New Roman"/>
          <w:bCs/>
          <w:szCs w:val="30"/>
        </w:rPr>
        <w:t xml:space="preserve"> 进度安排</w:t>
      </w:r>
      <w:r>
        <w:tab/>
      </w:r>
      <w:r>
        <w:fldChar w:fldCharType="begin"/>
      </w:r>
      <w:r>
        <w:instrText xml:space="preserve"> PAGEREF _Toc23724 \h </w:instrText>
      </w:r>
      <w:r>
        <w:fldChar w:fldCharType="separate"/>
      </w:r>
      <w:r>
        <w:t>23</w:t>
      </w:r>
      <w:r>
        <w:fldChar w:fldCharType="end"/>
      </w:r>
      <w:r>
        <w:fldChar w:fldCharType="end"/>
      </w:r>
    </w:p>
    <w:p w14:paraId="66499F92">
      <w:pPr>
        <w:pStyle w:val="11"/>
        <w:tabs>
          <w:tab w:val="right" w:leader="dot" w:pos="9075"/>
        </w:tabs>
      </w:pPr>
      <w:r>
        <w:fldChar w:fldCharType="begin"/>
      </w:r>
      <w:r>
        <w:instrText xml:space="preserve"> HYPERLINK \l _Toc1013 </w:instrText>
      </w:r>
      <w:r>
        <w:fldChar w:fldCharType="separate"/>
      </w:r>
      <w:r>
        <w:rPr>
          <w:rFonts w:hint="eastAsia" w:cs="Times New Roman"/>
          <w:bCs/>
          <w:szCs w:val="30"/>
          <w:lang w:val="en-US" w:eastAsia="zh-CN"/>
        </w:rPr>
        <w:t>七、</w:t>
      </w:r>
      <w:r>
        <w:rPr>
          <w:rFonts w:ascii="Times New Roman" w:hAnsi="Times New Roman" w:eastAsia="黑体" w:cs="Times New Roman"/>
          <w:bCs/>
          <w:szCs w:val="30"/>
        </w:rPr>
        <w:t xml:space="preserve"> 为完成课题所需的条件</w:t>
      </w:r>
      <w:r>
        <w:tab/>
      </w:r>
      <w:r>
        <w:fldChar w:fldCharType="begin"/>
      </w:r>
      <w:r>
        <w:instrText xml:space="preserve"> PAGEREF _Toc1013 \h </w:instrText>
      </w:r>
      <w:r>
        <w:fldChar w:fldCharType="separate"/>
      </w:r>
      <w:r>
        <w:t>23</w:t>
      </w:r>
      <w:r>
        <w:fldChar w:fldCharType="end"/>
      </w:r>
      <w:r>
        <w:fldChar w:fldCharType="end"/>
      </w:r>
    </w:p>
    <w:p w14:paraId="55D35930">
      <w:pPr>
        <w:pStyle w:val="12"/>
        <w:tabs>
          <w:tab w:val="right" w:leader="dot" w:pos="9075"/>
        </w:tabs>
      </w:pPr>
      <w:r>
        <w:fldChar w:fldCharType="begin"/>
      </w:r>
      <w:r>
        <w:instrText xml:space="preserve"> HYPERLINK \l _Toc23486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_Toc23486 \h </w:instrText>
      </w:r>
      <w:r>
        <w:fldChar w:fldCharType="separate"/>
      </w:r>
      <w:r>
        <w:t>23</w:t>
      </w:r>
      <w:r>
        <w:fldChar w:fldCharType="end"/>
      </w:r>
      <w:r>
        <w:fldChar w:fldCharType="end"/>
      </w:r>
    </w:p>
    <w:p w14:paraId="1C672A8D">
      <w:pPr>
        <w:pStyle w:val="12"/>
        <w:tabs>
          <w:tab w:val="right" w:leader="dot" w:pos="9075"/>
        </w:tabs>
      </w:pPr>
      <w:r>
        <w:fldChar w:fldCharType="begin"/>
      </w:r>
      <w:r>
        <w:instrText xml:space="preserve"> HYPERLINK \l _Toc31648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_Toc31648 \h </w:instrText>
      </w:r>
      <w:r>
        <w:fldChar w:fldCharType="separate"/>
      </w:r>
      <w:r>
        <w:t>24</w:t>
      </w:r>
      <w:r>
        <w:fldChar w:fldCharType="end"/>
      </w:r>
      <w:r>
        <w:fldChar w:fldCharType="end"/>
      </w:r>
    </w:p>
    <w:p w14:paraId="776DC474">
      <w:pPr>
        <w:pStyle w:val="11"/>
        <w:tabs>
          <w:tab w:val="right" w:leader="dot" w:pos="9075"/>
        </w:tabs>
      </w:pPr>
      <w:r>
        <w:fldChar w:fldCharType="begin"/>
      </w:r>
      <w:r>
        <w:instrText xml:space="preserve"> HYPERLINK \l _Toc13747 </w:instrText>
      </w:r>
      <w:r>
        <w:fldChar w:fldCharType="separate"/>
      </w:r>
      <w:r>
        <w:rPr>
          <w:rFonts w:hint="eastAsia" w:cs="Times New Roman"/>
          <w:bCs/>
          <w:szCs w:val="30"/>
          <w:lang w:val="en-US" w:eastAsia="zh-CN"/>
        </w:rPr>
        <w:t>八、</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_Toc13747 \h </w:instrText>
      </w:r>
      <w:r>
        <w:fldChar w:fldCharType="separate"/>
      </w:r>
      <w:r>
        <w:t>24</w:t>
      </w:r>
      <w:r>
        <w:fldChar w:fldCharType="end"/>
      </w:r>
      <w:r>
        <w:fldChar w:fldCharType="end"/>
      </w:r>
    </w:p>
    <w:p w14:paraId="37C9719F">
      <w:pPr>
        <w:pStyle w:val="12"/>
        <w:tabs>
          <w:tab w:val="right" w:leader="dot" w:pos="9075"/>
        </w:tabs>
      </w:pPr>
      <w:r>
        <w:fldChar w:fldCharType="begin"/>
      </w:r>
      <w:r>
        <w:instrText xml:space="preserve"> HYPERLINK \l _Toc19456 </w:instrText>
      </w:r>
      <w:r>
        <w:fldChar w:fldCharType="separate"/>
      </w:r>
      <w:r>
        <w:rPr>
          <w:rFonts w:ascii="Times New Roman" w:hAnsi="Times New Roman" w:eastAsia="黑体" w:cs="Times New Roman"/>
          <w:bCs/>
          <w:szCs w:val="28"/>
        </w:rPr>
        <w:t>8.1 研究边界变化与复杂度控制</w:t>
      </w:r>
      <w:r>
        <w:tab/>
      </w:r>
      <w:r>
        <w:fldChar w:fldCharType="begin"/>
      </w:r>
      <w:r>
        <w:instrText xml:space="preserve"> PAGEREF _Toc19456 \h </w:instrText>
      </w:r>
      <w:r>
        <w:fldChar w:fldCharType="separate"/>
      </w:r>
      <w:r>
        <w:t>24</w:t>
      </w:r>
      <w:r>
        <w:fldChar w:fldCharType="end"/>
      </w:r>
      <w:r>
        <w:fldChar w:fldCharType="end"/>
      </w:r>
    </w:p>
    <w:p w14:paraId="73AD6257">
      <w:pPr>
        <w:pStyle w:val="12"/>
        <w:tabs>
          <w:tab w:val="right" w:leader="dot" w:pos="9075"/>
        </w:tabs>
      </w:pPr>
      <w:r>
        <w:fldChar w:fldCharType="begin"/>
      </w:r>
      <w:r>
        <w:instrText xml:space="preserve"> HYPERLINK \l _Toc18040 </w:instrText>
      </w:r>
      <w:r>
        <w:fldChar w:fldCharType="separate"/>
      </w:r>
      <w:r>
        <w:rPr>
          <w:rFonts w:ascii="Times New Roman" w:hAnsi="Times New Roman" w:eastAsia="黑体" w:cs="Times New Roman"/>
          <w:bCs/>
          <w:szCs w:val="28"/>
        </w:rPr>
        <w:t>8.2 证据等级与外推</w:t>
      </w:r>
      <w:r>
        <w:tab/>
      </w:r>
      <w:r>
        <w:fldChar w:fldCharType="begin"/>
      </w:r>
      <w:r>
        <w:instrText xml:space="preserve"> PAGEREF _Toc18040 \h </w:instrText>
      </w:r>
      <w:r>
        <w:fldChar w:fldCharType="separate"/>
      </w:r>
      <w:r>
        <w:t>25</w:t>
      </w:r>
      <w:r>
        <w:fldChar w:fldCharType="end"/>
      </w:r>
      <w:r>
        <w:fldChar w:fldCharType="end"/>
      </w:r>
    </w:p>
    <w:p w14:paraId="7BCCF737">
      <w:pPr>
        <w:pStyle w:val="12"/>
        <w:tabs>
          <w:tab w:val="right" w:leader="dot" w:pos="9075"/>
        </w:tabs>
      </w:pPr>
      <w:r>
        <w:fldChar w:fldCharType="begin"/>
      </w:r>
      <w:r>
        <w:instrText xml:space="preserve"> HYPERLINK \l _Toc15911 </w:instrText>
      </w:r>
      <w:r>
        <w:fldChar w:fldCharType="separate"/>
      </w:r>
      <w:r>
        <w:rPr>
          <w:rFonts w:ascii="Times New Roman" w:hAnsi="Times New Roman" w:eastAsia="黑体" w:cs="Times New Roman"/>
          <w:bCs/>
          <w:szCs w:val="28"/>
        </w:rPr>
        <w:t>8.3 结果稳定性与质量保证</w:t>
      </w:r>
      <w:r>
        <w:tab/>
      </w:r>
      <w:r>
        <w:fldChar w:fldCharType="begin"/>
      </w:r>
      <w:r>
        <w:instrText xml:space="preserve"> PAGEREF _Toc15911 \h </w:instrText>
      </w:r>
      <w:r>
        <w:fldChar w:fldCharType="separate"/>
      </w:r>
      <w:r>
        <w:t>25</w:t>
      </w:r>
      <w:r>
        <w:fldChar w:fldCharType="end"/>
      </w:r>
      <w:r>
        <w:fldChar w:fldCharType="end"/>
      </w:r>
    </w:p>
    <w:p w14:paraId="677EC259">
      <w:pPr>
        <w:pStyle w:val="11"/>
        <w:tabs>
          <w:tab w:val="right" w:leader="dot" w:pos="9075"/>
        </w:tabs>
      </w:pPr>
      <w:r>
        <w:fldChar w:fldCharType="begin"/>
      </w:r>
      <w:r>
        <w:instrText xml:space="preserve"> HYPERLINK \l _Toc1097 </w:instrText>
      </w:r>
      <w:r>
        <w:fldChar w:fldCharType="separate"/>
      </w:r>
      <w:r>
        <w:rPr>
          <w:rFonts w:hint="eastAsia" w:cs="Times New Roman"/>
          <w:bCs/>
          <w:szCs w:val="30"/>
          <w:lang w:val="en-US" w:eastAsia="zh-CN"/>
        </w:rPr>
        <w:t>九、</w:t>
      </w:r>
      <w:r>
        <w:rPr>
          <w:rFonts w:ascii="Times New Roman" w:hAnsi="Times New Roman" w:eastAsia="黑体" w:cs="Times New Roman"/>
          <w:bCs/>
          <w:szCs w:val="30"/>
        </w:rPr>
        <w:t xml:space="preserve"> 参考文献</w:t>
      </w:r>
      <w:r>
        <w:tab/>
      </w:r>
      <w:r>
        <w:fldChar w:fldCharType="begin"/>
      </w:r>
      <w:r>
        <w:instrText xml:space="preserve"> PAGEREF _Toc1097 \h </w:instrText>
      </w:r>
      <w:r>
        <w:fldChar w:fldCharType="separate"/>
      </w:r>
      <w:r>
        <w:t>26</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30601"/>
      <w:r>
        <w:rPr>
          <w:rFonts w:hint="eastAsia" w:cs="Times New Roman"/>
          <w:b/>
          <w:bCs/>
          <w:color w:val="000000"/>
          <w:sz w:val="30"/>
          <w:szCs w:val="30"/>
          <w:lang w:val="en-US" w:eastAsia="zh-CN"/>
        </w:rPr>
        <w:t>一、</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0618"/>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全文不针对任何真实城市开展案例模拟。</w:t>
      </w:r>
    </w:p>
    <w:p w14:paraId="2747444E">
      <w:pPr>
        <w:pStyle w:val="23"/>
        <w:pageBreakBefore w:val="0"/>
        <w:ind w:firstLine="0" w:firstLineChars="0"/>
        <w:outlineLvl w:val="1"/>
      </w:pPr>
      <w:bookmarkStart w:id="4" w:name="_Toc31920"/>
      <w:bookmarkStart w:id="5" w:name="_Toc6745"/>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AI数据中心具有高连续负荷、高设备集中度与高散热供能可靠性要求，其水资源需求不仅取决于年度用水总量，还受湿球温度、冷却技术、负载率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AI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城市人工水系统是包含水源输入、供水利用、污水产生、处理回收与再生利用的循环网络（Lucertini and Musco, 2020；Landa-Cansigno et al., 2019）。AI节点引入不仅增加冷却蒸发消耗与补水需求，也可能通过污水回流增加再生水潜在来源，改变系统内部资源流动结构。因此亟需建立连接AI负荷过程、冷却水需求与城市供排水网络的系统模拟框架（Landa-Cansigno et al., 2019；Sharma et al., 2021）。</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IT容量、热排散过程、冷却补水需求到给水、污水和再生水模块的全过程耦合模型，实现数字基础设施与抽象水系统之间物质流动关系的定量描述。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对数据中心建设与运营主体，可在抽象参数域内比较不同冷却技术、水源配置与节水方案，避免单一指标优化导致能耗或环境负荷转移。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24361"/>
      <w:r>
        <w:rPr>
          <w:rFonts w:hint="eastAsia" w:cs="Times New Roman"/>
          <w:b/>
          <w:bCs/>
          <w:color w:val="000000"/>
          <w:sz w:val="30"/>
          <w:szCs w:val="30"/>
          <w:lang w:val="en-US" w:eastAsia="zh-CN"/>
        </w:rPr>
        <w:t>二、</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2030"/>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20021"/>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Wolman以城市资源输入与废弃物输出阐述了城市代谢概念[16]；Kennedy等通过跨城市物质流比较揭示代谢强度会随城市发展阶段变化，并将代谢分析引入规划评价[17,18]；Castán Broto等进一步指出，城市代谢研究需要整合工程、生态与社会科学视角[19]。这些研究奠定了“输入—转化—输出”的系统边界，为本课题把AI设施作为城市水循环中的新型节点提供了概念基础。</w:t>
      </w:r>
    </w:p>
    <w:p w14:paraId="310EAC60">
      <w:pPr>
        <w:spacing w:before="0" w:after="0" w:line="360" w:lineRule="auto"/>
        <w:ind w:firstLine="420"/>
      </w:pPr>
      <w:r>
        <w:t>Behzadian等开发WaterMet²，将水源、供水、需求、污水和环境绩效置于同一动态质量平衡框架[20,21]；Urich和Rauch、Bach等总结了综合城市水模型在子系统连接、尺度转换、校准和不确定性处理方面的方法边界[22,23]；Dobson等以WSIMOD进一步实现了水量与水质通量的节点—弧线组合建模，并强调守恒检查和模块化复用[24]。Nezami等把系统动力学用于城市水代谢反馈分析[25]，Emamjomehzadeh等又将强化学习引入水资源决策[26]。上述成果说明，城市水系统可以通过过程节点和反馈关系进行统一模拟，但尚未显式表示AI负荷的连续热—水转换过程。</w:t>
      </w:r>
    </w:p>
    <w:p w14:paraId="5CE4319C">
      <w:pPr>
        <w:spacing w:before="0" w:after="0" w:line="360" w:lineRule="auto"/>
        <w:ind w:firstLine="420"/>
      </w:pPr>
      <w:r>
        <w:t>城市代谢研究长期偏重年度物质流清单，难以解释峰值压力和设施瓶颈。House-Peters和Chang的需水建模综述表明，需求曲线、时间分辨率和行为参数会显著影响城市需水预测[27]。因此，本研究采用日尺度为主、极端小时为补充的时间结构，以检验年度总量相同而负荷时序不同的AI情景是否产生不同承载边界。</w:t>
      </w:r>
    </w:p>
    <w:p w14:paraId="31CD2C75">
      <w:pPr>
        <w:pStyle w:val="24"/>
        <w:pageBreakBefore w:val="0"/>
        <w:ind w:firstLine="0" w:firstLineChars="0"/>
        <w:outlineLvl w:val="2"/>
      </w:pPr>
      <w:bookmarkStart w:id="13" w:name="_Toc1810"/>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从城市供水、加压、处理和污水环节梳理了水—能联系，指出供水服务的能源需求不可从水量核算中剥离[28,29]；Nair等和Lee等比较了不同边界、能源强度和水风险指标的计算差异[30,31]；Stokes和Horvath进一步说明，水源与处理技术改变后，节水可能伴随能源和排放转移[32]。因此，本课题将本地物理水流与电力系统间接水足迹分开记录，并在固定AI容量下比较水、能、碳的协同与权衡。</w:t>
      </w:r>
    </w:p>
    <w:p w14:paraId="3F25A12F">
      <w:pPr>
        <w:spacing w:before="0" w:after="0" w:line="360" w:lineRule="auto"/>
        <w:ind w:firstLine="420"/>
      </w:pPr>
      <w:r>
        <w:t>Liu等构建城市群多区域投入产出框架，量化城市之间的虚拟水与embodied energy传递，并识别重点节水节能部门[82]；Radini等将污水处理、再生水、能源和气候因素组织为网络化的综合决策框架[84]。这些研究支持本课题把再生水处理和输配能耗纳入城市水系统边界，但本课题进一步把AI冷却负荷作为时变外生驱动。</w:t>
      </w:r>
    </w:p>
    <w:p w14:paraId="28ACECCD">
      <w:pPr>
        <w:pStyle w:val="24"/>
        <w:pageBreakBefore w:val="0"/>
        <w:ind w:firstLine="0" w:firstLineChars="0"/>
        <w:outlineLvl w:val="2"/>
      </w:pPr>
      <w:bookmarkStart w:id="15" w:name="_Toc31085"/>
      <w:bookmarkStart w:id="16" w:name="_Toc4372"/>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Strubell等首先量化深度学习训练的能源与政策影响[34]；Henderson等提出机器学习能耗和碳足迹的系统报告规范[35]；Lannelongue等开发Green Algorithms以统一计算碳足迹核算[36]；Schwartz等提出Green AI理念，强调在模型性能之外同时考虑资源效率[37]。这些研究主要聚焦能源和碳排放，为AI资源环境足迹研究提供了核算原则，但对城市供排水系统的反馈描述仍不足。</w:t>
      </w:r>
    </w:p>
    <w:p w14:paraId="504B5840">
      <w:pPr>
        <w:spacing w:before="0" w:after="0" w:line="360" w:lineRule="auto"/>
        <w:ind w:firstLine="420"/>
      </w:pPr>
      <w:r>
        <w:t>Mytton系统梳理了数据中心直接冷却用水、间接发电用水、用水来源和信息披露缺口[7]；Lei等进一步从服务器效率、电网水耗因子、利用率、冷却技术、基础设施效率和气候区等因素解释工作负荷水耗的巨大差异[8]；Li等提出AI模型水足迹的时空核算方法，指出同一模型在不同地点和时段的用水强度并不相同[42]；Herrera等采用情景预测分析AI基础设施水足迹的不确定性来源[43]。这些成果为本课题设置负荷、气候和冷却参数提供依据，但研究终点多为设施或区域足迹，尚未追踪污水回流、再生水竞争和城市设施余量。</w:t>
      </w:r>
    </w:p>
    <w:p w14:paraId="7C2AC68A">
      <w:pPr>
        <w:spacing w:before="0" w:after="0" w:line="360" w:lineRule="auto"/>
        <w:ind w:firstLine="420"/>
      </w:pPr>
      <w:r>
        <w:rPr>
          <w:rFonts w:ascii="Times New Roman" w:hAnsi="Times New Roman" w:eastAsia="宋体"/>
          <w:sz w:val="24"/>
        </w:rPr>
        <w:t>近期两项预印本研究讨论了数据中心对公共供水容量的压力，以及AI用水与供水条件之间的反馈[44,45]（预印本，尚未经同行评议，结论可能随正式发表而变化）。本文仅将其用于论证问题的重要性和机制方向，不把其数值结论作为模型参数的直接来源，相关参数改由正式发表文献、标准规范与工程资料确定；若上述预印本正式发表后结论发生变化，只需替换其机制表述，不影响模型结构与承载边界的求解方式。数据中心—污水厂协同研究则分析数—水共生的环境潜力[46]。</w:t>
      </w:r>
    </w:p>
    <w:p w14:paraId="4E28DE6E">
      <w:pPr>
        <w:pStyle w:val="24"/>
        <w:pageBreakBefore w:val="0"/>
        <w:ind w:firstLine="0" w:firstLineChars="0"/>
        <w:outlineLvl w:val="2"/>
      </w:pPr>
      <w:bookmarkStart w:id="17" w:name="_Toc3632"/>
      <w:bookmarkStart w:id="18" w:name="_Toc8135"/>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Ebrahimi等总结数据中心热排散、自由冷却与余热回收条件[47]；Yuan等比较相变冷却的设备结构和适用工况[50]；Zhang等从能源效率与环境影响角度综述数据中心冷却技术[51]；Chen和Li指出液冷在高热流密度场景具有优势，但仍面临系统集成和运行控制挑战[52]。因此，本课题区分服务器侧热捕集与设施侧末端排热，并将湿球温度、蒸发损失和浓缩倍数写入补水方程。</w:t>
      </w:r>
    </w:p>
    <w:p w14:paraId="16A2980F">
      <w:pPr>
        <w:pStyle w:val="24"/>
        <w:pageBreakBefore w:val="0"/>
        <w:ind w:firstLine="0" w:firstLineChars="0"/>
        <w:outlineLvl w:val="2"/>
      </w:pPr>
      <w:bookmarkStart w:id="19" w:name="_Toc9243"/>
      <w:bookmarkStart w:id="20" w:name="_Toc23201"/>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Hashimoto等提出以可靠性、恢复性和脆弱性评价水资源系统服务绩效[53]；Mortazavi-Naeini等利用稳健优化处理极端干旱与气候不确定性[54]；Haasnoot等提出动态适应路径，将未来状态变化与分阶段决策连接[56,57]；Sadr等将适应路径用于综合城市污水系统战略规划，比较了短期合规与长期扩容之间的权衡[58]。这些研究为本课题设置多压力情景、服务失效判据和干预时序提供方法依据。</w:t>
      </w:r>
    </w:p>
    <w:p w14:paraId="1B245A3B">
      <w:pPr>
        <w:pStyle w:val="23"/>
        <w:pageBreakBefore w:val="0"/>
        <w:ind w:firstLine="0" w:firstLineChars="0"/>
        <w:outlineLvl w:val="1"/>
      </w:pPr>
      <w:bookmarkStart w:id="21" w:name="_Toc14570"/>
      <w:bookmarkStart w:id="22" w:name="_Toc10862"/>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段春青等从概念边界和评价方法梳理了水资源承载力研究，指出承载力本质上是资源供给、社会需求与生态约束共同作用的动态结果[60]；Qin等提出设计承载容量概念，将工程供给能力纳入评价指标[61]；Wang等在长春、广州等城市应用系统动力学和综合评价方法，揭示人口、经济、供水和环境之间的非线性反馈，并表明承载状态会随发展情景变化[64,65]。这些研究为本课题构造城市系统状态变量和承载边界提供了国内方法基础。</w:t>
      </w:r>
    </w:p>
    <w:p w14:paraId="5B49BE0E">
      <w:pPr>
        <w:spacing w:before="0" w:after="0" w:line="360" w:lineRule="auto"/>
        <w:ind w:firstLine="420"/>
      </w:pPr>
      <w:r>
        <w:t>Cui等以西宁为案例建立物理水与虚拟水一体化生态网络，识别了关键代谢环节和污水处理、再生利用等改善方向[68]；Fan等从城市代谢视角总结水—能耦合路径，指出供水、处理和输配环节存在资源转移效应[69]；He等预测全球城市缺水的空间差异，说明需求增长与资源禀赋之间存在显著区域异质性[70]。这些成果支持本课题采用节点—路径结构和多参数域设计，但尚未纳入AI设施的连续负荷和冷却热—水转换。</w:t>
      </w:r>
    </w:p>
    <w:p w14:paraId="2024C0AD">
      <w:pPr>
        <w:spacing w:before="0" w:after="0" w:line="360" w:lineRule="auto"/>
        <w:ind w:firstLine="420"/>
      </w:pPr>
      <w:r>
        <w:t>针对中国数据中心，Jiang等开展设施级能源驱动水足迹和水资源稀缺性情景分析，说明电力结构、冷却方式和区域水风险会共同改变数据中心水环境影响[10]；国家标准进一步规定了数据中心水资源使用效率的统计口径[72]。但这类研究主要停留在设施效率或区域足迹层面，尚未把AI新增补水、污水回流、再生水供给与城市供排水能力放入同一过程模型。</w:t>
      </w:r>
    </w:p>
    <w:p w14:paraId="3418481E">
      <w:r>
        <w:t>国内研究的第一项可借鉴成果来自Dai等。该团队将系统动力学、元胞自动机和栅格地理信息系统（Geographic Information System, GIS）结合，建立永定河流域水环境承载力空间动态模型，模拟2017—2035年社会经济、水量利用和污染负荷的时空变化，并发现水资源不足和水质约束会造成空间不均衡，承载阈值并非静态值[99]。这一结论直接支持本课题把承载边界定义为随系统状态和压力变化的条件化边界。</w:t>
      </w:r>
    </w:p>
    <w:p w14:paraId="1D67D740">
      <w:r>
        <w:t>国内研究的第二项成果来自Cai等。该团队构建北京物理—虚拟水循环生态网络，将地表水、地下水、调水和再生水供应与居民、生产和生态用水连接起来，进一步识别水配送、漏损、污水处理和再生水在系统韧性中的作用，指出提高调水和再生水比例有助于增强城市水循环韧性[100]。本课题将在抽象参数域中检验类似的水源结构调整是否会改变AI承载边界及主导瓶颈。</w:t>
      </w:r>
    </w:p>
    <w:p w14:paraId="7E14F926">
      <w:r>
        <w:t>国内研究的第三项成果来自Zou、Chen和Wang。该团队将生态网络分析与非支配排序遗传算法II（Non-dominated Sorting Genetic Algorithm II, NSGA-II）双目标优化结合，在北京水代谢网络中同时最小化能源消耗并最大化水系统韧性，结果显示优化可节约约0.70亿立方米水资源和27.7亿千瓦时能量流[101]。该研究证明了水代谢网络能够连接资源流、韧性和优化决策，但其研究对象尚未包含AI负荷及数据中心冷却过程；本课题据此将瓶颈识别和干预分析扩展到AI—城市水系统接口。</w:t>
      </w:r>
    </w:p>
    <w:p w14:paraId="39638A3E">
      <w:pPr>
        <w:pStyle w:val="23"/>
        <w:pageBreakBefore w:val="0"/>
        <w:ind w:firstLine="0" w:firstLineChars="0"/>
        <w:outlineLvl w:val="1"/>
      </w:pPr>
      <w:bookmarkStart w:id="23" w:name="_Toc15689"/>
      <w:bookmarkStart w:id="24" w:name="_Toc23128"/>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现有研究留下的主要问题是知识链条尚未闭合：设施足迹研究能把计算量转换为水耗，城市水系统研究能描述供水、污水与再生水循环，但两者之间缺少以AI IT容量为驱动、以城市人工水系统为边界、可在日尺度验证的过程接口；也缺少对“相同年度水量为何产生不同系统压力”的时间尺度解释，以及水源、给水、污水与再生水瓶颈转换的机制识别。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Times New Roman" w:hAnsi="Times New Roman" w:eastAsia="宋体" w:cs="Times New Roman"/>
          <w:sz w:val="24"/>
          <w:szCs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AI边际响应分为三个层次：规模响应（路径比例近似稳定、总量随容量同步变化）、结构响应（水源结构与取水量、消耗量、回流量的比例或污水—再生水内部循环持续偏移）、约束状态转换（主导约束在水源、给水与污水/再生水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AI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IT容量”定义为外生规模变量，把水源、给水、污水、再生水、储存、输配和服务优先级定义为参数化系统状态，把冷却架构和气候条件定义为过程参数，把条件化AI水系统承载容量（Conditional AI Water Carrying Capacity, CAWCC）及其主导瓶颈定义为系统输出，从而可在可解释参数域内连续改变单一因素、保持其余不变，识别结构重构与瓶颈迁移的必要条件。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25" w:name="_Toc21069"/>
      <w:bookmarkStart w:id="26" w:name="_Toc28825"/>
      <w:r>
        <w:rPr>
          <w:rFonts w:hint="eastAsia" w:cs="Times New Roman"/>
          <w:b/>
          <w:bCs/>
          <w:color w:val="000000"/>
          <w:sz w:val="30"/>
          <w:szCs w:val="30"/>
          <w:lang w:val="en-US" w:eastAsia="zh-CN"/>
        </w:rPr>
        <w:t>三、</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28679"/>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城市关键设施承载能力附近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科学问题二（时间尺度边界）：AI负荷连续性、冷却对高温的敏感性以及与传统需水峰值的耦合，如何造成年、日与极端小时尺度承载边界的差异？年均评价在何种城市状态下会高估可承载的AI规模？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在AI规模较低的区间内，算力扩张主要表现为取水、耗水、回流与设施负荷的总量增加，水流路径比例基本保持稳定；当AI规模接近城市供水、污水处理或再生水利用等关键环节的承载能力附近时，系统响应可能由规模增长转变为结构调整，表现为水源结构与内部循环比例的持续偏移。该变化究竟来自系统约束还是人为配置结果，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结果，日尺度结果不低于极端小时尺度结果。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会在水源、给水处理、局部接入、污水处理与再生水利用等环节之间转换。针对当前主导瓶颈实施扩容或技术干预可以提升承载边界，但随着其他约束接近阈值，单位干预带来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0119"/>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29196"/>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中，城市人工水系统按“外部取水—供水与利用—污水产生与处理—再生利用—环境排放”的闭环描述，逐日核算进入系统的外部水量、排向环境的水量、不可恢复消耗量与系统储量变化，并保证各节点的水量平衡。给水、污水与再生水环节分别设置处理能力、输配能力、储量与既有需求，漏损、溢流与未满足需求单独记账，使AI新增负荷能够在完整路径上被追踪。</w:t>
      </w:r>
    </w:p>
    <w:p w14:paraId="5936A3D2">
      <w:pPr>
        <w:spacing w:before="0" w:after="0" w:line="360" w:lineRule="auto"/>
        <w:ind w:firstLine="420"/>
      </w:pPr>
      <w:r>
        <w:rPr>
          <w:rFonts w:ascii="Times New Roman" w:hAnsi="Times New Roman" w:eastAsia="宋体" w:cs="Times New Roman"/>
          <w:b w:val="0"/>
          <w:color w:val="000000"/>
          <w:sz w:val="24"/>
        </w:rPr>
        <w:t>AI侧的用水过程按“IT容量—实际负载—设施能耗—热排散—冷却补水—消耗与排污”逐级计算。服务器侧热捕集方式区分空气冷却、冷板液冷与浸没式液冷，设施侧末端排热区分干式、湿式与干湿混合；湿式排热部分按气象条件与运行工况计算蒸发与排污，进而得到补水量。冷却排污并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下列物理关系逐项计算，而非以单位容量水耗系数直接换算：IT容量与实际负载决定设施热负荷；热负荷经服务器侧热捕集方式换算为冷却介质得热量，再按循环水量与进出水温差确定循环流量；湿式排热部分的蒸发量由循环流量、进出塔水温与气象条件（干球温度、湿球温度、相对湿度）共同决定，其中湿球温度构成冷却塔出水温度的物理下限，逼近度与冷却塔特性按工程文献取值；补水量等于蒸发量、飘散损失与排污量之和，排污量由浓缩倍数与蒸发量之比确定。该组关系意味着"节水"不是自由变量：提高浓缩倍数或改用干式排热在降低补水的同时减少排污，二者通过再生水源量相互牵连。同时，设施能耗不采用固定电能使用效率（Power Usage Effectiveness, PUE）换算：PUE随负载率变化且部分负载下效率下降，模型以随负载率变化的效率曲线计算设施能耗与热负荷，避免以定值PUE低估低负载工况下的能耗与排热。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共同决定。研究设置不同的淡水—再生水配置策略，分析水源结构对AI承载能力的影响，并分别记录目标份额、实际供应量与未满足需求，避免用规划目标替代真实供给。设施能力参数参照供排水设计标准确定[73,74]，工业冷却再生水回用的适用条件参见相关综述[78]，数据中心用水效率按水资源使用效率（Water Use Efficiency, WUE）标准统一统计口径[72]。</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的日内曲线与推理负载的日内曲线，通过改变两者的相位差检验“错峰”与“重合”两种情形，而非默认二者同步。这一设置使“峰值来自气候”与“峰值来自用户行为”两种机制能够被分离检验，避免把小时尺度的叠加效应笼统归因于气候。</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再生水可利用源量相应下降；同理，提高浓缩倍数等节水措施在降低补水量的同时也减少排污量，从而压缩再生水的潜在源量。模型因此把“蒸发损失—回流量—再生水可利用源量”作为一条显式耦合链条核算，而非把再生水源量作为外生给定值。该链条在缺水情景下构成负向反馈：缺水促使冷却系统提高浓缩倍数或改用干式排热，节水的同时削弱再生水源量，进而削弱再生水对AI承载能力的支撑作用。该反馈是否被触发、在何种参数区间内主导结果，将作为重点发现单独报告。</w:t>
      </w:r>
    </w:p>
    <w:p w14:paraId="37CFF01D">
      <w:pPr>
        <w:pStyle w:val="23"/>
        <w:pageBreakBefore w:val="0"/>
        <w:ind w:firstLine="0" w:firstLineChars="0"/>
        <w:outlineLvl w:val="1"/>
      </w:pPr>
      <w:bookmarkStart w:id="31" w:name="_Toc2354"/>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区分三种情形：规模响应，即各水流路径比例基本稳定、总量随AI规模同步增加；结构响应，即水源结构、消耗与回流比例或污水—再生水内部循环发生持续偏移；约束状态转换，即限制AI扩张的主导环节发生迁移。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bookmarkStart w:id="32" w:name="_Toc16988"/>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因此承载边界随条件变化，改变任一约束的取值即得到不同的承载边界，而非固定的水资源总量阈值。</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left"/>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left"/>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left"/>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left"/>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left"/>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left"/>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left"/>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left"/>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left"/>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left"/>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left"/>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left"/>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left"/>
              <w:rPr>
                <w:b w:val="0"/>
              </w:rPr>
            </w:pPr>
            <w:r>
              <w:rPr>
                <w:rFonts w:ascii="Times New Roman" w:hAnsi="Times New Roman" w:eastAsia="宋体" w:cs="Times New Roman"/>
                <w:b w:val="0"/>
                <w:bCs w:val="0"/>
                <w:sz w:val="21"/>
                <w:szCs w:val="21"/>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其作用是防止承载边界只考虑水量峰值而忽略能耗峰值：AI节点及新增再生水深度处理环节的电力需求按能耗强度系数核算，峰值电力需求不超过情景设定的供电与接网容量即为可行，该约束与水量约束共同构成可行域。碳排放不作为CAWCC的失效判据，而是在求得承载边界后，于固定AI容量的条件下与水耗并列核算，用于识别节水措施可能造成的能耗与碳排放转移。作此处理的原因是：碳排放阈值取决于区域电网结构与政策情景，缺乏可迁移的物理阈值，若将其纳入失效判据，承载边界将退化为特定电网情景的函数，与本研究“条件化、可迁移”的边界定义相冲突。水—能—碳的完整比较安排在研究第五阶段以固定容量方式完成，不改变核心CAWCC的定义。</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对居民及关键公共服务，未满足量受预设最低服务要求约束；对AI节点，任一时间步出现正的未满足需求即判定该容量不可行。因此CAWCC是"不牺牲既定服务水平"前提下的可承载容量，而不是"允许AI断供后仍可装机"的容量。若需评估可中断运行（如允许AI在高温时段降载），则以独立情景设置允许中断的时长与频次，其结果单独报告，不与基准CAWCC混用。漏损与溢流同样单独记账，不计入消耗，以保证消耗量只反映真实的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同时报告全部可行区间、首次失效规模和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包含储量的逐日（逐时）演算，即储存对峰值的削减是模拟输出的结果，而非预先给定的削峰系数；年尺度结果由日尺度结果聚合得到，以保证三个尺度在同一套模拟输出下可比，避免以独立的年均核算替代聚合。</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水源、给水、污水、再生水与局部输配的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且不对应任何具体城市。</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之间的相关关系是否改变敏感性排序，以及主要结论在不同参数与压力条件下是否稳定。除参数敏感性外，还通过改变压力的时间排列、替换关键冷却关系与调整约束优先级等方式，检验结论的结构稳健性。</w:t>
      </w:r>
    </w:p>
    <w:p w14:paraId="399379D6">
      <w:pPr>
        <w:pStyle w:val="23"/>
        <w:pageBreakBefore w:val="0"/>
        <w:ind w:firstLine="0" w:firstLineChars="0"/>
        <w:outlineLvl w:val="1"/>
      </w:pPr>
      <w:bookmarkStart w:id="33" w:name="_Toc2086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达到失效条件时的AI规模，其中最先失效的约束即为主导瓶颈；若若干约束的失效规模相近，则记为共同主导瓶颈。随AI规模提高，主导瓶颈可在水源、给水、局部接入、污水处理与再生水等环节之间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一律指单位能力增量所带来的承载边界增量，即物理有效性，仅表示单位能力增量带来的承载边界增量。</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进行横向比较；后者包括冷却方式替换、储水配置与负荷削峰等离散选项，直接比较方案间的边界差异。研究通过改变水源条件、处理能力、再生利用水平与冷却方式等条件，分析不同干预措施对承载边界的提升效果及瓶颈迁移规律，最终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4327"/>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AI—城市水系统耦合模型并完成参数与守恒校核；其次设置AI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t>参数来源包括公开统计资料、标准规范与工程文献。需要首先明确：本研究是面向一般化人工水系统的过程模拟研究，研究采用抽象系统边界和参数域情景，公开统计资料的作用仅限于为参数取值区间提供量级参照，即检验所设定的参数组合是否落在真实系统可能出现的范围内，相关数据来源包括水资源公报与水务统计资料[11-15]。因此本文采用参数域设计：每个参数域由一组工程化参数区间刻画，端点取值参照同类公开资料的量级确定。模型输入为抽象系统状态、气象序列和工程参数，不使用城市级管网拓扑、项目位置或实际设施容量。</w:t>
      </w:r>
    </w:p>
    <w:p w14:paraId="0B72D791">
      <w:pPr>
        <w:spacing w:before="0" w:after="0" w:line="360" w:lineRule="auto"/>
        <w:ind w:firstLine="420"/>
      </w:pPr>
      <w:r>
        <w:t>考虑到算力基础设施的水—能耦合类型存在显著差异，外部校核不按城市组织，而按三类抽象参数域组织：（1）缺水—高冷负荷型，水源余量低、夏季湿球温度高、再生水承担较高的补水份额，用于确定约束最紧条件下的极值方向与量级上限；（2）气候凉爽型，湿球温度低、自然冷却可用时数长、冷却补水与蒸发损失较低，用于检验“低补水—低蒸发”端点行为；（3）能源富集型，电力间接水足迹与碳排放强度较高，用于检验水—能—碳关系方向变化时承载判断的稳定性。三类参数域均只用于界定参数的合理取值范围：端点取值参照公开水资源公报、水务统计资料与工程文献所反映的同类系统量级确定[11-15]，模型不复现具体城市的管网、水源和设施配置，输出结果以参数域条件和无量纲裕度表示；公开序列不完整的参数以文献区间构造，并在参数证据表中单独标注不确定性。</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模型结论的通用性以参数域的端点覆盖来表述：结论适用于由上述三类参数域端点所界定的参数区间内部，并以无量纲裕度形式给出；超出该区间的外推需另行论证。各参数域的端点取值、来源与适用工况一并记入参数证据表，并在结果部分明确标注每条结论所依赖的参数域范围，避免以任一参数域的端点结果替代一般性结论。模型通过工程参数校核、守恒验证和敏感性分析保证结果可靠性。</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452A3B36">
      <w:pPr>
        <w:pStyle w:val="22"/>
        <w:pageBreakBefore/>
        <w:ind w:firstLine="0" w:firstLineChars="0"/>
        <w:outlineLvl w:val="0"/>
      </w:pPr>
      <w:bookmarkStart w:id="35" w:name="_Toc23871"/>
      <w:bookmarkStart w:id="36" w:name="_Toc30249"/>
      <w:r>
        <w:rPr>
          <w:rFonts w:hint="eastAsia" w:cs="Times New Roman"/>
          <w:b/>
          <w:bCs/>
          <w:color w:val="000000"/>
          <w:sz w:val="30"/>
          <w:szCs w:val="30"/>
          <w:lang w:val="en-US" w:eastAsia="zh-CN"/>
        </w:rPr>
        <w:t>四、</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4098"/>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解释再生水扩容何时有效、何时受源量等条件限制，并识别节水措施可能造成的能耗、碳排放或成本转移。</w:t>
      </w:r>
    </w:p>
    <w:p w14:paraId="61FFE5E3">
      <w:pPr>
        <w:spacing w:before="0" w:after="0" w:line="360" w:lineRule="auto"/>
        <w:ind w:firstLine="420"/>
      </w:pPr>
      <w:r>
        <w:rPr>
          <w:rFonts w:ascii="Times New Roman" w:hAnsi="Times New Roman" w:eastAsia="宋体" w:cs="Times New Roman"/>
          <w:b w:val="0"/>
          <w:color w:val="000000"/>
          <w:sz w:val="24"/>
          <w:szCs w:val="24"/>
        </w:rPr>
        <w:t>识别AI冷却蒸发损失对再生水可利用源量的负向影响，说明在何种参数区间内“节水”与“增加再生水供给”之间存在目标冲突，以及该冲突如何改变瓶颈迁移路径。</w:t>
      </w:r>
    </w:p>
    <w:p w14:paraId="6458820D">
      <w:pPr>
        <w:pStyle w:val="23"/>
        <w:pageBreakBefore w:val="0"/>
        <w:ind w:firstLine="0" w:firstLineChars="0"/>
        <w:outlineLvl w:val="1"/>
      </w:pPr>
      <w:bookmarkStart w:id="39" w:name="_Toc30187"/>
      <w:bookmarkStart w:id="40" w:name="_Toc6249"/>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污—污水处理—再生水回用”与城市供排水系统之间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单位能力增量带来的承载边界增量，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9904"/>
      <w:bookmarkStart w:id="42" w:name="_Toc2957"/>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形成经过代码验证、工程过程、极限行为检验、结构稳健性检验和参数域端点对照检验的AI-UWM模型及版本化代码。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18806"/>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10627"/>
      <w:r>
        <w:rPr>
          <w:rFonts w:hint="eastAsia" w:cs="Times New Roman"/>
          <w:b/>
          <w:bCs/>
          <w:color w:val="000000"/>
          <w:sz w:val="30"/>
          <w:szCs w:val="30"/>
          <w:lang w:val="en-US" w:eastAsia="zh-CN"/>
        </w:rPr>
        <w:t>五、</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研究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47" w:name="_Toc14609"/>
      <w:bookmarkStart w:id="48" w:name="_Toc23724"/>
      <w:r>
        <w:rPr>
          <w:rFonts w:hint="eastAsia" w:cs="Times New Roman"/>
          <w:b/>
          <w:bCs/>
          <w:color w:val="000000"/>
          <w:sz w:val="30"/>
          <w:szCs w:val="30"/>
          <w:lang w:val="en-US" w:eastAsia="zh-CN"/>
        </w:rPr>
        <w:t>六、</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267"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267"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270"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267"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267"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数据审计、参数域界定、文献综述、最小闭环、单元测试</w:t>
            </w:r>
          </w:p>
        </w:tc>
        <w:tc>
          <w:tcPr>
            <w:tcW w:w="2270"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267"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267" w:type="dxa"/>
            <w:tcBorders>
              <w:top w:val="nil"/>
              <w:left w:val="nil"/>
              <w:bottom w:val="nil"/>
              <w:right w:val="nil"/>
            </w:tcBorders>
            <w:shd w:val="clear" w:color="auto" w:fill="FFFFFF"/>
          </w:tcPr>
          <w:p w14:paraId="785FAECB">
            <w:pPr>
              <w:spacing w:before="0" w:after="0" w:line="276" w:lineRule="auto"/>
              <w:ind w:left="0" w:firstLine="0"/>
              <w:jc w:val="left"/>
              <w:rPr>
                <w:b w:val="0"/>
              </w:rPr>
            </w:pPr>
            <w:r>
              <w:rPr>
                <w:rFonts w:ascii="Times New Roman" w:hAnsi="Times New Roman" w:eastAsia="宋体" w:cs="Times New Roman"/>
                <w:b w:val="0"/>
                <w:bCs w:val="0"/>
                <w:sz w:val="21"/>
                <w:szCs w:val="21"/>
              </w:rPr>
              <w:t>参数化系统输入校核、替代压力剖面检验、参数范围校核和对照实验</w:t>
            </w:r>
          </w:p>
        </w:tc>
        <w:tc>
          <w:tcPr>
            <w:tcW w:w="2270"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267"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267"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年均，日，小时比较、高温干旱复合压力、CAWCC</w:t>
            </w:r>
          </w:p>
        </w:tc>
        <w:tc>
          <w:tcPr>
            <w:tcW w:w="2270"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267"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bookmarkStart w:id="65" w:name="_GoBack"/>
            <w:bookmarkEnd w:id="65"/>
            <w:r>
              <w:rPr>
                <w:rFonts w:ascii="Times New Roman" w:hAnsi="Times New Roman" w:eastAsia="宋体" w:cs="Times New Roman"/>
                <w:b w:val="0"/>
                <w:bCs w:val="0"/>
                <w:sz w:val="21"/>
                <w:szCs w:val="21"/>
              </w:rPr>
              <w:t>—2027.09</w:t>
            </w:r>
          </w:p>
        </w:tc>
        <w:tc>
          <w:tcPr>
            <w:tcW w:w="2267"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不确定性、瓶颈转换、再生水和设施干预</w:t>
            </w:r>
          </w:p>
        </w:tc>
        <w:tc>
          <w:tcPr>
            <w:tcW w:w="2270"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267"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267"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lang w:val="en-US" w:eastAsia="zh-CN"/>
              </w:rPr>
            </w:pPr>
            <w:r>
              <w:rPr>
                <w:rFonts w:ascii="Times New Roman" w:hAnsi="Times New Roman" w:eastAsia="宋体" w:cs="Times New Roman"/>
                <w:b w:val="0"/>
                <w:bCs w:val="0"/>
                <w:sz w:val="21"/>
                <w:szCs w:val="21"/>
              </w:rPr>
              <w:t>固定容量水，能，碳比较、论文整合、预答辩与送审</w:t>
            </w:r>
            <w:r>
              <w:rPr>
                <w:rFonts w:hint="eastAsia" w:ascii="Times New Roman" w:hAnsi="Times New Roman" w:eastAsia="宋体" w:cs="Times New Roman"/>
                <w:b w:val="0"/>
                <w:bCs w:val="0"/>
                <w:sz w:val="21"/>
                <w:szCs w:val="21"/>
                <w:lang w:val="en-US" w:eastAsia="zh-CN"/>
              </w:rPr>
              <w:t>等</w:t>
            </w:r>
          </w:p>
        </w:tc>
        <w:tc>
          <w:tcPr>
            <w:tcW w:w="2270"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1013"/>
      <w:r>
        <w:rPr>
          <w:rFonts w:hint="eastAsia" w:cs="Times New Roman"/>
          <w:b/>
          <w:bCs/>
          <w:color w:val="000000"/>
          <w:sz w:val="30"/>
          <w:szCs w:val="30"/>
          <w:lang w:val="en-US" w:eastAsia="zh-CN"/>
        </w:rPr>
        <w:t>七、</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23486"/>
      <w:r>
        <w:rPr>
          <w:rFonts w:ascii="Times New Roman" w:hAnsi="Times New Roman" w:eastAsia="黑体" w:cs="Times New Roman"/>
          <w:b/>
          <w:bCs/>
          <w:color w:val="000000"/>
          <w:sz w:val="28"/>
          <w:szCs w:val="28"/>
        </w:rPr>
        <w:t>7.1 理论、数据、软件与计算条件</w:t>
      </w:r>
      <w:bookmarkEnd w:id="51"/>
      <w:bookmarkEnd w:id="52"/>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抽象参数域（缺水—高冷负荷型、气候凉爽型、能源富集型）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等科学计算环境实现，使用版本控制记录配置和输出图表；参数扫描采用可并行批处理，结果保存为结构化表格。单个基准情景的实验可在普通工作站上完成；但容量梯度扫描、日与小时双尺度求解、城市系统状态与外部压力情景的交叉组合以及参数敏感性分析会形成较大规模的批处理任务，将在课题组服务器或校级高性能计算集群上以作业方式提交，以保证并行效率、运行可追溯与结果可复现。</w:t>
      </w:r>
    </w:p>
    <w:p w14:paraId="0A8D2CAA">
      <w:pPr>
        <w:pStyle w:val="23"/>
        <w:pageBreakBefore w:val="0"/>
        <w:ind w:firstLine="0" w:firstLineChars="0"/>
        <w:outlineLvl w:val="1"/>
      </w:pPr>
      <w:bookmarkStart w:id="53" w:name="_Toc31648"/>
      <w:bookmarkStart w:id="54" w:name="_Toc27266"/>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13747"/>
      <w:bookmarkStart w:id="56" w:name="_Toc8803"/>
      <w:r>
        <w:rPr>
          <w:rFonts w:hint="eastAsia" w:cs="Times New Roman"/>
          <w:b/>
          <w:bCs/>
          <w:color w:val="000000"/>
          <w:sz w:val="30"/>
          <w:szCs w:val="30"/>
          <w:lang w:val="en-US" w:eastAsia="zh-CN"/>
        </w:rPr>
        <w:t>八、</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反馈导致可行域非单调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19456"/>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容易在水量、水—能—碳、成本和跨城市比较之间不断扩张。研究采用“核心闭合—边界实验—扩展分析”的顺序，任何扩展模块都必须明确新增输入、输出和验证方式，且不能改变核心CAWCC的定义。按此原则，能源与碳排放不作为CAWCC的失效判据，仅以峰值电力约束进入可行域、以固定容量下的并行核算进入结果比较（见3.5）；成本函数与经济优化、以及跨参数域的精确比较均不进入核心模型，只作为讨论部分的限定说明。此外，水质过程（结垢、腐蚀与微生物控制对浓缩倍数的限制，以及再生水回用于冷却的水质要求）亦作为边界条件处理：浓缩倍数与再生水回用比例按工程可行区间外生给定，并在参数证据表中标注取值依据。因此模型回答的是"在给定水质可行区间内"的水量问题，水质与水量的双向耦合不在本研究范围内。</w:t>
      </w:r>
    </w:p>
    <w:p w14:paraId="19BE5530">
      <w:pPr>
        <w:pStyle w:val="23"/>
        <w:ind w:firstLine="0" w:firstLineChars="0"/>
        <w:outlineLvl w:val="1"/>
      </w:pPr>
      <w:bookmarkStart w:id="59" w:name="_Toc18040"/>
      <w:bookmarkStart w:id="60" w:name="_Toc25480"/>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4657"/>
      <w:bookmarkStart w:id="62" w:name="_Toc15911"/>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1097"/>
      <w:r>
        <w:rPr>
          <w:rFonts w:hint="eastAsia" w:cs="Times New Roman"/>
          <w:b/>
          <w:bCs/>
          <w:color w:val="000000"/>
          <w:sz w:val="30"/>
          <w:szCs w:val="30"/>
          <w:lang w:val="en-US" w:eastAsia="zh-CN"/>
        </w:rPr>
        <w:t>九、</w:t>
      </w:r>
      <w:r>
        <w:rPr>
          <w:rFonts w:ascii="Times New Roman" w:hAnsi="Times New Roman" w:eastAsia="黑体" w:cs="Times New Roman"/>
          <w:b/>
          <w:bCs/>
          <w:color w:val="000000"/>
          <w:sz w:val="30"/>
          <w:szCs w:val="30"/>
        </w:rPr>
        <w:t xml:space="preserve">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数据中心资源利用第6部分：水资源使用效率: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C3B6C70"/>
    <w:rsid w:val="24245A28"/>
    <w:rsid w:val="25732BA9"/>
    <w:rsid w:val="274206FA"/>
    <w:rsid w:val="2A370E04"/>
    <w:rsid w:val="3A4F678F"/>
    <w:rsid w:val="3FDE13A9"/>
    <w:rsid w:val="40D53766"/>
    <w:rsid w:val="412169AB"/>
    <w:rsid w:val="41F51365"/>
    <w:rsid w:val="45BA0A93"/>
    <w:rsid w:val="4D1063BF"/>
    <w:rsid w:val="52D42491"/>
    <w:rsid w:val="5E011E53"/>
    <w:rsid w:val="61947D36"/>
    <w:rsid w:val="62587C28"/>
    <w:rsid w:val="65E83D08"/>
    <w:rsid w:val="68C414B8"/>
    <w:rsid w:val="68DB147D"/>
    <w:rsid w:val="6CBE13CE"/>
    <w:rsid w:val="72122DAC"/>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14890</Words>
  <Characters>16226</Characters>
  <Lines>11</Lines>
  <Paragraphs>3</Paragraphs>
  <TotalTime>17</TotalTime>
  <ScaleCrop>false</ScaleCrop>
  <LinksUpToDate>false</LinksUpToDate>
  <CharactersWithSpaces>16545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2026-09-09T08:16:39Z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