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53AADF">
      <w:pPr>
        <w:jc w:val="center"/>
        <w:rPr>
          <w:rFonts w:eastAsia="楷体_GB2312"/>
          <w:b/>
          <w:spacing w:val="40"/>
          <w:sz w:val="36"/>
        </w:rPr>
      </w:pPr>
    </w:p>
    <w:p w14:paraId="059F5F2C">
      <w:pPr>
        <w:jc w:val="center"/>
        <w:rPr>
          <w:rFonts w:eastAsia="楷体_GB2312"/>
          <w:b/>
          <w:spacing w:val="40"/>
          <w:sz w:val="36"/>
        </w:rPr>
      </w:pPr>
    </w:p>
    <w:p w14:paraId="2E4ECCAA">
      <w:pPr>
        <w:jc w:val="center"/>
        <w:rPr>
          <w:rFonts w:eastAsia="楷体_GB2312"/>
          <w:b/>
          <w:spacing w:val="40"/>
          <w:sz w:val="36"/>
        </w:rPr>
      </w:pPr>
      <w:r>
        <w:rPr>
          <w:rFonts w:hint="eastAsia" w:eastAsia="楷体_GB2312"/>
          <w:b/>
          <w:spacing w:val="40"/>
          <w:sz w:val="36"/>
        </w:rPr>
        <w:t>哈尔滨工业大学</w:t>
      </w:r>
    </w:p>
    <w:p w14:paraId="3CDF352E">
      <w:pPr>
        <w:jc w:val="center"/>
        <w:rPr>
          <w:rFonts w:eastAsia="楷体_GB2312"/>
          <w:b/>
          <w:spacing w:val="40"/>
          <w:sz w:val="36"/>
        </w:rPr>
      </w:pPr>
    </w:p>
    <w:p w14:paraId="70D6AF62">
      <w:pPr>
        <w:jc w:val="center"/>
        <w:rPr>
          <w:rFonts w:ascii="Roman PS" w:hAnsi="Roman PS"/>
          <w:b/>
          <w:spacing w:val="40"/>
          <w:sz w:val="48"/>
        </w:rPr>
      </w:pPr>
      <w:r>
        <w:rPr>
          <w:rFonts w:hint="eastAsia" w:ascii="Roman PS" w:hAnsi="Roman PS"/>
          <w:b/>
          <w:spacing w:val="40"/>
          <w:sz w:val="48"/>
        </w:rPr>
        <w:t>硕士学位开题报告</w:t>
      </w:r>
    </w:p>
    <w:p w14:paraId="0FFCDC54">
      <w:pPr>
        <w:rPr>
          <w:b/>
          <w:sz w:val="32"/>
        </w:rPr>
      </w:pPr>
    </w:p>
    <w:p w14:paraId="49348755">
      <w:pPr>
        <w:jc w:val="center"/>
        <w:rPr>
          <w:b/>
          <w:sz w:val="36"/>
        </w:rPr>
      </w:pPr>
      <w:r>
        <w:rPr>
          <w:rFonts w:hint="eastAsia"/>
          <w:b/>
          <w:sz w:val="36"/>
        </w:rPr>
        <w:t>题 目：AI算力设施驱动下城市水代谢响应与承载边界的系统模拟研究</w:t>
      </w:r>
    </w:p>
    <w:p w14:paraId="5E3770EA">
      <w:pPr>
        <w:spacing w:before="240"/>
        <w:jc w:val="center"/>
        <w:rPr>
          <w:b/>
          <w:sz w:val="32"/>
        </w:rPr>
      </w:pPr>
      <w:r>
        <w:rPr>
          <w:rFonts w:hint="eastAsia"/>
          <w:b/>
          <w:sz w:val="32"/>
        </w:rPr>
        <w:t>（</w:t>
      </w:r>
      <w:r>
        <w:rPr>
          <w:rFonts w:hint="eastAsia"/>
          <w:b/>
          <w:color w:val="FF0000"/>
          <w:sz w:val="32"/>
        </w:rPr>
        <w:t>学位论文</w:t>
      </w:r>
      <w:r>
        <w:rPr>
          <w:rFonts w:hint="eastAsia"/>
          <w:b/>
          <w:sz w:val="32"/>
        </w:rPr>
        <w:t>）</w:t>
      </w:r>
    </w:p>
    <w:p w14:paraId="37FD2DEB">
      <w:pPr>
        <w:snapToGrid w:val="0"/>
        <w:spacing w:before="240" w:line="420" w:lineRule="auto"/>
        <w:ind w:left="1260"/>
        <w:rPr>
          <w:b/>
          <w:sz w:val="32"/>
          <w:u w:val="single"/>
        </w:rPr>
      </w:pPr>
      <w:r>
        <w:rPr>
          <w:rFonts w:hint="eastAsia"/>
          <w:b/>
          <w:sz w:val="32"/>
        </w:rPr>
        <w:t xml:space="preserve">学 </w:t>
      </w:r>
      <w:r>
        <w:rPr>
          <w:b/>
          <w:sz w:val="32"/>
        </w:rPr>
        <w:t xml:space="preserve">    </w:t>
      </w:r>
      <w:r>
        <w:rPr>
          <w:rFonts w:hint="eastAsia"/>
          <w:b/>
          <w:sz w:val="32"/>
        </w:rPr>
        <w:t>院（部）</w:t>
      </w:r>
      <w:r>
        <w:rPr>
          <w:rFonts w:hint="eastAsia"/>
          <w:b/>
          <w:sz w:val="32"/>
          <w:u w:val="single"/>
        </w:rPr>
        <w:t xml:space="preserve">       </w:t>
      </w:r>
      <w:r>
        <w:rPr>
          <w:rFonts w:hint="eastAsia"/>
          <w:b/>
          <w:sz w:val="32"/>
          <w:u w:val="single"/>
          <w:lang w:val="en-US" w:eastAsia="zh-CN"/>
        </w:rPr>
        <w:t>环境学院</w:t>
      </w:r>
      <w:r>
        <w:rPr>
          <w:rFonts w:hint="eastAsia"/>
          <w:b/>
          <w:sz w:val="32"/>
          <w:u w:val="single"/>
        </w:rPr>
        <w:t xml:space="preserve">        </w:t>
      </w:r>
      <w:r>
        <w:rPr>
          <w:b/>
          <w:sz w:val="32"/>
          <w:u w:val="single"/>
        </w:rPr>
        <w:t xml:space="preserve"> </w:t>
      </w:r>
      <w:r>
        <w:rPr>
          <w:rFonts w:hint="eastAsia"/>
          <w:b/>
          <w:sz w:val="32"/>
          <w:u w:val="single"/>
        </w:rPr>
        <w:t xml:space="preserve">  </w:t>
      </w:r>
    </w:p>
    <w:p w14:paraId="34562F83">
      <w:pPr>
        <w:snapToGrid w:val="0"/>
        <w:spacing w:line="420" w:lineRule="auto"/>
        <w:ind w:left="1260" w:right="-9"/>
        <w:rPr>
          <w:b/>
          <w:sz w:val="32"/>
          <w:u w:val="single"/>
        </w:rPr>
      </w:pPr>
      <w:r>
        <w:rPr>
          <w:rFonts w:hint="eastAsia"/>
          <w:b/>
          <w:sz w:val="32"/>
        </w:rPr>
        <w:t>学科/专业学位类别</w:t>
      </w:r>
      <w:r>
        <w:rPr>
          <w:rFonts w:hint="eastAsia"/>
          <w:b/>
          <w:sz w:val="32"/>
          <w:u w:val="single"/>
        </w:rPr>
        <w:t xml:space="preserve">     </w:t>
      </w:r>
      <w:r>
        <w:rPr>
          <w:rFonts w:hint="eastAsia"/>
          <w:b/>
          <w:sz w:val="32"/>
          <w:u w:val="single"/>
          <w:lang w:val="en-US" w:eastAsia="zh-CN"/>
        </w:rPr>
        <w:t>资源与环境</w:t>
      </w:r>
      <w:r>
        <w:rPr>
          <w:rFonts w:hint="eastAsia"/>
          <w:b/>
          <w:sz w:val="32"/>
          <w:u w:val="single"/>
        </w:rPr>
        <w:t xml:space="preserve">          </w:t>
      </w:r>
    </w:p>
    <w:p w14:paraId="07726696">
      <w:pPr>
        <w:snapToGrid w:val="0"/>
        <w:spacing w:line="420" w:lineRule="auto"/>
        <w:ind w:left="1260"/>
        <w:rPr>
          <w:b/>
          <w:sz w:val="32"/>
          <w:u w:val="single"/>
        </w:rPr>
      </w:pPr>
      <w:r>
        <w:rPr>
          <w:rFonts w:hint="eastAsia"/>
          <w:b/>
          <w:sz w:val="32"/>
        </w:rPr>
        <w:t>导        师</w:t>
      </w:r>
      <w:r>
        <w:rPr>
          <w:rFonts w:hint="eastAsia"/>
          <w:b/>
          <w:sz w:val="32"/>
          <w:u w:val="single"/>
        </w:rPr>
        <w:t xml:space="preserve">          </w:t>
      </w:r>
      <w:r>
        <w:rPr>
          <w:rFonts w:hint="eastAsia"/>
          <w:b/>
          <w:sz w:val="32"/>
          <w:u w:val="single"/>
          <w:lang w:val="en-US" w:eastAsia="zh-CN"/>
        </w:rPr>
        <w:t>白舜文</w:t>
      </w:r>
      <w:r>
        <w:rPr>
          <w:b/>
          <w:sz w:val="32"/>
          <w:u w:val="single"/>
        </w:rPr>
        <w:t xml:space="preserve">    </w:t>
      </w:r>
      <w:r>
        <w:rPr>
          <w:rFonts w:hint="eastAsia"/>
          <w:b/>
          <w:sz w:val="32"/>
          <w:u w:val="single"/>
        </w:rPr>
        <w:t xml:space="preserve">         </w:t>
      </w:r>
    </w:p>
    <w:p w14:paraId="08950076">
      <w:pPr>
        <w:snapToGrid w:val="0"/>
        <w:spacing w:line="420" w:lineRule="auto"/>
        <w:ind w:left="1260" w:right="-9"/>
        <w:rPr>
          <w:b/>
          <w:sz w:val="32"/>
          <w:u w:val="single"/>
        </w:rPr>
      </w:pPr>
      <w:r>
        <w:rPr>
          <w:rFonts w:hint="eastAsia"/>
          <w:b/>
          <w:sz w:val="32"/>
        </w:rPr>
        <w:t>研   究   生</w:t>
      </w:r>
      <w:r>
        <w:rPr>
          <w:rFonts w:hint="eastAsia"/>
          <w:b/>
          <w:sz w:val="32"/>
          <w:u w:val="single"/>
        </w:rPr>
        <w:t xml:space="preserve">          </w:t>
      </w:r>
      <w:r>
        <w:rPr>
          <w:rFonts w:hint="eastAsia"/>
          <w:b/>
          <w:sz w:val="32"/>
          <w:u w:val="single"/>
          <w:lang w:val="en-US" w:eastAsia="zh-CN"/>
        </w:rPr>
        <w:t>邵敬哲</w:t>
      </w:r>
      <w:r>
        <w:rPr>
          <w:b/>
          <w:sz w:val="32"/>
          <w:u w:val="single"/>
        </w:rPr>
        <w:t xml:space="preserve"> </w:t>
      </w:r>
      <w:r>
        <w:rPr>
          <w:rFonts w:hint="eastAsia"/>
          <w:b/>
          <w:sz w:val="32"/>
          <w:u w:val="single"/>
        </w:rPr>
        <w:t xml:space="preserve">            </w:t>
      </w:r>
    </w:p>
    <w:p w14:paraId="30B6FB4D">
      <w:pPr>
        <w:snapToGrid w:val="0"/>
        <w:spacing w:line="420" w:lineRule="auto"/>
        <w:ind w:left="1260"/>
        <w:rPr>
          <w:b/>
          <w:sz w:val="32"/>
          <w:u w:val="single"/>
        </w:rPr>
      </w:pPr>
      <w:r>
        <w:rPr>
          <w:rFonts w:hint="eastAsia"/>
          <w:b/>
          <w:spacing w:val="12"/>
          <w:sz w:val="32"/>
        </w:rPr>
        <w:t>学       号</w:t>
      </w:r>
      <w:r>
        <w:rPr>
          <w:rFonts w:hint="eastAsia"/>
          <w:b/>
          <w:sz w:val="32"/>
          <w:u w:val="single"/>
        </w:rPr>
        <w:t xml:space="preserve">         </w:t>
      </w:r>
      <w:r>
        <w:rPr>
          <w:rFonts w:hint="eastAsia"/>
          <w:b/>
          <w:sz w:val="32"/>
          <w:u w:val="single"/>
          <w:lang w:val="en-US" w:eastAsia="zh-CN"/>
        </w:rPr>
        <w:t>24S129122</w:t>
      </w:r>
      <w:r>
        <w:rPr>
          <w:rFonts w:hint="eastAsia"/>
          <w:b/>
          <w:sz w:val="32"/>
          <w:u w:val="single"/>
        </w:rPr>
        <w:t xml:space="preserve">          </w:t>
      </w:r>
    </w:p>
    <w:p w14:paraId="062D1D41">
      <w:pPr>
        <w:snapToGrid w:val="0"/>
        <w:spacing w:line="420" w:lineRule="auto"/>
        <w:ind w:left="1260"/>
        <w:rPr>
          <w:b/>
          <w:sz w:val="32"/>
          <w:u w:val="single"/>
        </w:rPr>
      </w:pPr>
      <w:r>
        <w:rPr>
          <w:rFonts w:hint="eastAsia"/>
          <w:b/>
          <w:sz w:val="32"/>
        </w:rPr>
        <w:t>开题报告日期</w:t>
      </w:r>
      <w:r>
        <w:rPr>
          <w:rFonts w:hint="eastAsia"/>
          <w:b/>
          <w:sz w:val="32"/>
          <w:u w:val="single"/>
        </w:rPr>
        <w:t xml:space="preserve">         </w:t>
      </w:r>
      <w:r>
        <w:rPr>
          <w:rFonts w:hint="eastAsia"/>
          <w:b/>
          <w:sz w:val="32"/>
          <w:u w:val="single"/>
          <w:lang w:val="en-US" w:eastAsia="zh-CN"/>
        </w:rPr>
        <w:t>2026.9.11</w:t>
      </w:r>
      <w:r>
        <w:rPr>
          <w:rFonts w:hint="eastAsia"/>
          <w:b/>
          <w:sz w:val="32"/>
          <w:u w:val="single"/>
        </w:rPr>
        <w:t xml:space="preserve">            </w:t>
      </w:r>
    </w:p>
    <w:p w14:paraId="14D5854C">
      <w:pPr>
        <w:snapToGrid w:val="0"/>
        <w:spacing w:line="300" w:lineRule="auto"/>
        <w:rPr>
          <w:b/>
          <w:sz w:val="32"/>
        </w:rPr>
      </w:pPr>
    </w:p>
    <w:p w14:paraId="5E678036">
      <w:pPr>
        <w:snapToGrid w:val="0"/>
        <w:spacing w:line="300" w:lineRule="auto"/>
        <w:rPr>
          <w:b/>
          <w:sz w:val="32"/>
        </w:rPr>
      </w:pPr>
    </w:p>
    <w:p w14:paraId="43AE7C05">
      <w:pPr>
        <w:snapToGrid w:val="0"/>
        <w:spacing w:line="300" w:lineRule="auto"/>
        <w:rPr>
          <w:b/>
          <w:sz w:val="32"/>
        </w:rPr>
      </w:pPr>
    </w:p>
    <w:p w14:paraId="17D8B4F2">
      <w:pPr>
        <w:snapToGrid w:val="0"/>
        <w:spacing w:line="300" w:lineRule="auto"/>
        <w:rPr>
          <w:b/>
          <w:sz w:val="32"/>
        </w:rPr>
      </w:pPr>
    </w:p>
    <w:p w14:paraId="1BCB04AE">
      <w:pPr>
        <w:snapToGrid w:val="0"/>
        <w:spacing w:line="300" w:lineRule="auto"/>
        <w:rPr>
          <w:b/>
          <w:sz w:val="32"/>
        </w:rPr>
      </w:pPr>
    </w:p>
    <w:p w14:paraId="191BA153">
      <w:pPr>
        <w:jc w:val="center"/>
        <w:rPr>
          <w:b/>
          <w:sz w:val="32"/>
        </w:rPr>
      </w:pPr>
      <w:r>
        <w:rPr>
          <w:rFonts w:hint="eastAsia"/>
          <w:b/>
          <w:sz w:val="32"/>
        </w:rPr>
        <w:t>研究生院制</w:t>
      </w:r>
    </w:p>
    <w:p w14:paraId="3B34FD92">
      <w:pPr>
        <w:spacing w:before="0" w:beforeLines="0" w:after="0" w:afterLines="0" w:line="240" w:lineRule="auto"/>
        <w:ind w:left="0" w:leftChars="0" w:right="0" w:rightChars="0" w:firstLine="0" w:firstLineChars="0"/>
        <w:jc w:val="center"/>
        <w:rPr>
          <w:rFonts w:hint="eastAsia" w:ascii="黑体" w:hAnsi="黑体" w:eastAsia="黑体" w:cs="黑体"/>
          <w:b/>
          <w:bCs/>
          <w:sz w:val="40"/>
          <w:szCs w:val="48"/>
        </w:rPr>
      </w:pPr>
    </w:p>
    <w:p w14:paraId="01DB1C1A">
      <w:pPr>
        <w:spacing w:before="0" w:beforeLines="0" w:after="0" w:afterLines="0" w:line="240" w:lineRule="auto"/>
        <w:ind w:left="0" w:leftChars="0" w:right="0" w:rightChars="0" w:firstLine="0" w:firstLineChars="0"/>
        <w:jc w:val="center"/>
        <w:rPr>
          <w:rFonts w:hint="eastAsia" w:ascii="黑体" w:hAnsi="黑体" w:eastAsia="黑体" w:cs="黑体"/>
          <w:b/>
          <w:bCs/>
          <w:sz w:val="40"/>
          <w:szCs w:val="48"/>
        </w:rPr>
      </w:pPr>
    </w:p>
    <w:p w14:paraId="28C8867F">
      <w:pPr>
        <w:spacing w:before="0" w:beforeLines="0" w:after="0" w:afterLines="0" w:line="240" w:lineRule="auto"/>
        <w:ind w:left="0" w:leftChars="0" w:right="0" w:rightChars="0" w:firstLine="0" w:firstLineChars="0"/>
        <w:jc w:val="center"/>
        <w:rPr>
          <w:rFonts w:hint="eastAsia" w:ascii="黑体" w:hAnsi="黑体" w:eastAsia="黑体" w:cs="黑体"/>
          <w:b/>
          <w:bCs/>
          <w:sz w:val="48"/>
          <w:szCs w:val="48"/>
        </w:rPr>
      </w:pPr>
      <w:r>
        <w:rPr>
          <w:rFonts w:hint="eastAsia" w:ascii="黑体" w:hAnsi="黑体" w:eastAsia="黑体" w:cs="黑体"/>
          <w:b/>
          <w:bCs/>
          <w:sz w:val="40"/>
          <w:szCs w:val="48"/>
        </w:rPr>
        <w:t>目录</w:t>
      </w:r>
    </w:p>
    <w:p w14:paraId="403F1CA4">
      <w:pPr>
        <w:pStyle w:val="11"/>
        <w:tabs>
          <w:tab w:val="right" w:leader="dot" w:pos="9075"/>
        </w:tabs>
      </w:pPr>
      <w:r>
        <w:fldChar w:fldCharType="begin"/>
      </w:r>
      <w:r>
        <w:instrText xml:space="preserve"> TOC \o "1-3" \h \z \u </w:instrText>
      </w:r>
      <w:r>
        <w:fldChar w:fldCharType="separate"/>
      </w:r>
      <w:r>
        <w:fldChar w:fldCharType="begin"/>
      </w:r>
      <w:r>
        <w:instrText xml:space="preserve"> HYPERLINK \l _Toc30407 </w:instrText>
      </w:r>
      <w:r>
        <w:fldChar w:fldCharType="separate"/>
      </w:r>
      <w:r>
        <w:rPr>
          <w:rFonts w:hint="eastAsia" w:cs="Times New Roman"/>
          <w:bCs/>
          <w:szCs w:val="30"/>
          <w:lang w:val="en-US" w:eastAsia="zh-CN"/>
        </w:rPr>
        <w:t>一、</w:t>
      </w:r>
      <w:r>
        <w:rPr>
          <w:rFonts w:ascii="Times New Roman" w:hAnsi="Times New Roman" w:eastAsia="黑体" w:cs="Times New Roman"/>
          <w:bCs/>
          <w:szCs w:val="30"/>
        </w:rPr>
        <w:t xml:space="preserve"> 课题来源及研究目的和意义</w:t>
      </w:r>
      <w:r>
        <w:tab/>
      </w:r>
      <w:r>
        <w:fldChar w:fldCharType="begin"/>
      </w:r>
      <w:r>
        <w:instrText xml:space="preserve"> PAGEREF _Toc30407 \h </w:instrText>
      </w:r>
      <w:r>
        <w:fldChar w:fldCharType="separate"/>
      </w:r>
      <w:r>
        <w:t>4</w:t>
      </w:r>
      <w:r>
        <w:fldChar w:fldCharType="end"/>
      </w:r>
      <w:r>
        <w:fldChar w:fldCharType="end"/>
      </w:r>
    </w:p>
    <w:p w14:paraId="3F47D37E">
      <w:pPr>
        <w:pStyle w:val="12"/>
        <w:tabs>
          <w:tab w:val="right" w:leader="dot" w:pos="9075"/>
        </w:tabs>
      </w:pPr>
      <w:r>
        <w:fldChar w:fldCharType="begin"/>
      </w:r>
      <w:r>
        <w:instrText xml:space="preserve"> HYPERLINK \l _Toc25022 </w:instrText>
      </w:r>
      <w:r>
        <w:fldChar w:fldCharType="separate"/>
      </w:r>
      <w:r>
        <w:rPr>
          <w:rFonts w:ascii="Times New Roman" w:hAnsi="Times New Roman" w:eastAsia="黑体" w:cs="Times New Roman"/>
          <w:bCs/>
          <w:szCs w:val="28"/>
        </w:rPr>
        <w:t>1.1 课题来源</w:t>
      </w:r>
      <w:r>
        <w:tab/>
      </w:r>
      <w:r>
        <w:fldChar w:fldCharType="begin"/>
      </w:r>
      <w:r>
        <w:instrText xml:space="preserve"> PAGEREF _Toc25022 \h </w:instrText>
      </w:r>
      <w:r>
        <w:fldChar w:fldCharType="separate"/>
      </w:r>
      <w:r>
        <w:t>4</w:t>
      </w:r>
      <w:r>
        <w:fldChar w:fldCharType="end"/>
      </w:r>
      <w:r>
        <w:fldChar w:fldCharType="end"/>
      </w:r>
    </w:p>
    <w:p w14:paraId="5E76E06C">
      <w:pPr>
        <w:pStyle w:val="12"/>
        <w:tabs>
          <w:tab w:val="right" w:leader="dot" w:pos="9075"/>
        </w:tabs>
      </w:pPr>
      <w:r>
        <w:fldChar w:fldCharType="begin"/>
      </w:r>
      <w:r>
        <w:instrText xml:space="preserve"> HYPERLINK \l _Toc11778 </w:instrText>
      </w:r>
      <w:r>
        <w:fldChar w:fldCharType="separate"/>
      </w:r>
      <w:r>
        <w:rPr>
          <w:rFonts w:ascii="Times New Roman" w:hAnsi="Times New Roman" w:eastAsia="黑体" w:cs="Times New Roman"/>
          <w:bCs/>
          <w:szCs w:val="28"/>
        </w:rPr>
        <w:t>1.2 课题研究目的和意义</w:t>
      </w:r>
      <w:r>
        <w:tab/>
      </w:r>
      <w:r>
        <w:fldChar w:fldCharType="begin"/>
      </w:r>
      <w:r>
        <w:instrText xml:space="preserve"> PAGEREF _Toc11778 \h </w:instrText>
      </w:r>
      <w:r>
        <w:fldChar w:fldCharType="separate"/>
      </w:r>
      <w:r>
        <w:t>4</w:t>
      </w:r>
      <w:r>
        <w:fldChar w:fldCharType="end"/>
      </w:r>
      <w:r>
        <w:fldChar w:fldCharType="end"/>
      </w:r>
    </w:p>
    <w:p w14:paraId="250C517B">
      <w:pPr>
        <w:pStyle w:val="11"/>
        <w:tabs>
          <w:tab w:val="right" w:leader="dot" w:pos="9075"/>
        </w:tabs>
      </w:pPr>
      <w:r>
        <w:fldChar w:fldCharType="begin"/>
      </w:r>
      <w:r>
        <w:instrText xml:space="preserve"> HYPERLINK \l _Toc12842 </w:instrText>
      </w:r>
      <w:r>
        <w:fldChar w:fldCharType="separate"/>
      </w:r>
      <w:r>
        <w:rPr>
          <w:rFonts w:hint="eastAsia" w:cs="Times New Roman"/>
          <w:bCs/>
          <w:szCs w:val="30"/>
          <w:lang w:val="en-US" w:eastAsia="zh-CN"/>
        </w:rPr>
        <w:t>二、</w:t>
      </w:r>
      <w:r>
        <w:rPr>
          <w:rFonts w:ascii="Times New Roman" w:hAnsi="Times New Roman" w:eastAsia="黑体" w:cs="Times New Roman"/>
          <w:bCs/>
          <w:szCs w:val="30"/>
        </w:rPr>
        <w:t xml:space="preserve"> 国内外研究现状及分析</w:t>
      </w:r>
      <w:r>
        <w:tab/>
      </w:r>
      <w:r>
        <w:fldChar w:fldCharType="begin"/>
      </w:r>
      <w:r>
        <w:instrText xml:space="preserve"> PAGEREF _Toc12842 \h </w:instrText>
      </w:r>
      <w:r>
        <w:fldChar w:fldCharType="separate"/>
      </w:r>
      <w:r>
        <w:t>6</w:t>
      </w:r>
      <w:r>
        <w:fldChar w:fldCharType="end"/>
      </w:r>
      <w:r>
        <w:fldChar w:fldCharType="end"/>
      </w:r>
    </w:p>
    <w:p w14:paraId="196ADD41">
      <w:pPr>
        <w:pStyle w:val="12"/>
        <w:tabs>
          <w:tab w:val="right" w:leader="dot" w:pos="9075"/>
        </w:tabs>
      </w:pPr>
      <w:r>
        <w:fldChar w:fldCharType="begin"/>
      </w:r>
      <w:r>
        <w:instrText xml:space="preserve"> HYPERLINK \l _Toc31110 </w:instrText>
      </w:r>
      <w:r>
        <w:fldChar w:fldCharType="separate"/>
      </w:r>
      <w:r>
        <w:rPr>
          <w:rFonts w:ascii="Times New Roman" w:hAnsi="Times New Roman" w:eastAsia="黑体" w:cs="Times New Roman"/>
          <w:bCs/>
          <w:szCs w:val="28"/>
        </w:rPr>
        <w:t>2.1 国外研究现状</w:t>
      </w:r>
      <w:r>
        <w:tab/>
      </w:r>
      <w:r>
        <w:fldChar w:fldCharType="begin"/>
      </w:r>
      <w:r>
        <w:instrText xml:space="preserve"> PAGEREF _Toc31110 \h </w:instrText>
      </w:r>
      <w:r>
        <w:fldChar w:fldCharType="separate"/>
      </w:r>
      <w:r>
        <w:t>6</w:t>
      </w:r>
      <w:r>
        <w:fldChar w:fldCharType="end"/>
      </w:r>
      <w:r>
        <w:fldChar w:fldCharType="end"/>
      </w:r>
    </w:p>
    <w:p w14:paraId="6113B5CE">
      <w:pPr>
        <w:pStyle w:val="5"/>
        <w:tabs>
          <w:tab w:val="right" w:leader="dot" w:pos="9075"/>
        </w:tabs>
      </w:pPr>
      <w:r>
        <w:fldChar w:fldCharType="begin"/>
      </w:r>
      <w:r>
        <w:instrText xml:space="preserve"> HYPERLINK \l _Toc15333 </w:instrText>
      </w:r>
      <w:r>
        <w:fldChar w:fldCharType="separate"/>
      </w:r>
      <w:r>
        <w:rPr>
          <w:rFonts w:ascii="Times New Roman" w:hAnsi="Times New Roman" w:eastAsia="黑体" w:cs="Times New Roman"/>
          <w:bCs/>
          <w:szCs w:val="24"/>
        </w:rPr>
        <w:t>2.1.1 城市代谢与综合城市水系统</w:t>
      </w:r>
      <w:r>
        <w:tab/>
      </w:r>
      <w:r>
        <w:fldChar w:fldCharType="begin"/>
      </w:r>
      <w:r>
        <w:instrText xml:space="preserve"> PAGEREF _Toc15333 \h </w:instrText>
      </w:r>
      <w:r>
        <w:fldChar w:fldCharType="separate"/>
      </w:r>
      <w:r>
        <w:t>6</w:t>
      </w:r>
      <w:r>
        <w:fldChar w:fldCharType="end"/>
      </w:r>
      <w:r>
        <w:fldChar w:fldCharType="end"/>
      </w:r>
    </w:p>
    <w:p w14:paraId="44438A01">
      <w:pPr>
        <w:pStyle w:val="5"/>
        <w:tabs>
          <w:tab w:val="right" w:leader="dot" w:pos="9075"/>
        </w:tabs>
      </w:pPr>
      <w:r>
        <w:fldChar w:fldCharType="begin"/>
      </w:r>
      <w:r>
        <w:instrText xml:space="preserve"> HYPERLINK \l _Toc12190 </w:instrText>
      </w:r>
      <w:r>
        <w:fldChar w:fldCharType="separate"/>
      </w:r>
      <w:r>
        <w:rPr>
          <w:rFonts w:ascii="Times New Roman" w:hAnsi="Times New Roman" w:eastAsia="黑体" w:cs="Times New Roman"/>
          <w:bCs/>
          <w:szCs w:val="24"/>
        </w:rPr>
        <w:t>2.1.2 城市水，能，碳关系</w:t>
      </w:r>
      <w:r>
        <w:tab/>
      </w:r>
      <w:r>
        <w:fldChar w:fldCharType="begin"/>
      </w:r>
      <w:r>
        <w:instrText xml:space="preserve"> PAGEREF _Toc12190 \h </w:instrText>
      </w:r>
      <w:r>
        <w:fldChar w:fldCharType="separate"/>
      </w:r>
      <w:r>
        <w:t>6</w:t>
      </w:r>
      <w:r>
        <w:fldChar w:fldCharType="end"/>
      </w:r>
      <w:r>
        <w:fldChar w:fldCharType="end"/>
      </w:r>
    </w:p>
    <w:p w14:paraId="14BE225D">
      <w:pPr>
        <w:pStyle w:val="5"/>
        <w:tabs>
          <w:tab w:val="right" w:leader="dot" w:pos="9075"/>
        </w:tabs>
      </w:pPr>
      <w:r>
        <w:fldChar w:fldCharType="begin"/>
      </w:r>
      <w:r>
        <w:instrText xml:space="preserve"> HYPERLINK \l _Toc22370 </w:instrText>
      </w:r>
      <w:r>
        <w:fldChar w:fldCharType="separate"/>
      </w:r>
      <w:r>
        <w:rPr>
          <w:rFonts w:ascii="Times New Roman" w:hAnsi="Times New Roman" w:eastAsia="黑体" w:cs="Times New Roman"/>
          <w:bCs/>
          <w:szCs w:val="24"/>
        </w:rPr>
        <w:t>2.1.3 AI与数据中心资源环境足迹</w:t>
      </w:r>
      <w:r>
        <w:tab/>
      </w:r>
      <w:r>
        <w:fldChar w:fldCharType="begin"/>
      </w:r>
      <w:r>
        <w:instrText xml:space="preserve"> PAGEREF _Toc22370 \h </w:instrText>
      </w:r>
      <w:r>
        <w:fldChar w:fldCharType="separate"/>
      </w:r>
      <w:r>
        <w:t>6</w:t>
      </w:r>
      <w:r>
        <w:fldChar w:fldCharType="end"/>
      </w:r>
      <w:r>
        <w:fldChar w:fldCharType="end"/>
      </w:r>
    </w:p>
    <w:p w14:paraId="11D4C7C1">
      <w:pPr>
        <w:pStyle w:val="5"/>
        <w:tabs>
          <w:tab w:val="right" w:leader="dot" w:pos="9075"/>
        </w:tabs>
      </w:pPr>
      <w:r>
        <w:fldChar w:fldCharType="begin"/>
      </w:r>
      <w:r>
        <w:instrText xml:space="preserve"> HYPERLINK \l _Toc31998 </w:instrText>
      </w:r>
      <w:r>
        <w:fldChar w:fldCharType="separate"/>
      </w:r>
      <w:r>
        <w:rPr>
          <w:rFonts w:ascii="Times New Roman" w:hAnsi="Times New Roman" w:eastAsia="黑体" w:cs="Times New Roman"/>
          <w:bCs/>
          <w:szCs w:val="24"/>
        </w:rPr>
        <w:t>2.1.4 冷却与再生水工程</w:t>
      </w:r>
      <w:r>
        <w:tab/>
      </w:r>
      <w:r>
        <w:fldChar w:fldCharType="begin"/>
      </w:r>
      <w:r>
        <w:instrText xml:space="preserve"> PAGEREF _Toc31998 \h </w:instrText>
      </w:r>
      <w:r>
        <w:fldChar w:fldCharType="separate"/>
      </w:r>
      <w:r>
        <w:t>7</w:t>
      </w:r>
      <w:r>
        <w:fldChar w:fldCharType="end"/>
      </w:r>
      <w:r>
        <w:fldChar w:fldCharType="end"/>
      </w:r>
    </w:p>
    <w:p w14:paraId="021F9CB2">
      <w:pPr>
        <w:pStyle w:val="5"/>
        <w:tabs>
          <w:tab w:val="right" w:leader="dot" w:pos="9075"/>
        </w:tabs>
      </w:pPr>
      <w:r>
        <w:fldChar w:fldCharType="begin"/>
      </w:r>
      <w:r>
        <w:instrText xml:space="preserve"> HYPERLINK \l _Toc1125 </w:instrText>
      </w:r>
      <w:r>
        <w:fldChar w:fldCharType="separate"/>
      </w:r>
      <w:r>
        <w:rPr>
          <w:rFonts w:ascii="Times New Roman" w:hAnsi="Times New Roman" w:eastAsia="黑体" w:cs="Times New Roman"/>
          <w:bCs/>
          <w:szCs w:val="24"/>
        </w:rPr>
        <w:t>2.1.5 可靠性与不确定性决策方法</w:t>
      </w:r>
      <w:r>
        <w:tab/>
      </w:r>
      <w:r>
        <w:fldChar w:fldCharType="begin"/>
      </w:r>
      <w:r>
        <w:instrText xml:space="preserve"> PAGEREF _Toc1125 \h </w:instrText>
      </w:r>
      <w:r>
        <w:fldChar w:fldCharType="separate"/>
      </w:r>
      <w:r>
        <w:t>7</w:t>
      </w:r>
      <w:r>
        <w:fldChar w:fldCharType="end"/>
      </w:r>
      <w:r>
        <w:fldChar w:fldCharType="end"/>
      </w:r>
    </w:p>
    <w:p w14:paraId="3069AE14">
      <w:pPr>
        <w:pStyle w:val="12"/>
        <w:tabs>
          <w:tab w:val="right" w:leader="dot" w:pos="9075"/>
        </w:tabs>
      </w:pPr>
      <w:r>
        <w:fldChar w:fldCharType="begin"/>
      </w:r>
      <w:r>
        <w:instrText xml:space="preserve"> HYPERLINK \l _Toc22702 </w:instrText>
      </w:r>
      <w:r>
        <w:fldChar w:fldCharType="separate"/>
      </w:r>
      <w:r>
        <w:rPr>
          <w:rFonts w:ascii="Times New Roman" w:hAnsi="Times New Roman" w:eastAsia="黑体" w:cs="Times New Roman"/>
          <w:bCs/>
          <w:szCs w:val="28"/>
        </w:rPr>
        <w:t>2.2 国内研究现状</w:t>
      </w:r>
      <w:r>
        <w:tab/>
      </w:r>
      <w:r>
        <w:fldChar w:fldCharType="begin"/>
      </w:r>
      <w:r>
        <w:instrText xml:space="preserve"> PAGEREF _Toc22702 \h </w:instrText>
      </w:r>
      <w:r>
        <w:fldChar w:fldCharType="separate"/>
      </w:r>
      <w:r>
        <w:t>7</w:t>
      </w:r>
      <w:r>
        <w:fldChar w:fldCharType="end"/>
      </w:r>
      <w:r>
        <w:fldChar w:fldCharType="end"/>
      </w:r>
    </w:p>
    <w:p w14:paraId="213A5716">
      <w:pPr>
        <w:pStyle w:val="12"/>
        <w:tabs>
          <w:tab w:val="right" w:leader="dot" w:pos="9075"/>
        </w:tabs>
      </w:pPr>
      <w:r>
        <w:fldChar w:fldCharType="begin"/>
      </w:r>
      <w:r>
        <w:instrText xml:space="preserve"> HYPERLINK \l _Toc25288 </w:instrText>
      </w:r>
      <w:r>
        <w:fldChar w:fldCharType="separate"/>
      </w:r>
      <w:r>
        <w:rPr>
          <w:rFonts w:ascii="Times New Roman" w:hAnsi="Times New Roman" w:eastAsia="黑体" w:cs="Times New Roman"/>
          <w:bCs/>
          <w:szCs w:val="28"/>
        </w:rPr>
        <w:t>2.3 国内外文献综述简析</w:t>
      </w:r>
      <w:r>
        <w:tab/>
      </w:r>
      <w:r>
        <w:fldChar w:fldCharType="begin"/>
      </w:r>
      <w:r>
        <w:instrText xml:space="preserve"> PAGEREF _Toc25288 \h </w:instrText>
      </w:r>
      <w:r>
        <w:fldChar w:fldCharType="separate"/>
      </w:r>
      <w:r>
        <w:t>8</w:t>
      </w:r>
      <w:r>
        <w:fldChar w:fldCharType="end"/>
      </w:r>
      <w:r>
        <w:fldChar w:fldCharType="end"/>
      </w:r>
    </w:p>
    <w:p w14:paraId="53DC7EE8">
      <w:pPr>
        <w:pStyle w:val="11"/>
        <w:tabs>
          <w:tab w:val="right" w:leader="dot" w:pos="9075"/>
        </w:tabs>
      </w:pPr>
      <w:r>
        <w:fldChar w:fldCharType="begin"/>
      </w:r>
      <w:r>
        <w:instrText xml:space="preserve"> HYPERLINK \l _Toc7247 </w:instrText>
      </w:r>
      <w:r>
        <w:fldChar w:fldCharType="separate"/>
      </w:r>
      <w:r>
        <w:rPr>
          <w:rFonts w:hint="eastAsia" w:cs="Times New Roman"/>
          <w:bCs/>
          <w:szCs w:val="30"/>
          <w:lang w:val="en-US" w:eastAsia="zh-CN"/>
        </w:rPr>
        <w:t>三、</w:t>
      </w:r>
      <w:r>
        <w:rPr>
          <w:rFonts w:ascii="Times New Roman" w:hAnsi="Times New Roman" w:eastAsia="黑体" w:cs="Times New Roman"/>
          <w:bCs/>
          <w:szCs w:val="30"/>
        </w:rPr>
        <w:t xml:space="preserve"> 主要内容及方案</w:t>
      </w:r>
      <w:r>
        <w:tab/>
      </w:r>
      <w:r>
        <w:fldChar w:fldCharType="begin"/>
      </w:r>
      <w:r>
        <w:instrText xml:space="preserve"> PAGEREF _Toc7247 \h </w:instrText>
      </w:r>
      <w:r>
        <w:fldChar w:fldCharType="separate"/>
      </w:r>
      <w:r>
        <w:t>9</w:t>
      </w:r>
      <w:r>
        <w:fldChar w:fldCharType="end"/>
      </w:r>
      <w:r>
        <w:fldChar w:fldCharType="end"/>
      </w:r>
    </w:p>
    <w:p w14:paraId="0766E1CC">
      <w:pPr>
        <w:pStyle w:val="12"/>
        <w:tabs>
          <w:tab w:val="right" w:leader="dot" w:pos="9075"/>
        </w:tabs>
      </w:pPr>
      <w:r>
        <w:fldChar w:fldCharType="begin"/>
      </w:r>
      <w:r>
        <w:instrText xml:space="preserve"> HYPERLINK \l _Toc25128 </w:instrText>
      </w:r>
      <w:r>
        <w:fldChar w:fldCharType="separate"/>
      </w:r>
      <w:r>
        <w:rPr>
          <w:rFonts w:ascii="Times New Roman" w:hAnsi="Times New Roman" w:eastAsia="黑体" w:cs="Times New Roman"/>
          <w:bCs/>
          <w:szCs w:val="28"/>
        </w:rPr>
        <w:t>3.1 科学问题与研究假设</w:t>
      </w:r>
      <w:r>
        <w:tab/>
      </w:r>
      <w:r>
        <w:fldChar w:fldCharType="begin"/>
      </w:r>
      <w:r>
        <w:instrText xml:space="preserve"> PAGEREF _Toc25128 \h </w:instrText>
      </w:r>
      <w:r>
        <w:fldChar w:fldCharType="separate"/>
      </w:r>
      <w:r>
        <w:t>9</w:t>
      </w:r>
      <w:r>
        <w:fldChar w:fldCharType="end"/>
      </w:r>
      <w:r>
        <w:fldChar w:fldCharType="end"/>
      </w:r>
    </w:p>
    <w:p w14:paraId="6D58618A">
      <w:pPr>
        <w:pStyle w:val="12"/>
        <w:tabs>
          <w:tab w:val="right" w:leader="dot" w:pos="9075"/>
        </w:tabs>
      </w:pPr>
      <w:r>
        <w:fldChar w:fldCharType="begin"/>
      </w:r>
      <w:r>
        <w:instrText xml:space="preserve"> HYPERLINK \l _Toc2945 </w:instrText>
      </w:r>
      <w:r>
        <w:fldChar w:fldCharType="separate"/>
      </w:r>
      <w:r>
        <w:rPr>
          <w:rFonts w:ascii="Times New Roman" w:hAnsi="Times New Roman" w:eastAsia="黑体" w:cs="Times New Roman"/>
          <w:bCs/>
          <w:szCs w:val="28"/>
        </w:rPr>
        <w:t>3.2 研究内容与总体框架</w:t>
      </w:r>
      <w:r>
        <w:tab/>
      </w:r>
      <w:r>
        <w:fldChar w:fldCharType="begin"/>
      </w:r>
      <w:r>
        <w:instrText xml:space="preserve"> PAGEREF _Toc2945 \h </w:instrText>
      </w:r>
      <w:r>
        <w:fldChar w:fldCharType="separate"/>
      </w:r>
      <w:r>
        <w:t>10</w:t>
      </w:r>
      <w:r>
        <w:fldChar w:fldCharType="end"/>
      </w:r>
      <w:r>
        <w:fldChar w:fldCharType="end"/>
      </w:r>
    </w:p>
    <w:p w14:paraId="09F8C0C0">
      <w:pPr>
        <w:pStyle w:val="12"/>
        <w:tabs>
          <w:tab w:val="right" w:leader="dot" w:pos="9075"/>
        </w:tabs>
      </w:pPr>
      <w:r>
        <w:fldChar w:fldCharType="begin"/>
      </w:r>
      <w:r>
        <w:instrText xml:space="preserve"> HYPERLINK \l _Toc26683 </w:instrText>
      </w:r>
      <w:r>
        <w:fldChar w:fldCharType="separate"/>
      </w:r>
      <w:r>
        <w:rPr>
          <w:rFonts w:ascii="Times New Roman" w:hAnsi="Times New Roman" w:eastAsia="黑体" w:cs="Times New Roman"/>
          <w:bCs/>
          <w:szCs w:val="28"/>
        </w:rPr>
        <w:t>3.3 AI—城市人工水系统耦合模型</w:t>
      </w:r>
      <w:r>
        <w:tab/>
      </w:r>
      <w:r>
        <w:fldChar w:fldCharType="begin"/>
      </w:r>
      <w:r>
        <w:instrText xml:space="preserve"> PAGEREF _Toc26683 \h </w:instrText>
      </w:r>
      <w:r>
        <w:fldChar w:fldCharType="separate"/>
      </w:r>
      <w:r>
        <w:t>10</w:t>
      </w:r>
      <w:r>
        <w:fldChar w:fldCharType="end"/>
      </w:r>
      <w:r>
        <w:fldChar w:fldCharType="end"/>
      </w:r>
    </w:p>
    <w:p w14:paraId="0D21F002">
      <w:pPr>
        <w:pStyle w:val="12"/>
        <w:tabs>
          <w:tab w:val="right" w:leader="dot" w:pos="9075"/>
        </w:tabs>
      </w:pPr>
      <w:r>
        <w:fldChar w:fldCharType="begin"/>
      </w:r>
      <w:r>
        <w:instrText xml:space="preserve"> HYPERLINK \l _Toc11118 </w:instrText>
      </w:r>
      <w:r>
        <w:fldChar w:fldCharType="separate"/>
      </w:r>
      <w:r>
        <w:rPr>
          <w:rFonts w:ascii="Times New Roman" w:hAnsi="Times New Roman" w:eastAsia="黑体" w:cs="Times New Roman"/>
          <w:bCs/>
          <w:szCs w:val="28"/>
        </w:rPr>
        <w:t>3.4 AI扩张下城市水系统代谢响应分析</w:t>
      </w:r>
      <w:r>
        <w:tab/>
      </w:r>
      <w:r>
        <w:fldChar w:fldCharType="begin"/>
      </w:r>
      <w:r>
        <w:instrText xml:space="preserve"> PAGEREF _Toc11118 \h </w:instrText>
      </w:r>
      <w:r>
        <w:fldChar w:fldCharType="separate"/>
      </w:r>
      <w:r>
        <w:t>12</w:t>
      </w:r>
      <w:r>
        <w:fldChar w:fldCharType="end"/>
      </w:r>
      <w:r>
        <w:fldChar w:fldCharType="end"/>
      </w:r>
    </w:p>
    <w:p w14:paraId="56785D95">
      <w:pPr>
        <w:pStyle w:val="12"/>
        <w:tabs>
          <w:tab w:val="right" w:leader="dot" w:pos="9075"/>
        </w:tabs>
      </w:pPr>
      <w:r>
        <w:fldChar w:fldCharType="begin"/>
      </w:r>
      <w:r>
        <w:instrText xml:space="preserve"> HYPERLINK \l _Toc27297 </w:instrText>
      </w:r>
      <w:r>
        <w:fldChar w:fldCharType="separate"/>
      </w:r>
      <w:r>
        <w:rPr>
          <w:rFonts w:ascii="Times New Roman" w:hAnsi="Times New Roman" w:eastAsia="黑体" w:cs="Times New Roman"/>
          <w:bCs/>
          <w:szCs w:val="28"/>
        </w:rPr>
        <w:t>3.5 条件化承载边界与情景分析方法</w:t>
      </w:r>
      <w:r>
        <w:tab/>
      </w:r>
      <w:r>
        <w:fldChar w:fldCharType="begin"/>
      </w:r>
      <w:r>
        <w:instrText xml:space="preserve"> PAGEREF _Toc27297 \h </w:instrText>
      </w:r>
      <w:r>
        <w:fldChar w:fldCharType="separate"/>
      </w:r>
      <w:r>
        <w:t>12</w:t>
      </w:r>
      <w:r>
        <w:fldChar w:fldCharType="end"/>
      </w:r>
      <w:r>
        <w:fldChar w:fldCharType="end"/>
      </w:r>
    </w:p>
    <w:p w14:paraId="7AB5B5AB">
      <w:pPr>
        <w:pStyle w:val="12"/>
        <w:tabs>
          <w:tab w:val="right" w:leader="dot" w:pos="9075"/>
        </w:tabs>
      </w:pPr>
      <w:r>
        <w:fldChar w:fldCharType="begin"/>
      </w:r>
      <w:r>
        <w:instrText xml:space="preserve"> HYPERLINK \l _Toc5069 </w:instrText>
      </w:r>
      <w:r>
        <w:fldChar w:fldCharType="separate"/>
      </w:r>
      <w:r>
        <w:rPr>
          <w:rFonts w:ascii="Times New Roman" w:hAnsi="Times New Roman" w:eastAsia="黑体" w:cs="Times New Roman"/>
          <w:bCs/>
          <w:szCs w:val="28"/>
        </w:rPr>
        <w:t>3.6 瓶颈识别与干预机制分析</w:t>
      </w:r>
      <w:r>
        <w:tab/>
      </w:r>
      <w:r>
        <w:fldChar w:fldCharType="begin"/>
      </w:r>
      <w:r>
        <w:instrText xml:space="preserve"> PAGEREF _Toc5069 \h </w:instrText>
      </w:r>
      <w:r>
        <w:fldChar w:fldCharType="separate"/>
      </w:r>
      <w:r>
        <w:t>16</w:t>
      </w:r>
      <w:r>
        <w:fldChar w:fldCharType="end"/>
      </w:r>
      <w:r>
        <w:fldChar w:fldCharType="end"/>
      </w:r>
    </w:p>
    <w:p w14:paraId="291B814B">
      <w:pPr>
        <w:pStyle w:val="12"/>
        <w:tabs>
          <w:tab w:val="right" w:leader="dot" w:pos="9075"/>
        </w:tabs>
      </w:pPr>
      <w:r>
        <w:fldChar w:fldCharType="begin"/>
      </w:r>
      <w:r>
        <w:instrText xml:space="preserve"> HYPERLINK \l _Toc8300 </w:instrText>
      </w:r>
      <w:r>
        <w:fldChar w:fldCharType="separate"/>
      </w:r>
      <w:r>
        <w:rPr>
          <w:rFonts w:ascii="Times New Roman" w:hAnsi="Times New Roman" w:eastAsia="黑体" w:cs="Times New Roman"/>
          <w:bCs/>
          <w:szCs w:val="28"/>
        </w:rPr>
        <w:t>3.7 总体技术路线</w:t>
      </w:r>
      <w:r>
        <w:tab/>
      </w:r>
      <w:r>
        <w:fldChar w:fldCharType="begin"/>
      </w:r>
      <w:r>
        <w:instrText xml:space="preserve"> PAGEREF _Toc8300 \h </w:instrText>
      </w:r>
      <w:r>
        <w:fldChar w:fldCharType="separate"/>
      </w:r>
      <w:r>
        <w:t>16</w:t>
      </w:r>
      <w:r>
        <w:fldChar w:fldCharType="end"/>
      </w:r>
      <w:r>
        <w:fldChar w:fldCharType="end"/>
      </w:r>
    </w:p>
    <w:p w14:paraId="38ED781A">
      <w:pPr>
        <w:pStyle w:val="11"/>
        <w:tabs>
          <w:tab w:val="right" w:leader="dot" w:pos="9075"/>
        </w:tabs>
      </w:pPr>
      <w:r>
        <w:fldChar w:fldCharType="begin"/>
      </w:r>
      <w:r>
        <w:instrText xml:space="preserve"> HYPERLINK \l _Toc27862 </w:instrText>
      </w:r>
      <w:r>
        <w:fldChar w:fldCharType="separate"/>
      </w:r>
      <w:r>
        <w:rPr>
          <w:rFonts w:hint="eastAsia" w:cs="Times New Roman"/>
          <w:bCs/>
          <w:szCs w:val="30"/>
          <w:lang w:val="en-US" w:eastAsia="zh-CN"/>
        </w:rPr>
        <w:t>四、</w:t>
      </w:r>
      <w:r>
        <w:rPr>
          <w:rFonts w:ascii="Times New Roman" w:hAnsi="Times New Roman" w:eastAsia="黑体" w:cs="Times New Roman"/>
          <w:bCs/>
          <w:szCs w:val="30"/>
        </w:rPr>
        <w:t xml:space="preserve"> 预期达到的目标</w:t>
      </w:r>
      <w:r>
        <w:tab/>
      </w:r>
      <w:r>
        <w:fldChar w:fldCharType="begin"/>
      </w:r>
      <w:r>
        <w:instrText xml:space="preserve"> PAGEREF _Toc27862 \h </w:instrText>
      </w:r>
      <w:r>
        <w:fldChar w:fldCharType="separate"/>
      </w:r>
      <w:r>
        <w:t>18</w:t>
      </w:r>
      <w:r>
        <w:fldChar w:fldCharType="end"/>
      </w:r>
      <w:r>
        <w:fldChar w:fldCharType="end"/>
      </w:r>
    </w:p>
    <w:p w14:paraId="3106A902">
      <w:pPr>
        <w:pStyle w:val="12"/>
        <w:tabs>
          <w:tab w:val="right" w:leader="dot" w:pos="9075"/>
        </w:tabs>
      </w:pPr>
      <w:r>
        <w:fldChar w:fldCharType="begin"/>
      </w:r>
      <w:r>
        <w:instrText xml:space="preserve"> HYPERLINK \l _Toc20659 </w:instrText>
      </w:r>
      <w:r>
        <w:fldChar w:fldCharType="separate"/>
      </w:r>
      <w:r>
        <w:rPr>
          <w:rFonts w:ascii="Times New Roman" w:hAnsi="Times New Roman" w:eastAsia="黑体" w:cs="Times New Roman"/>
          <w:bCs/>
          <w:szCs w:val="28"/>
        </w:rPr>
        <w:t>4.1 预期科学认识</w:t>
      </w:r>
      <w:r>
        <w:tab/>
      </w:r>
      <w:r>
        <w:fldChar w:fldCharType="begin"/>
      </w:r>
      <w:r>
        <w:instrText xml:space="preserve"> PAGEREF _Toc20659 \h </w:instrText>
      </w:r>
      <w:r>
        <w:fldChar w:fldCharType="separate"/>
      </w:r>
      <w:r>
        <w:t>18</w:t>
      </w:r>
      <w:r>
        <w:fldChar w:fldCharType="end"/>
      </w:r>
      <w:r>
        <w:fldChar w:fldCharType="end"/>
      </w:r>
    </w:p>
    <w:p w14:paraId="79E6977E">
      <w:pPr>
        <w:pStyle w:val="12"/>
        <w:tabs>
          <w:tab w:val="right" w:leader="dot" w:pos="9075"/>
        </w:tabs>
      </w:pPr>
      <w:r>
        <w:fldChar w:fldCharType="begin"/>
      </w:r>
      <w:r>
        <w:instrText xml:space="preserve"> HYPERLINK \l _Toc10751 </w:instrText>
      </w:r>
      <w:r>
        <w:fldChar w:fldCharType="separate"/>
      </w:r>
      <w:r>
        <w:rPr>
          <w:rFonts w:ascii="Times New Roman" w:hAnsi="Times New Roman" w:eastAsia="黑体" w:cs="Times New Roman"/>
          <w:bCs/>
          <w:szCs w:val="28"/>
        </w:rPr>
        <w:t>4.2 预期创新</w:t>
      </w:r>
      <w:r>
        <w:tab/>
      </w:r>
      <w:r>
        <w:fldChar w:fldCharType="begin"/>
      </w:r>
      <w:r>
        <w:instrText xml:space="preserve"> PAGEREF _Toc10751 \h </w:instrText>
      </w:r>
      <w:r>
        <w:fldChar w:fldCharType="separate"/>
      </w:r>
      <w:r>
        <w:t>18</w:t>
      </w:r>
      <w:r>
        <w:fldChar w:fldCharType="end"/>
      </w:r>
      <w:r>
        <w:fldChar w:fldCharType="end"/>
      </w:r>
    </w:p>
    <w:p w14:paraId="2935F5F6">
      <w:pPr>
        <w:pStyle w:val="12"/>
        <w:tabs>
          <w:tab w:val="right" w:leader="dot" w:pos="9075"/>
        </w:tabs>
      </w:pPr>
      <w:r>
        <w:fldChar w:fldCharType="begin"/>
      </w:r>
      <w:r>
        <w:instrText xml:space="preserve"> HYPERLINK \l _Toc12006 </w:instrText>
      </w:r>
      <w:r>
        <w:fldChar w:fldCharType="separate"/>
      </w:r>
      <w:r>
        <w:rPr>
          <w:rFonts w:ascii="Times New Roman" w:hAnsi="Times New Roman" w:eastAsia="黑体" w:cs="Times New Roman"/>
          <w:bCs/>
          <w:szCs w:val="28"/>
        </w:rPr>
        <w:t>4.3 预期成果</w:t>
      </w:r>
      <w:r>
        <w:tab/>
      </w:r>
      <w:r>
        <w:fldChar w:fldCharType="begin"/>
      </w:r>
      <w:r>
        <w:instrText xml:space="preserve"> PAGEREF _Toc12006 \h </w:instrText>
      </w:r>
      <w:r>
        <w:fldChar w:fldCharType="separate"/>
      </w:r>
      <w:r>
        <w:t>19</w:t>
      </w:r>
      <w:r>
        <w:fldChar w:fldCharType="end"/>
      </w:r>
      <w:r>
        <w:fldChar w:fldCharType="end"/>
      </w:r>
    </w:p>
    <w:p w14:paraId="2A984A59">
      <w:pPr>
        <w:pStyle w:val="12"/>
        <w:tabs>
          <w:tab w:val="right" w:leader="dot" w:pos="9075"/>
        </w:tabs>
      </w:pPr>
      <w:r>
        <w:fldChar w:fldCharType="begin"/>
      </w:r>
      <w:r>
        <w:instrText xml:space="preserve"> HYPERLINK \l _Toc20347 </w:instrText>
      </w:r>
      <w:r>
        <w:fldChar w:fldCharType="separate"/>
      </w:r>
      <w:r>
        <w:rPr>
          <w:rFonts w:ascii="Times New Roman" w:hAnsi="Times New Roman" w:eastAsia="黑体" w:cs="Times New Roman"/>
          <w:bCs/>
          <w:szCs w:val="28"/>
        </w:rPr>
        <w:t>4.4 成果评价指标</w:t>
      </w:r>
      <w:r>
        <w:tab/>
      </w:r>
      <w:r>
        <w:fldChar w:fldCharType="begin"/>
      </w:r>
      <w:r>
        <w:instrText xml:space="preserve"> PAGEREF _Toc20347 \h </w:instrText>
      </w:r>
      <w:r>
        <w:fldChar w:fldCharType="separate"/>
      </w:r>
      <w:r>
        <w:t>19</w:t>
      </w:r>
      <w:r>
        <w:fldChar w:fldCharType="end"/>
      </w:r>
      <w:r>
        <w:fldChar w:fldCharType="end"/>
      </w:r>
    </w:p>
    <w:p w14:paraId="1FDA4EDE">
      <w:pPr>
        <w:pStyle w:val="11"/>
        <w:tabs>
          <w:tab w:val="right" w:leader="dot" w:pos="9075"/>
        </w:tabs>
      </w:pPr>
      <w:r>
        <w:fldChar w:fldCharType="begin"/>
      </w:r>
      <w:r>
        <w:instrText xml:space="preserve"> HYPERLINK \l _Toc31438 </w:instrText>
      </w:r>
      <w:r>
        <w:fldChar w:fldCharType="separate"/>
      </w:r>
      <w:r>
        <w:rPr>
          <w:rFonts w:hint="eastAsia" w:cs="Times New Roman"/>
          <w:bCs/>
          <w:szCs w:val="30"/>
          <w:lang w:val="en-US" w:eastAsia="zh-CN"/>
        </w:rPr>
        <w:t>五、</w:t>
      </w:r>
      <w:r>
        <w:rPr>
          <w:rFonts w:ascii="Times New Roman" w:hAnsi="Times New Roman" w:eastAsia="黑体" w:cs="Times New Roman"/>
          <w:bCs/>
          <w:szCs w:val="30"/>
        </w:rPr>
        <w:t xml:space="preserve"> 已完成的学术研究工作</w:t>
      </w:r>
      <w:r>
        <w:tab/>
      </w:r>
      <w:r>
        <w:fldChar w:fldCharType="begin"/>
      </w:r>
      <w:r>
        <w:instrText xml:space="preserve"> PAGEREF _Toc31438 \h </w:instrText>
      </w:r>
      <w:r>
        <w:fldChar w:fldCharType="separate"/>
      </w:r>
      <w:r>
        <w:t>19</w:t>
      </w:r>
      <w:r>
        <w:fldChar w:fldCharType="end"/>
      </w:r>
      <w:r>
        <w:fldChar w:fldCharType="end"/>
      </w:r>
    </w:p>
    <w:p w14:paraId="13561B96">
      <w:pPr>
        <w:pStyle w:val="11"/>
        <w:tabs>
          <w:tab w:val="right" w:leader="dot" w:pos="9075"/>
        </w:tabs>
      </w:pPr>
      <w:r>
        <w:fldChar w:fldCharType="begin"/>
      </w:r>
      <w:r>
        <w:instrText xml:space="preserve"> HYPERLINK \l _Toc16592 </w:instrText>
      </w:r>
      <w:r>
        <w:fldChar w:fldCharType="separate"/>
      </w:r>
      <w:r>
        <w:rPr>
          <w:rFonts w:hint="eastAsia" w:cs="Times New Roman"/>
          <w:bCs/>
          <w:szCs w:val="30"/>
          <w:lang w:val="en-US" w:eastAsia="zh-CN"/>
        </w:rPr>
        <w:t>六、</w:t>
      </w:r>
      <w:r>
        <w:rPr>
          <w:rFonts w:ascii="Times New Roman" w:hAnsi="Times New Roman" w:eastAsia="黑体" w:cs="Times New Roman"/>
          <w:bCs/>
          <w:szCs w:val="30"/>
        </w:rPr>
        <w:t xml:space="preserve"> 进度安排</w:t>
      </w:r>
      <w:r>
        <w:tab/>
      </w:r>
      <w:r>
        <w:fldChar w:fldCharType="begin"/>
      </w:r>
      <w:r>
        <w:instrText xml:space="preserve"> PAGEREF _Toc16592 \h </w:instrText>
      </w:r>
      <w:r>
        <w:fldChar w:fldCharType="separate"/>
      </w:r>
      <w:r>
        <w:t>20</w:t>
      </w:r>
      <w:r>
        <w:fldChar w:fldCharType="end"/>
      </w:r>
      <w:r>
        <w:fldChar w:fldCharType="end"/>
      </w:r>
    </w:p>
    <w:p w14:paraId="0292E802">
      <w:pPr>
        <w:pStyle w:val="11"/>
        <w:tabs>
          <w:tab w:val="right" w:leader="dot" w:pos="9075"/>
        </w:tabs>
      </w:pPr>
      <w:r>
        <w:fldChar w:fldCharType="begin"/>
      </w:r>
      <w:r>
        <w:instrText xml:space="preserve"> HYPERLINK \l _Toc2380 </w:instrText>
      </w:r>
      <w:r>
        <w:fldChar w:fldCharType="separate"/>
      </w:r>
      <w:r>
        <w:rPr>
          <w:rFonts w:hint="eastAsia" w:cs="Times New Roman"/>
          <w:bCs/>
          <w:szCs w:val="30"/>
          <w:lang w:val="en-US" w:eastAsia="zh-CN"/>
        </w:rPr>
        <w:t>七、</w:t>
      </w:r>
      <w:r>
        <w:rPr>
          <w:rFonts w:ascii="Times New Roman" w:hAnsi="Times New Roman" w:eastAsia="黑体" w:cs="Times New Roman"/>
          <w:bCs/>
          <w:szCs w:val="30"/>
        </w:rPr>
        <w:t xml:space="preserve"> 为完成课题所需的条件</w:t>
      </w:r>
      <w:r>
        <w:tab/>
      </w:r>
      <w:r>
        <w:fldChar w:fldCharType="begin"/>
      </w:r>
      <w:r>
        <w:instrText xml:space="preserve"> PAGEREF _Toc2380 \h </w:instrText>
      </w:r>
      <w:r>
        <w:fldChar w:fldCharType="separate"/>
      </w:r>
      <w:r>
        <w:t>20</w:t>
      </w:r>
      <w:r>
        <w:fldChar w:fldCharType="end"/>
      </w:r>
      <w:r>
        <w:fldChar w:fldCharType="end"/>
      </w:r>
    </w:p>
    <w:p w14:paraId="718F167C">
      <w:pPr>
        <w:pStyle w:val="12"/>
        <w:tabs>
          <w:tab w:val="right" w:leader="dot" w:pos="9075"/>
        </w:tabs>
      </w:pPr>
      <w:r>
        <w:fldChar w:fldCharType="begin"/>
      </w:r>
      <w:r>
        <w:instrText xml:space="preserve"> HYPERLINK \l _Toc18688 </w:instrText>
      </w:r>
      <w:r>
        <w:fldChar w:fldCharType="separate"/>
      </w:r>
      <w:r>
        <w:rPr>
          <w:rFonts w:ascii="Times New Roman" w:hAnsi="Times New Roman" w:eastAsia="黑体" w:cs="Times New Roman"/>
          <w:bCs/>
          <w:szCs w:val="28"/>
        </w:rPr>
        <w:t>7.1 理论、数据、软件与计算条件</w:t>
      </w:r>
      <w:r>
        <w:tab/>
      </w:r>
      <w:r>
        <w:fldChar w:fldCharType="begin"/>
      </w:r>
      <w:r>
        <w:instrText xml:space="preserve"> PAGEREF _Toc18688 \h </w:instrText>
      </w:r>
      <w:r>
        <w:fldChar w:fldCharType="separate"/>
      </w:r>
      <w:r>
        <w:t>20</w:t>
      </w:r>
      <w:r>
        <w:fldChar w:fldCharType="end"/>
      </w:r>
      <w:r>
        <w:fldChar w:fldCharType="end"/>
      </w:r>
    </w:p>
    <w:p w14:paraId="7A8AD867">
      <w:pPr>
        <w:pStyle w:val="12"/>
        <w:tabs>
          <w:tab w:val="right" w:leader="dot" w:pos="9075"/>
        </w:tabs>
      </w:pPr>
      <w:r>
        <w:fldChar w:fldCharType="begin"/>
      </w:r>
      <w:r>
        <w:instrText xml:space="preserve"> HYPERLINK \l _Toc17499 </w:instrText>
      </w:r>
      <w:r>
        <w:fldChar w:fldCharType="separate"/>
      </w:r>
      <w:r>
        <w:rPr>
          <w:rFonts w:ascii="Times New Roman" w:hAnsi="Times New Roman" w:eastAsia="黑体" w:cs="Times New Roman"/>
          <w:bCs/>
          <w:szCs w:val="28"/>
        </w:rPr>
        <w:t>7.2 研究组织与成果管理</w:t>
      </w:r>
      <w:r>
        <w:tab/>
      </w:r>
      <w:r>
        <w:fldChar w:fldCharType="begin"/>
      </w:r>
      <w:r>
        <w:instrText xml:space="preserve"> PAGEREF _Toc17499 \h </w:instrText>
      </w:r>
      <w:r>
        <w:fldChar w:fldCharType="separate"/>
      </w:r>
      <w:r>
        <w:t>21</w:t>
      </w:r>
      <w:r>
        <w:fldChar w:fldCharType="end"/>
      </w:r>
      <w:r>
        <w:fldChar w:fldCharType="end"/>
      </w:r>
    </w:p>
    <w:p w14:paraId="458F060E">
      <w:pPr>
        <w:pStyle w:val="11"/>
        <w:tabs>
          <w:tab w:val="right" w:leader="dot" w:pos="9075"/>
        </w:tabs>
      </w:pPr>
      <w:r>
        <w:fldChar w:fldCharType="begin"/>
      </w:r>
      <w:r>
        <w:instrText xml:space="preserve"> HYPERLINK \l _Toc20761 </w:instrText>
      </w:r>
      <w:r>
        <w:fldChar w:fldCharType="separate"/>
      </w:r>
      <w:r>
        <w:rPr>
          <w:rFonts w:hint="eastAsia" w:cs="Times New Roman"/>
          <w:bCs/>
          <w:szCs w:val="30"/>
          <w:lang w:val="en-US" w:eastAsia="zh-CN"/>
        </w:rPr>
        <w:t>八、</w:t>
      </w:r>
      <w:r>
        <w:rPr>
          <w:rFonts w:ascii="Times New Roman" w:hAnsi="Times New Roman" w:eastAsia="黑体" w:cs="Times New Roman"/>
          <w:bCs/>
          <w:szCs w:val="30"/>
        </w:rPr>
        <w:t xml:space="preserve"> 研究过程中可能遇到的问题及解决措施</w:t>
      </w:r>
      <w:r>
        <w:tab/>
      </w:r>
      <w:r>
        <w:fldChar w:fldCharType="begin"/>
      </w:r>
      <w:r>
        <w:instrText xml:space="preserve"> PAGEREF _Toc20761 \h </w:instrText>
      </w:r>
      <w:r>
        <w:fldChar w:fldCharType="separate"/>
      </w:r>
      <w:r>
        <w:t>21</w:t>
      </w:r>
      <w:r>
        <w:fldChar w:fldCharType="end"/>
      </w:r>
      <w:r>
        <w:fldChar w:fldCharType="end"/>
      </w:r>
    </w:p>
    <w:p w14:paraId="550E50C5">
      <w:pPr>
        <w:pStyle w:val="12"/>
        <w:tabs>
          <w:tab w:val="right" w:leader="dot" w:pos="9075"/>
        </w:tabs>
      </w:pPr>
      <w:r>
        <w:fldChar w:fldCharType="begin"/>
      </w:r>
      <w:r>
        <w:instrText xml:space="preserve"> HYPERLINK \l _Toc25570 </w:instrText>
      </w:r>
      <w:r>
        <w:fldChar w:fldCharType="separate"/>
      </w:r>
      <w:r>
        <w:rPr>
          <w:rFonts w:ascii="Times New Roman" w:hAnsi="Times New Roman" w:eastAsia="黑体" w:cs="Times New Roman"/>
          <w:bCs/>
          <w:szCs w:val="28"/>
        </w:rPr>
        <w:t>8.1 研究边界变化与复杂度控制</w:t>
      </w:r>
      <w:r>
        <w:tab/>
      </w:r>
      <w:r>
        <w:fldChar w:fldCharType="begin"/>
      </w:r>
      <w:r>
        <w:instrText xml:space="preserve"> PAGEREF _Toc25570 \h </w:instrText>
      </w:r>
      <w:r>
        <w:fldChar w:fldCharType="separate"/>
      </w:r>
      <w:r>
        <w:t>21</w:t>
      </w:r>
      <w:r>
        <w:fldChar w:fldCharType="end"/>
      </w:r>
      <w:r>
        <w:fldChar w:fldCharType="end"/>
      </w:r>
    </w:p>
    <w:p w14:paraId="34F1D61C">
      <w:pPr>
        <w:pStyle w:val="12"/>
        <w:tabs>
          <w:tab w:val="right" w:leader="dot" w:pos="9075"/>
        </w:tabs>
      </w:pPr>
      <w:r>
        <w:fldChar w:fldCharType="begin"/>
      </w:r>
      <w:r>
        <w:instrText xml:space="preserve"> HYPERLINK \l _Toc28250 </w:instrText>
      </w:r>
      <w:r>
        <w:fldChar w:fldCharType="separate"/>
      </w:r>
      <w:r>
        <w:rPr>
          <w:rFonts w:ascii="Times New Roman" w:hAnsi="Times New Roman" w:eastAsia="黑体" w:cs="Times New Roman"/>
          <w:bCs/>
          <w:szCs w:val="28"/>
        </w:rPr>
        <w:t>8.2 证据等级与外推</w:t>
      </w:r>
      <w:r>
        <w:tab/>
      </w:r>
      <w:r>
        <w:fldChar w:fldCharType="begin"/>
      </w:r>
      <w:r>
        <w:instrText xml:space="preserve"> PAGEREF _Toc28250 \h </w:instrText>
      </w:r>
      <w:r>
        <w:fldChar w:fldCharType="separate"/>
      </w:r>
      <w:r>
        <w:t>22</w:t>
      </w:r>
      <w:r>
        <w:fldChar w:fldCharType="end"/>
      </w:r>
      <w:r>
        <w:fldChar w:fldCharType="end"/>
      </w:r>
    </w:p>
    <w:p w14:paraId="4E7B0CCA">
      <w:pPr>
        <w:pStyle w:val="12"/>
        <w:tabs>
          <w:tab w:val="right" w:leader="dot" w:pos="9075"/>
        </w:tabs>
      </w:pPr>
      <w:r>
        <w:fldChar w:fldCharType="begin"/>
      </w:r>
      <w:r>
        <w:instrText xml:space="preserve"> HYPERLINK \l _Toc6120 </w:instrText>
      </w:r>
      <w:r>
        <w:fldChar w:fldCharType="separate"/>
      </w:r>
      <w:r>
        <w:rPr>
          <w:rFonts w:ascii="Times New Roman" w:hAnsi="Times New Roman" w:eastAsia="黑体" w:cs="Times New Roman"/>
          <w:bCs/>
          <w:szCs w:val="28"/>
        </w:rPr>
        <w:t>8.3 结果稳定性与质量保证</w:t>
      </w:r>
      <w:r>
        <w:tab/>
      </w:r>
      <w:r>
        <w:fldChar w:fldCharType="begin"/>
      </w:r>
      <w:r>
        <w:instrText xml:space="preserve"> PAGEREF _Toc6120 \h </w:instrText>
      </w:r>
      <w:r>
        <w:fldChar w:fldCharType="separate"/>
      </w:r>
      <w:r>
        <w:t>22</w:t>
      </w:r>
      <w:r>
        <w:fldChar w:fldCharType="end"/>
      </w:r>
      <w:r>
        <w:fldChar w:fldCharType="end"/>
      </w:r>
    </w:p>
    <w:p w14:paraId="3E3C3A1E">
      <w:pPr>
        <w:pStyle w:val="11"/>
        <w:tabs>
          <w:tab w:val="right" w:leader="dot" w:pos="9075"/>
        </w:tabs>
      </w:pPr>
      <w:r>
        <w:fldChar w:fldCharType="begin"/>
      </w:r>
      <w:r>
        <w:instrText xml:space="preserve"> HYPERLINK \l _Toc18255 </w:instrText>
      </w:r>
      <w:r>
        <w:fldChar w:fldCharType="separate"/>
      </w:r>
      <w:r>
        <w:rPr>
          <w:rFonts w:hint="eastAsia" w:cs="Times New Roman"/>
          <w:bCs/>
          <w:szCs w:val="30"/>
          <w:lang w:val="en-US" w:eastAsia="zh-CN"/>
        </w:rPr>
        <w:t>九、</w:t>
      </w:r>
      <w:r>
        <w:rPr>
          <w:rFonts w:ascii="Times New Roman" w:hAnsi="Times New Roman" w:eastAsia="黑体" w:cs="Times New Roman"/>
          <w:bCs/>
          <w:szCs w:val="30"/>
        </w:rPr>
        <w:t xml:space="preserve"> 参考文献</w:t>
      </w:r>
      <w:r>
        <w:tab/>
      </w:r>
      <w:r>
        <w:fldChar w:fldCharType="begin"/>
      </w:r>
      <w:r>
        <w:instrText xml:space="preserve"> PAGEREF _Toc18255 \h </w:instrText>
      </w:r>
      <w:r>
        <w:fldChar w:fldCharType="separate"/>
      </w:r>
      <w:r>
        <w:t>23</w:t>
      </w:r>
      <w:r>
        <w:fldChar w:fldCharType="end"/>
      </w:r>
      <w:r>
        <w:fldChar w:fldCharType="end"/>
      </w:r>
    </w:p>
    <w:p w14:paraId="347BA17B">
      <w:r>
        <w:fldChar w:fldCharType="end"/>
      </w:r>
    </w:p>
    <w:p w14:paraId="0D2B97A2"/>
    <w:p w14:paraId="5163B948">
      <w:pPr>
        <w:pStyle w:val="22"/>
        <w:pageBreakBefore/>
        <w:ind w:firstLine="0" w:firstLineChars="0"/>
        <w:outlineLvl w:val="0"/>
      </w:pPr>
      <w:bookmarkStart w:id="0" w:name="_Toc7116"/>
      <w:bookmarkStart w:id="1" w:name="_Toc30407"/>
      <w:r>
        <w:rPr>
          <w:rFonts w:hint="eastAsia" w:cs="Times New Roman"/>
          <w:b/>
          <w:bCs/>
          <w:color w:val="000000"/>
          <w:sz w:val="30"/>
          <w:szCs w:val="30"/>
          <w:lang w:val="en-US" w:eastAsia="zh-CN"/>
        </w:rPr>
        <w:t>一、</w:t>
      </w:r>
      <w:r>
        <w:rPr>
          <w:rFonts w:ascii="Times New Roman" w:hAnsi="Times New Roman" w:eastAsia="黑体" w:cs="Times New Roman"/>
          <w:b/>
          <w:bCs/>
          <w:color w:val="000000"/>
          <w:sz w:val="30"/>
          <w:szCs w:val="30"/>
        </w:rPr>
        <w:t xml:space="preserve"> 课题来源及研究目的和意义</w:t>
      </w:r>
      <w:bookmarkEnd w:id="0"/>
      <w:bookmarkEnd w:id="1"/>
    </w:p>
    <w:p w14:paraId="7211C648">
      <w:pPr>
        <w:pStyle w:val="23"/>
        <w:pageBreakBefore w:val="0"/>
        <w:ind w:firstLine="0" w:firstLineChars="0"/>
        <w:outlineLvl w:val="1"/>
      </w:pPr>
      <w:bookmarkStart w:id="2" w:name="_Toc9770"/>
      <w:bookmarkStart w:id="3" w:name="_Toc25022"/>
      <w:r>
        <w:rPr>
          <w:rFonts w:ascii="Times New Roman" w:hAnsi="Times New Roman" w:eastAsia="黑体" w:cs="Times New Roman"/>
          <w:b/>
          <w:bCs/>
          <w:color w:val="000000"/>
          <w:sz w:val="28"/>
          <w:szCs w:val="28"/>
        </w:rPr>
        <w:t>1.1 课题来源</w:t>
      </w:r>
      <w:bookmarkEnd w:id="2"/>
      <w:bookmarkEnd w:id="3"/>
    </w:p>
    <w:p w14:paraId="45CA7A8E">
      <w:pPr>
        <w:spacing w:before="0" w:after="0" w:line="360" w:lineRule="auto"/>
        <w:ind w:firstLine="420"/>
        <w:rPr>
          <w:color w:val="2F5597" w:themeColor="accent1" w:themeShade="BF"/>
        </w:rPr>
      </w:pPr>
      <w:r>
        <w:rPr>
          <w:color w:val="2F5597" w:themeColor="accent1" w:themeShade="BF"/>
        </w:rPr>
        <w:t>本课题由AI算力基础设施扩张与供排水、再生水系统协同规划的普遍需求提出。数据中心绿色低碳发展政策已将资源效率与基础设施布局作为重要方向[1]。本研究依据前期城市代谢建模积累，构造一般化、参数化的人工水系统，研究AI负荷引入后的水流结构、峰值服务和承载边界；全文不针对任何真实城市开展案例模拟。</w:t>
      </w:r>
    </w:p>
    <w:p w14:paraId="2747444E">
      <w:pPr>
        <w:pStyle w:val="23"/>
        <w:pageBreakBefore w:val="0"/>
        <w:ind w:firstLine="0" w:firstLineChars="0"/>
        <w:outlineLvl w:val="1"/>
      </w:pPr>
      <w:bookmarkStart w:id="4" w:name="_Toc31920"/>
      <w:bookmarkStart w:id="5" w:name="_Toc11778"/>
      <w:r>
        <w:rPr>
          <w:rFonts w:ascii="Times New Roman" w:hAnsi="Times New Roman" w:eastAsia="黑体" w:cs="Times New Roman"/>
          <w:b/>
          <w:bCs/>
          <w:color w:val="000000"/>
          <w:sz w:val="28"/>
          <w:szCs w:val="28"/>
        </w:rPr>
        <w:t>1.2 课题研究目的和意义</w:t>
      </w:r>
      <w:bookmarkEnd w:id="4"/>
      <w:bookmarkEnd w:id="5"/>
    </w:p>
    <w:p w14:paraId="7A2DF640">
      <w:pPr>
        <w:pStyle w:val="24"/>
        <w:bidi w:val="0"/>
      </w:pPr>
      <w:bookmarkStart w:id="6" w:name="_Toc21442"/>
      <w:r>
        <w:rPr>
          <w:rFonts w:ascii="Times New Roman" w:hAnsi="Times New Roman" w:eastAsia="黑体" w:cs="Times New Roman"/>
          <w:b/>
          <w:bCs/>
          <w:sz w:val="24"/>
          <w:szCs w:val="24"/>
        </w:rPr>
        <w:t>1.2.1 研究背景</w:t>
      </w:r>
    </w:p>
    <w:p w14:paraId="4B638443">
      <w:pPr>
        <w:bidi w:val="0"/>
        <w:rPr>
          <w:lang w:val="en-US" w:eastAsia="zh-CN"/>
        </w:rPr>
      </w:pPr>
      <w:r>
        <w:rPr>
          <w:lang w:val="en-US" w:eastAsia="zh-CN"/>
        </w:rPr>
        <w:t>人工智能正由模型规模竞争转向算力基础设施竞争，全球数据中心用电规模与增速已被系统核算[4,5]，其能源足迹进入政策与产业视野[2,3,6]。服务器功率密度和热流密度提升，使冷却系统成为数据中心能耗与用水的关键环节。</w:t>
      </w:r>
    </w:p>
    <w:p w14:paraId="2CC5825C">
      <w:pPr>
        <w:bidi w:val="0"/>
        <w:rPr>
          <w:lang w:val="en-US" w:eastAsia="zh-CN"/>
        </w:rPr>
      </w:pPr>
      <w:r>
        <w:rPr>
          <w:lang w:val="en-US" w:eastAsia="zh-CN"/>
        </w:rPr>
        <w:t>传统城市规划多将数据中心视为一般数字基础设施或工业用户，较少关注其与城市资源系统的耦合。AI数据中心连续负荷高、设备集中且散热可靠性要求高，其用水同时受湿球温度、冷却技术、负载率和局部供水能力影响。</w:t>
      </w:r>
    </w:p>
    <w:p w14:paraId="4802F940">
      <w:pPr>
        <w:bidi w:val="0"/>
        <w:rPr>
          <w:lang w:val="en-US" w:eastAsia="zh-CN"/>
        </w:rPr>
      </w:pPr>
      <w:r>
        <w:rPr>
          <w:lang w:val="en-US" w:eastAsia="zh-CN"/>
        </w:rPr>
        <w:t>现有研究多聚焦设施尺度水足迹，包括冷却直接用水与电力供应间接水足迹[7,8]，却难以解释AI扩张对城市供水、污水处理、再生水利用和承载能力的系统影响。相同年度用水量也会因水源、负荷时序、冷却方式和设施条件不同而产生不同压力，因此需置于城市水循环网络中研究。</w:t>
      </w:r>
    </w:p>
    <w:p w14:paraId="55A0D8D7">
      <w:pPr>
        <w:bidi w:val="0"/>
        <w:rPr>
          <w:lang w:val="en-US" w:eastAsia="zh-CN"/>
        </w:rPr>
      </w:pPr>
      <w:r>
        <w:rPr>
          <w:lang w:val="en-US" w:eastAsia="zh-CN"/>
        </w:rPr>
        <w:t>城市人工水系统涵盖水源输入、供水利用、污水产生、处理回收和再生利用（Lucertini and Musco, 2020；Landa-Cansigno et al., 2019）。AI节点增加冷却补水需求，并通过冷却方式影响取水、消耗和局部排放特征；其对再生水系统的影响主要体现为对城市再生水供给能力和替代水源配置的新增需求，而非AI自身产生的回流构成主要再生水来源，因而需建立连接AI负荷、冷却用水与城市供排水网络的模拟框架（Sharma et al., 2021）。</w:t>
      </w:r>
    </w:p>
    <w:p w14:paraId="17554E97">
      <w:pPr>
        <w:pStyle w:val="24"/>
        <w:bidi w:val="0"/>
        <w:rPr>
          <w:lang w:val="en-US" w:eastAsia="zh-CN"/>
        </w:rPr>
      </w:pPr>
      <w:r>
        <w:rPr>
          <w:rFonts w:ascii="Times New Roman" w:hAnsi="Times New Roman" w:eastAsia="黑体" w:cs="Times New Roman"/>
          <w:b/>
          <w:bCs/>
          <w:sz w:val="24"/>
          <w:szCs w:val="24"/>
          <w:lang w:val="en-US" w:eastAsia="zh-CN"/>
        </w:rPr>
        <w:t>1.2.2 研究目的</w:t>
      </w:r>
    </w:p>
    <w:p w14:paraId="48BED69B">
      <w:pPr>
        <w:bidi w:val="0"/>
        <w:rPr>
          <w:lang w:val="en-US" w:eastAsia="zh-CN"/>
        </w:rPr>
      </w:pPr>
      <w:r>
        <w:t>本研究旨在建立AI算力基础设施驱动下一般化人工水系统代谢响应与条件化承载边界分析框架，构建由AI IT容量、热排散过程、冷却补水需求到给水、污水和再生水模块的全过程耦合模型，实现数字基础设施与抽象水系统之间物质流动关系的定量描述。</w:t>
      </w:r>
    </w:p>
    <w:p w14:paraId="4C1A29AD">
      <w:pPr>
        <w:bidi w:val="0"/>
        <w:rPr>
          <w:lang w:val="en-US" w:eastAsia="zh-CN"/>
        </w:rPr>
      </w:pPr>
      <w:r>
        <w:rPr>
          <w:lang w:val="en-US" w:eastAsia="zh-CN"/>
        </w:rPr>
        <w:t>具体而言，本研究拟实现以下目标：</w:t>
      </w:r>
    </w:p>
    <w:p w14:paraId="59C64FA0">
      <w:pPr>
        <w:bidi w:val="0"/>
        <w:rPr>
          <w:lang w:val="en-US" w:eastAsia="zh-CN"/>
        </w:rPr>
      </w:pPr>
      <w:r>
        <w:rPr>
          <w:lang w:val="en-US" w:eastAsia="zh-CN"/>
        </w:rPr>
        <w:t>（1）揭示AI算力扩张对城市人工水系统代谢结构的影响机制，分析取水、消耗、回流与再生利用路径随负荷增长的变化，识别系统由规模增长转向结构重构的条件。</w:t>
      </w:r>
    </w:p>
    <w:p w14:paraId="7392BD50">
      <w:pPr>
        <w:bidi w:val="0"/>
        <w:rPr>
          <w:lang w:val="en-US" w:eastAsia="zh-CN"/>
        </w:rPr>
      </w:pPr>
      <w:r>
        <w:rPr>
          <w:lang w:val="en-US" w:eastAsia="zh-CN"/>
        </w:rPr>
        <w:t>（2）建立面向城市尺度的条件化承载边界分析方法，将水源条件、基础设施能力、冷却技术、气候压力与服务可靠性纳入统一框架，突破仅以年度水资源总量评价承载能力的传统方式。</w:t>
      </w:r>
    </w:p>
    <w:p w14:paraId="6001A207">
      <w:pPr>
        <w:bidi w:val="0"/>
        <w:rPr>
          <w:lang w:val="en-US" w:eastAsia="zh-CN"/>
        </w:rPr>
      </w:pPr>
      <w:r>
        <w:rPr>
          <w:lang w:val="en-US" w:eastAsia="zh-CN"/>
        </w:rPr>
        <w:t>（3）识别城市水系统关键约束与瓶颈迁移机制，分析水源、给水、污水处理、再生水利用与输配能力如何共同决定AI承载边界，为算力布局与水务设施协同规划提供条件化的情景依据。</w:t>
      </w:r>
    </w:p>
    <w:p w14:paraId="226824B3">
      <w:pPr>
        <w:pStyle w:val="24"/>
        <w:bidi w:val="0"/>
        <w:rPr>
          <w:lang w:val="en-US" w:eastAsia="zh-CN"/>
        </w:rPr>
      </w:pPr>
      <w:r>
        <w:rPr>
          <w:rFonts w:ascii="Times New Roman" w:hAnsi="Times New Roman" w:eastAsia="黑体" w:cs="Times New Roman"/>
          <w:b/>
          <w:bCs/>
          <w:sz w:val="24"/>
          <w:szCs w:val="24"/>
          <w:lang w:val="en-US" w:eastAsia="zh-CN"/>
        </w:rPr>
        <w:t>1.2.3 研究意义</w:t>
      </w:r>
    </w:p>
    <w:p w14:paraId="2079DD82">
      <w:pPr>
        <w:bidi w:val="0"/>
        <w:rPr>
          <w:lang w:val="en-US" w:eastAsia="zh-CN"/>
        </w:rPr>
      </w:pPr>
      <w:r>
        <w:rPr>
          <w:lang w:val="en-US" w:eastAsia="zh-CN"/>
        </w:rPr>
        <w:t>（1）理论意义</w:t>
      </w:r>
    </w:p>
    <w:p w14:paraId="3963AD89">
      <w:pPr>
        <w:bidi w:val="0"/>
        <w:rPr>
          <w:lang w:val="en-US" w:eastAsia="zh-CN"/>
        </w:rPr>
      </w:pPr>
      <w:r>
        <w:rPr>
          <w:lang w:val="en-US" w:eastAsia="zh-CN"/>
        </w:rPr>
        <w:t>本研究将计算需求驱动的物理资源流纳入城市代谢分析体系，使数字基础设施由外部影响因素转变为与城市水循环过程相互耦合的节点，推动两类研究的交叉融合。</w:t>
      </w:r>
    </w:p>
    <w:p w14:paraId="4256DF27">
      <w:pPr>
        <w:bidi w:val="0"/>
        <w:rPr>
          <w:lang w:val="en-US" w:eastAsia="zh-CN"/>
        </w:rPr>
      </w:pPr>
      <w:r>
        <w:rPr>
          <w:lang w:val="en-US" w:eastAsia="zh-CN"/>
        </w:rPr>
        <w:t>同时完善综合城市水系统模拟方法，在供水、用水、污水与再生水统一框架下显式区分取水量（Withdrawal）、消耗量（Consumption）与回流量（Return Flow），并将水量、储存能力与峰值服务约束纳入同一分析边界。</w:t>
      </w:r>
    </w:p>
    <w:p w14:paraId="1D282DDB">
      <w:pPr>
        <w:bidi w:val="0"/>
        <w:rPr>
          <w:lang w:val="en-US" w:eastAsia="zh-CN"/>
        </w:rPr>
      </w:pPr>
      <w:r>
        <w:rPr>
          <w:lang w:val="en-US" w:eastAsia="zh-CN"/>
        </w:rPr>
        <w:t>此外，将城市承载力研究对象由人口或经济规模拓展至可量化的AI IT容量，探索资源供给、基础设施能力与风险容忍水平共同作用下的条件化承载边界，为数字时代的城市资源约束理论提供新视角。</w:t>
      </w:r>
    </w:p>
    <w:p w14:paraId="7D7958E0">
      <w:pPr>
        <w:bidi w:val="0"/>
        <w:rPr>
          <w:lang w:val="en-US" w:eastAsia="zh-CN"/>
        </w:rPr>
      </w:pPr>
      <w:r>
        <w:rPr>
          <w:lang w:val="en-US" w:eastAsia="zh-CN"/>
        </w:rPr>
        <w:t>（2）实践意义</w:t>
      </w:r>
    </w:p>
    <w:p w14:paraId="17C91F1A">
      <w:pPr>
        <w:bidi w:val="0"/>
        <w:rPr>
          <w:lang w:val="en-US" w:eastAsia="zh-CN"/>
        </w:rPr>
      </w:pPr>
      <w:r>
        <w:t>在规划与管理研究层面，可为算力基础设施布局、取水许可管理与水务设施规划提供条件化情景依据，帮助识别局部水资源超载和设施能力不足的形成条件。</w:t>
      </w:r>
    </w:p>
    <w:p w14:paraId="25D97E80">
      <w:pPr>
        <w:bidi w:val="0"/>
        <w:rPr>
          <w:lang w:val="en-US" w:eastAsia="zh-CN"/>
        </w:rPr>
      </w:pPr>
      <w:r>
        <w:t>对数据中心建设与运营主体，可在抽象参数域内比较不同冷却技术、水源配置与节水方案，避免单一指标优化导致能耗或环境负荷转移。</w:t>
      </w:r>
    </w:p>
    <w:p w14:paraId="25891DD6">
      <w:pPr>
        <w:bidi w:val="0"/>
        <w:rPr>
          <w:lang w:val="en-US" w:eastAsia="zh-CN"/>
        </w:rPr>
      </w:pPr>
      <w:r>
        <w:t>对水务管理研究，可评估AI算力增长对供水、污水处理、再生水系统与局部输配能力的新增压力，识别不同系统状态和时间尺度下有效的扩容策略。</w:t>
      </w:r>
    </w:p>
    <w:bookmarkEnd w:id="6"/>
    <w:p w14:paraId="4C6566E0">
      <w:pPr>
        <w:pStyle w:val="22"/>
        <w:pageBreakBefore/>
        <w:ind w:firstLine="0" w:firstLineChars="0"/>
        <w:outlineLvl w:val="0"/>
      </w:pPr>
      <w:bookmarkStart w:id="7" w:name="_Toc10098"/>
      <w:bookmarkStart w:id="8" w:name="_Toc12842"/>
      <w:r>
        <w:rPr>
          <w:rFonts w:hint="eastAsia" w:cs="Times New Roman"/>
          <w:b/>
          <w:bCs/>
          <w:color w:val="000000"/>
          <w:sz w:val="30"/>
          <w:szCs w:val="30"/>
          <w:lang w:val="en-US" w:eastAsia="zh-CN"/>
        </w:rPr>
        <w:t>二、</w:t>
      </w:r>
      <w:r>
        <w:rPr>
          <w:rFonts w:ascii="Times New Roman" w:hAnsi="Times New Roman" w:eastAsia="黑体" w:cs="Times New Roman"/>
          <w:b/>
          <w:bCs/>
          <w:color w:val="000000"/>
          <w:sz w:val="30"/>
          <w:szCs w:val="30"/>
        </w:rPr>
        <w:t xml:space="preserve"> 国内外研究现状及分析</w:t>
      </w:r>
      <w:bookmarkEnd w:id="7"/>
      <w:bookmarkEnd w:id="8"/>
    </w:p>
    <w:p w14:paraId="32B44F48">
      <w:pPr>
        <w:pStyle w:val="23"/>
        <w:pageBreakBefore w:val="0"/>
        <w:ind w:firstLine="0" w:firstLineChars="0"/>
        <w:outlineLvl w:val="1"/>
      </w:pPr>
      <w:bookmarkStart w:id="9" w:name="_Toc8233"/>
      <w:bookmarkStart w:id="10" w:name="_Toc31110"/>
      <w:r>
        <w:rPr>
          <w:rFonts w:ascii="Times New Roman" w:hAnsi="Times New Roman" w:eastAsia="黑体" w:cs="Times New Roman"/>
          <w:b/>
          <w:bCs/>
          <w:color w:val="000000"/>
          <w:sz w:val="28"/>
          <w:szCs w:val="28"/>
        </w:rPr>
        <w:t>2.1 国外研究现状</w:t>
      </w:r>
      <w:bookmarkEnd w:id="9"/>
      <w:bookmarkEnd w:id="10"/>
    </w:p>
    <w:p w14:paraId="6122C738">
      <w:pPr>
        <w:pStyle w:val="24"/>
        <w:pageBreakBefore w:val="0"/>
        <w:ind w:firstLine="0" w:firstLineChars="0"/>
        <w:outlineLvl w:val="2"/>
      </w:pPr>
      <w:bookmarkStart w:id="11" w:name="_Toc18015"/>
      <w:bookmarkStart w:id="12" w:name="_Toc15333"/>
      <w:r>
        <w:rPr>
          <w:rFonts w:ascii="Times New Roman" w:hAnsi="Times New Roman" w:eastAsia="黑体" w:cs="Times New Roman"/>
          <w:b/>
          <w:bCs/>
          <w:color w:val="000000"/>
          <w:sz w:val="24"/>
          <w:szCs w:val="24"/>
        </w:rPr>
        <w:t>2.1.1 城市代谢与综合城市水系统</w:t>
      </w:r>
      <w:bookmarkEnd w:id="11"/>
      <w:bookmarkEnd w:id="12"/>
    </w:p>
    <w:p w14:paraId="238F5590">
      <w:pPr>
        <w:spacing w:before="0" w:after="0" w:line="360" w:lineRule="auto"/>
        <w:ind w:firstLine="420"/>
      </w:pPr>
      <w:r>
        <w:t>Wolman以资源输入和废弃物输出阐释城市代谢[16]；Kennedy等通过跨城市物质流比较将其用于规划评价[17,18]；Castán Broto等强调工程、生态与社会科学的整合[19]。这些研究奠定了“输入—转化—输出”的系统边界，为纳入AI设施节点提供了概念基础。</w:t>
      </w:r>
    </w:p>
    <w:p w14:paraId="310EAC60">
      <w:pPr>
        <w:spacing w:before="0" w:after="0" w:line="360" w:lineRule="auto"/>
        <w:ind w:firstLine="420"/>
      </w:pPr>
      <w:r>
        <w:t>WaterMet²将水源、供水、需求、污水和环境绩效纳入动态质量平衡[20,21]；相关综述指出子系统连接、尺度转换、校准和不确定性处理的关键边界[22,23]。WSIMOD以节点—弧线结构实现水量水质守恒和模块复用[24]，系统动力学与强化学习则用于反馈分析和决策[25,26]。现有模型可统一描述过程节点与反馈，但尚未显式表示AI连续负荷的热—水转换。</w:t>
      </w:r>
    </w:p>
    <w:p w14:paraId="5CE4319C">
      <w:pPr>
        <w:spacing w:before="0" w:after="0" w:line="360" w:lineRule="auto"/>
        <w:ind w:firstLine="420"/>
      </w:pPr>
      <w:r>
        <w:t>城市代谢研究多采用年度物质流清单，难以刻画峰值压力和设施瓶颈；需求曲线、时间分辨率和行为参数又会显著影响需水预测[27]。因此本研究以日尺度为主、极端小时为补充，比较年度总量相同而时序不同的AI情景。</w:t>
      </w:r>
    </w:p>
    <w:p w14:paraId="31CD2C75">
      <w:pPr>
        <w:pStyle w:val="24"/>
        <w:pageBreakBefore w:val="0"/>
        <w:ind w:firstLine="0" w:firstLineChars="0"/>
        <w:outlineLvl w:val="2"/>
      </w:pPr>
      <w:bookmarkStart w:id="13" w:name="_Toc8095"/>
      <w:bookmarkStart w:id="14" w:name="_Toc12190"/>
      <w:r>
        <w:rPr>
          <w:rFonts w:ascii="Times New Roman" w:hAnsi="Times New Roman" w:eastAsia="黑体" w:cs="Times New Roman"/>
          <w:b/>
          <w:bCs/>
          <w:sz w:val="24"/>
          <w:szCs w:val="24"/>
        </w:rPr>
        <w:t>2.1.2 城市水，能，碳关系</w:t>
      </w:r>
      <w:bookmarkEnd w:id="13"/>
      <w:bookmarkEnd w:id="14"/>
    </w:p>
    <w:p w14:paraId="7F077B82">
      <w:pPr>
        <w:spacing w:before="0" w:after="0" w:line="360" w:lineRule="auto"/>
        <w:ind w:firstLine="420"/>
      </w:pPr>
      <w:r>
        <w:t>Kenway等梳理了城市供水、加压、处理和污水环节的水—能联系[28,29]；后续研究比较不同核算边界和指标[30,31]，并指出水源或处理技术变化可能造成能源与排放转移[32]。本课题据此分开记录本地物理水流和电力间接水足迹，并比较固定AI容量下的水—能—碳权衡。</w:t>
      </w:r>
    </w:p>
    <w:p w14:paraId="3F25A12F">
      <w:pPr>
        <w:spacing w:before="0" w:after="0" w:line="360" w:lineRule="auto"/>
        <w:ind w:firstLine="420"/>
      </w:pPr>
      <w:r>
        <w:t>多区域投入产出研究量化了城市间虚拟水与隐含能传递[82]，综合决策框架则纳入污水处理、再生水、能源和气候因素[84]。本课题据此把再生水处理和输配能耗纳入系统边界，并以AI冷却负荷作为时变驱动。</w:t>
      </w:r>
    </w:p>
    <w:p w14:paraId="28ACECCD">
      <w:pPr>
        <w:pStyle w:val="24"/>
        <w:pageBreakBefore w:val="0"/>
        <w:ind w:firstLine="0" w:firstLineChars="0"/>
        <w:outlineLvl w:val="2"/>
      </w:pPr>
      <w:bookmarkStart w:id="15" w:name="_Toc31085"/>
      <w:bookmarkStart w:id="16" w:name="_Toc22370"/>
      <w:r>
        <w:rPr>
          <w:rFonts w:ascii="Times New Roman" w:hAnsi="Times New Roman" w:eastAsia="黑体" w:cs="Times New Roman"/>
          <w:b/>
          <w:bCs/>
          <w:color w:val="000000"/>
          <w:sz w:val="24"/>
          <w:szCs w:val="24"/>
        </w:rPr>
        <w:t>2.1.3 AI与数据中心资源环境足迹</w:t>
      </w:r>
      <w:bookmarkEnd w:id="15"/>
      <w:bookmarkEnd w:id="16"/>
    </w:p>
    <w:p w14:paraId="58184674">
      <w:pPr>
        <w:spacing w:before="0" w:after="0" w:line="360" w:lineRule="auto"/>
        <w:ind w:firstLine="420"/>
      </w:pPr>
      <w:r>
        <w:t>AI环境足迹研究已形成能源和碳核算基础：包括训练能耗量化[34]、机器学习能耗与碳足迹报告规范[35]、Green Algorithms工具[36]和Green AI理念[37]。但这些工作对城市供排水系统反馈的描述仍不足。</w:t>
      </w:r>
    </w:p>
    <w:p w14:paraId="504B5840">
      <w:pPr>
        <w:spacing w:before="0" w:after="0" w:line="360" w:lineRule="auto"/>
        <w:ind w:firstLine="420"/>
      </w:pPr>
      <w:r>
        <w:t>数据中心用水研究已覆盖直接冷却用水、间接发电用水、水源与披露缺口[7]，并揭示服务器效率、电网水耗因子、利用率、冷却技术和气候区等对用水的影响[8]。AI模型水足迹具有显著时空差异[42]，其情景预测也存在多重不确定性[43]。这些成果可支撑负荷、气候和冷却参数设置，但多止于设施或区域足迹，未将AI新增冷却需求与城市再生水供给能力、供水设施余量及峰值约束纳入统一分析。</w:t>
      </w:r>
    </w:p>
    <w:p w14:paraId="7C2AC68A">
      <w:pPr>
        <w:spacing w:before="0" w:after="0" w:line="360" w:lineRule="auto"/>
        <w:ind w:firstLine="420"/>
      </w:pPr>
      <w:r>
        <w:rPr>
          <w:rFonts w:ascii="Times New Roman" w:hAnsi="Times New Roman" w:eastAsia="宋体"/>
          <w:sz w:val="24"/>
        </w:rPr>
        <w:t>近期预印本讨论了数据中心对公共供水容量的压力及AI用水—供水反馈[44,45]。鉴于其尚未经同行评议，本文仅据此说明问题重要性，不采用其数值结论；参数仍取自正式文献、标准和工程资料。数据中心—污水厂协同研究则展示了数—水共生潜力[46]。</w:t>
      </w:r>
    </w:p>
    <w:p w14:paraId="4E28DE6E">
      <w:pPr>
        <w:pStyle w:val="24"/>
        <w:pageBreakBefore w:val="0"/>
        <w:ind w:firstLine="0" w:firstLineChars="0"/>
        <w:outlineLvl w:val="2"/>
      </w:pPr>
      <w:bookmarkStart w:id="17" w:name="_Toc8135"/>
      <w:bookmarkStart w:id="18" w:name="_Toc31998"/>
      <w:r>
        <w:rPr>
          <w:rFonts w:ascii="Times New Roman" w:hAnsi="Times New Roman" w:eastAsia="黑体" w:cs="Times New Roman"/>
          <w:b/>
          <w:bCs/>
          <w:color w:val="000000"/>
          <w:sz w:val="24"/>
          <w:szCs w:val="24"/>
        </w:rPr>
        <w:t>2.1.4 冷却与再生水工程</w:t>
      </w:r>
      <w:bookmarkEnd w:id="17"/>
      <w:bookmarkEnd w:id="18"/>
    </w:p>
    <w:p w14:paraId="2A312FA4">
      <w:pPr>
        <w:spacing w:before="0" w:after="0" w:line="360" w:lineRule="auto"/>
        <w:ind w:firstLine="420"/>
      </w:pPr>
      <w:r>
        <w:t>现有研究总结了数据中心热排散、自由冷却和余热回收条件[47]，比较相变冷却结构与工况[50]，综述冷却技术的能效和环境影响[51]，并指出液冷的高热流密度优势及集成控制挑战[52]。据此，本课题区分服务器侧热捕集与设施侧末端排热，将湿球温度、蒸发损失和浓缩倍数纳入补水方程。</w:t>
      </w:r>
    </w:p>
    <w:p w14:paraId="16A2980F">
      <w:pPr>
        <w:pStyle w:val="24"/>
        <w:pageBreakBefore w:val="0"/>
        <w:ind w:firstLine="0" w:firstLineChars="0"/>
        <w:outlineLvl w:val="2"/>
      </w:pPr>
      <w:bookmarkStart w:id="19" w:name="_Toc9243"/>
      <w:bookmarkStart w:id="20" w:name="_Toc1125"/>
      <w:r>
        <w:rPr>
          <w:rFonts w:ascii="Times New Roman" w:hAnsi="Times New Roman" w:eastAsia="黑体" w:cs="Times New Roman"/>
          <w:b/>
          <w:bCs/>
          <w:color w:val="000000"/>
          <w:sz w:val="24"/>
          <w:szCs w:val="24"/>
        </w:rPr>
        <w:t>2.1.5 可靠性与不确定性决策方法</w:t>
      </w:r>
      <w:bookmarkEnd w:id="19"/>
      <w:bookmarkEnd w:id="20"/>
    </w:p>
    <w:p w14:paraId="2D0A84C4">
      <w:pPr>
        <w:spacing w:before="0" w:after="0" w:line="360" w:lineRule="auto"/>
        <w:ind w:firstLine="420"/>
      </w:pPr>
      <w:r>
        <w:t>水资源系统可用可靠性、恢复性和脆弱性评价服务绩效[53]；稳健优化可处理极端干旱与气候不确定性[54]；动态适应路径把未来状态变化与分阶段决策相连[56,57]，并已用于综合城市污水系统规划[58]。这些方法为多压力情景、失效判据和干预时序提供依据。</w:t>
      </w:r>
    </w:p>
    <w:p w14:paraId="1B245A3B">
      <w:pPr>
        <w:pStyle w:val="23"/>
        <w:pageBreakBefore w:val="0"/>
        <w:ind w:firstLine="0" w:firstLineChars="0"/>
        <w:outlineLvl w:val="1"/>
      </w:pPr>
      <w:bookmarkStart w:id="21" w:name="_Toc14570"/>
      <w:bookmarkStart w:id="22" w:name="_Toc22702"/>
      <w:r>
        <w:rPr>
          <w:rFonts w:ascii="Times New Roman" w:hAnsi="Times New Roman" w:eastAsia="黑体" w:cs="Times New Roman"/>
          <w:b/>
          <w:bCs/>
          <w:color w:val="000000"/>
          <w:sz w:val="28"/>
          <w:szCs w:val="28"/>
        </w:rPr>
        <w:t>2.2 国内研究现状</w:t>
      </w:r>
      <w:bookmarkEnd w:id="21"/>
      <w:bookmarkEnd w:id="22"/>
    </w:p>
    <w:p w14:paraId="3C45FD8D">
      <w:pPr>
        <w:spacing w:before="0" w:after="0" w:line="360" w:lineRule="auto"/>
        <w:ind w:firstLine="420"/>
      </w:pPr>
      <w:r>
        <w:t>国内水资源承载力研究认为，承载力是资源供给、社会需求与生态约束共同作用的动态结果[60]；设计承载容量进一步纳入工程供给能力[61]。长春、广州等案例的系统动力学和综合评价表明，人口、经济、供水和环境存在非线性反馈，承载状态随发展情景变化[64,65]。这些成果为城市状态变量和承载边界建模提供了基础。</w:t>
      </w:r>
    </w:p>
    <w:p w14:paraId="5B49BE0E">
      <w:pPr>
        <w:spacing w:before="0" w:after="0" w:line="360" w:lineRule="auto"/>
        <w:ind w:firstLine="420"/>
      </w:pPr>
      <w:r>
        <w:t>国内研究已用物理—虚拟水生态网络识别关键代谢环节及污水处理、再生利用方向[68]，并从城市代谢视角总结水—能耦合和资源转移效应[69]；全球城市缺水预测也显示需求与资源禀赋具有区域异质性[70]。这些工作支持节点—路径和多参数域设计，但尚未纳入AI连续负荷及冷却热—水转换。</w:t>
      </w:r>
    </w:p>
    <w:p w14:paraId="2024C0AD">
      <w:pPr>
        <w:spacing w:before="0" w:after="0" w:line="360" w:lineRule="auto"/>
        <w:ind w:firstLine="420"/>
      </w:pPr>
      <w:r>
        <w:t>中国数据中心研究已开展设施级能源驱动水足迹及稀缺性情景分析，表明电力结构、冷却方式和区域水风险共同影响水环境足迹[10]；国家标准也规定了水资源使用效率口径[72]。但现有工作仍以设施效率或区域足迹为主，尚未在同一模型中连接AI新增补水需求、再生水供给能力与城市供排水设施余量。</w:t>
      </w:r>
    </w:p>
    <w:p w14:paraId="3418481E">
      <w:r>
        <w:t>Dai等结合系统动力学、元胞自动机和GIS，模拟永定河流域2017—2035年社会经济、水量利用和污染负荷的时空变化，发现资源和水质约束造成空间不均衡，承载阈值随系统状态与压力变化[99]。这为条件化承载边界提供了直接依据。</w:t>
      </w:r>
    </w:p>
    <w:p w14:paraId="1D67D740">
      <w:r>
        <w:t>Cai等构建北京物理—虚拟水循环生态网络，连接多类水源与居民、生产和生态用水，识别了水配送、漏损、污水处理和再生水对系统韧性的作用[100]。本课题将在抽象参数域中检验水源结构调整对AI承载边界和主导瓶颈的影响。</w:t>
      </w:r>
    </w:p>
    <w:p w14:paraId="7E14F926">
      <w:r>
        <w:t>Zou、Chen和Wang将生态网络分析与NSGA-II双目标优化结合，在北京水代谢网络中同步优化能耗和韧性[101]。该研究证明水代谢网络可连接资源流、韧性和优化决策；本课题进一步把瓶颈识别和干预分析扩展到AI负荷及冷却过程。</w:t>
      </w:r>
    </w:p>
    <w:p w14:paraId="39638A3E">
      <w:pPr>
        <w:pStyle w:val="23"/>
        <w:pageBreakBefore w:val="0"/>
        <w:ind w:firstLine="0" w:firstLineChars="0"/>
        <w:outlineLvl w:val="1"/>
      </w:pPr>
      <w:bookmarkStart w:id="23" w:name="_Toc15689"/>
      <w:bookmarkStart w:id="24" w:name="_Toc25288"/>
      <w:r>
        <w:rPr>
          <w:rFonts w:ascii="Times New Roman" w:hAnsi="Times New Roman" w:eastAsia="黑体" w:cs="Times New Roman"/>
          <w:b/>
          <w:bCs/>
          <w:color w:val="000000"/>
          <w:sz w:val="28"/>
          <w:szCs w:val="28"/>
        </w:rPr>
        <w:t>2.3 国内外文献综述简析</w:t>
      </w:r>
      <w:bookmarkEnd w:id="23"/>
      <w:bookmarkEnd w:id="24"/>
    </w:p>
    <w:p w14:paraId="75892E0C">
      <w:pPr>
        <w:spacing w:before="0" w:after="0" w:line="360" w:lineRule="auto"/>
        <w:ind w:firstLine="420"/>
      </w:pPr>
      <w:r>
        <w:rPr>
          <w:rFonts w:ascii="Times New Roman" w:hAnsi="Times New Roman"/>
          <w:sz w:val="24"/>
        </w:rPr>
        <w:t>现有知识链条尚未闭合：设施研究可将计算量转换为水耗，城市水系统研究可描述供水、污水与再生水循环，但缺少以AI IT容量驱动、以城市人工水系统为边界、可在日尺度验证的过程接口，也缺少对时序压力和瓶颈转换的机制解释。</w:t>
      </w:r>
    </w:p>
    <w:p w14:paraId="2CF41326">
      <w:pPr>
        <w:spacing w:before="0" w:after="0" w:line="360" w:lineRule="auto"/>
        <w:ind w:firstLine="420"/>
      </w:pPr>
      <w:r>
        <w:rPr>
          <w:rFonts w:ascii="Times New Roman" w:hAnsi="Times New Roman" w:eastAsia="宋体" w:cs="Times New Roman"/>
          <w:sz w:val="24"/>
          <w:szCs w:val="24"/>
        </w:rPr>
        <w:t>据此，本研究凝练三条递进矛盾：设施补水增长不等于城市水流结构变化；相同年用水量可能对应不同峰值压力与可靠性；增加再生水或扩建设施还会改变主导约束。三者依次回答“发生了什么、为何边界不同、边界由何控制”。</w:t>
      </w:r>
    </w:p>
    <w:p w14:paraId="6A13A867">
      <w:pPr>
        <w:spacing w:before="0" w:after="0" w:line="360" w:lineRule="auto"/>
        <w:ind w:firstLine="420"/>
      </w:pPr>
      <w:r>
        <w:rPr>
          <w:rFonts w:ascii="Times New Roman" w:hAnsi="Times New Roman" w:eastAsia="宋体"/>
          <w:sz w:val="24"/>
        </w:rPr>
        <w:t>本文将AI边际响应分为规模响应（路径比例稳定、总量同步变化）、结构响应（水源配置比例、设施负荷分布或关键水流路径发生系统性变化）和约束状态转换（主导约束迁移）。只有结构指标系统变化且排除单一容量截断造成的机械折点，才判定为结构重构。</w:t>
      </w:r>
    </w:p>
    <w:p w14:paraId="2F1F47E6">
      <w:pPr>
        <w:spacing w:before="0" w:after="0" w:line="360" w:lineRule="auto"/>
        <w:ind w:firstLine="420"/>
      </w:pPr>
      <w:r>
        <w:rPr>
          <w:rFonts w:ascii="Times New Roman" w:hAnsi="Times New Roman" w:eastAsia="宋体" w:cs="Times New Roman"/>
          <w:b w:val="0"/>
          <w:color w:val="000000"/>
          <w:sz w:val="24"/>
        </w:rPr>
        <w:t>设施研究擅长刻画冷却—负荷关系，城市综合模型擅长描述供排水循环，承载力研究擅长连接资源状态与发展规模，但三者常分别外置城市设施条件、简化高密度计算负荷或忽略小时级热—水转换。本研究将其组织为可检验因果链：先以水量守恒关系识别AI冷却过程中的取水、消耗和排放特征及其对城市供水、污水处理和再生水配置能力的影响，再在年总量可比条件下改变负荷时序和气候响应，最后逐项解除约束以观察边界与瓶颈变化。</w:t>
      </w:r>
    </w:p>
    <w:p w14:paraId="5DC02D62">
      <w:pPr>
        <w:spacing w:before="0" w:after="0" w:line="360" w:lineRule="auto"/>
        <w:ind w:firstLine="420"/>
      </w:pPr>
      <w:r>
        <w:rPr>
          <w:rFonts w:ascii="Times New Roman" w:hAnsi="Times New Roman"/>
          <w:sz w:val="24"/>
        </w:rPr>
        <w:t>本研究以AI IT容量为外生规模变量，以水源、给水、污水、再生水、储存、输配和服务优先级为系统状态，以冷却架构和气候为过程参数，以条件化AI水系统承载容量（CAWCC）及主导瓶颈为输出，在可解释参数域内识别结构重构与瓶颈迁移条件。</w:t>
      </w:r>
    </w:p>
    <w:p w14:paraId="2E8E3F48">
      <w:pPr>
        <w:pStyle w:val="22"/>
        <w:pageBreakBefore/>
        <w:ind w:firstLine="0" w:firstLineChars="0"/>
        <w:outlineLvl w:val="0"/>
      </w:pPr>
      <w:bookmarkStart w:id="25" w:name="_Toc21069"/>
      <w:bookmarkStart w:id="26" w:name="_Toc7247"/>
      <w:r>
        <w:rPr>
          <w:rFonts w:hint="eastAsia" w:cs="Times New Roman"/>
          <w:b/>
          <w:bCs/>
          <w:color w:val="000000"/>
          <w:sz w:val="30"/>
          <w:szCs w:val="30"/>
          <w:lang w:val="en-US" w:eastAsia="zh-CN"/>
        </w:rPr>
        <w:t>三、</w:t>
      </w:r>
      <w:r>
        <w:rPr>
          <w:rFonts w:ascii="Times New Roman" w:hAnsi="Times New Roman" w:eastAsia="黑体" w:cs="Times New Roman"/>
          <w:b/>
          <w:bCs/>
          <w:color w:val="000000"/>
          <w:sz w:val="30"/>
          <w:szCs w:val="30"/>
        </w:rPr>
        <w:t xml:space="preserve"> 主要内容及方案</w:t>
      </w:r>
      <w:bookmarkEnd w:id="25"/>
      <w:bookmarkEnd w:id="26"/>
    </w:p>
    <w:p w14:paraId="4ADB3769">
      <w:pPr>
        <w:pStyle w:val="23"/>
        <w:pageBreakBefore w:val="0"/>
        <w:ind w:firstLine="0" w:firstLineChars="0"/>
        <w:outlineLvl w:val="1"/>
      </w:pPr>
      <w:bookmarkStart w:id="27" w:name="_Toc25128"/>
      <w:bookmarkStart w:id="28" w:name="_Toc13950"/>
      <w:r>
        <w:rPr>
          <w:rFonts w:ascii="Times New Roman" w:hAnsi="Times New Roman" w:eastAsia="黑体" w:cs="Times New Roman"/>
          <w:b/>
          <w:bCs/>
          <w:color w:val="000000"/>
          <w:sz w:val="28"/>
          <w:szCs w:val="28"/>
        </w:rPr>
        <w:t>3.1 科学问题与研究假设</w:t>
      </w:r>
      <w:bookmarkEnd w:id="27"/>
    </w:p>
    <w:p w14:paraId="247C0A66">
      <w:pPr>
        <w:spacing w:before="0" w:after="0" w:line="360" w:lineRule="auto"/>
        <w:ind w:firstLine="420"/>
      </w:pPr>
      <w:r>
        <w:rPr>
          <w:rFonts w:ascii="Times New Roman" w:hAnsi="Times New Roman" w:eastAsia="宋体" w:cs="Times New Roman"/>
          <w:b w:val="0"/>
          <w:color w:val="000000"/>
          <w:sz w:val="24"/>
        </w:rPr>
        <w:t>围绕研究空白，论文将“AI负荷如何改变城市人工水系统”作为总问题，并分解为三个相互递进的科学问题：</w:t>
      </w:r>
    </w:p>
    <w:p w14:paraId="063FE1F0">
      <w:pPr>
        <w:spacing w:before="0" w:after="0" w:line="360" w:lineRule="auto"/>
        <w:ind w:firstLine="420"/>
      </w:pPr>
      <w:r>
        <w:rPr>
          <w:rFonts w:ascii="Times New Roman" w:hAnsi="Times New Roman" w:eastAsia="宋体" w:cs="Times New Roman"/>
          <w:b w:val="0"/>
          <w:color w:val="000000"/>
          <w:sz w:val="24"/>
        </w:rPr>
        <w:t>科学问题一（代谢响应）：AI算力基础设施通过怎样的取水、消耗、回流与再生利用链条影响城市人工水系统？当AI规模接近关键设施承载能力时，系统响应何时由水量增加转变为水源结构、循环路径和设施负荷的重构？</w:t>
      </w:r>
    </w:p>
    <w:p w14:paraId="56898DE8">
      <w:pPr>
        <w:spacing w:before="0" w:after="0" w:line="360" w:lineRule="auto"/>
        <w:ind w:firstLine="420"/>
      </w:pPr>
      <w:r>
        <w:rPr>
          <w:rFonts w:ascii="Times New Roman" w:hAnsi="Times New Roman" w:eastAsia="宋体" w:cs="Times New Roman"/>
          <w:b w:val="0"/>
          <w:color w:val="000000"/>
          <w:sz w:val="24"/>
        </w:rPr>
        <w:t>科学问题二（时间尺度边界）：AI负荷连续性、冷却对高温的敏感性与传统需水峰值的耦合，如何造成年、日与极端小时尺度承载边界的差异？年均评价在何种城市状态下会高估可承载的AI规模？</w:t>
      </w:r>
    </w:p>
    <w:p w14:paraId="641748EB">
      <w:pPr>
        <w:spacing w:before="0" w:after="0" w:line="360" w:lineRule="auto"/>
        <w:ind w:firstLine="420"/>
      </w:pPr>
      <w:r>
        <w:rPr>
          <w:rFonts w:ascii="Times New Roman" w:hAnsi="Times New Roman" w:eastAsia="宋体" w:cs="Times New Roman"/>
          <w:b w:val="0"/>
          <w:color w:val="000000"/>
          <w:sz w:val="24"/>
        </w:rPr>
        <w:t>科学问题三（瓶颈转换）：随AI规模扩张，城市水系统中哪一个环节最先成为限制因素，该限制如何在不同环节之间迁移？不同干预措施的有效区间与边际有效性转折由什么决定？</w:t>
      </w:r>
    </w:p>
    <w:p w14:paraId="7BE1960D">
      <w:pPr>
        <w:spacing w:before="0" w:after="0" w:line="360" w:lineRule="auto"/>
        <w:ind w:firstLine="420"/>
      </w:pPr>
      <w:r>
        <w:rPr>
          <w:rFonts w:ascii="Times New Roman" w:hAnsi="Times New Roman" w:eastAsia="宋体" w:cs="Times New Roman"/>
          <w:b w:val="0"/>
          <w:color w:val="000000"/>
          <w:sz w:val="24"/>
        </w:rPr>
        <w:t>H1（代谢结构响应假设）：AI规模较低时，算力扩张主要表现为取水、耗水、回流与设施负荷的总量增加，水流路径比例基本稳定；当AI规模接近城市供水、污水处理或再生水利用等关键环节的承载能力时，系统响应可能由规模增长转变为结构调整，表现为水源配置比例、设施负荷分布或关键水流路径发生系统性变化。该变化源于系统约束还是人为配置，将通过不同水源配置策略下的对照加以区分。</w:t>
      </w:r>
    </w:p>
    <w:p w14:paraId="1B52367A">
      <w:pPr>
        <w:spacing w:before="0" w:after="0" w:line="360" w:lineRule="auto"/>
        <w:ind w:firstLine="420"/>
      </w:pPr>
      <w:r>
        <w:rPr>
          <w:rFonts w:ascii="Times New Roman" w:hAnsi="Times New Roman" w:eastAsia="宋体" w:cs="Times New Roman"/>
          <w:b w:val="0"/>
          <w:color w:val="000000"/>
          <w:sz w:val="24"/>
        </w:rPr>
        <w:t>H2（时间尺度边界假设）：在年总AI负荷与年总用水量可比的前提下，时间聚合会掩盖AI连续负荷、高温敏感冷却需求与传统需水峰值的叠加效应，因此年均尺度得到的承载边界预计不低于日尺度，日尺度不低于极端小时尺度。这一差异主要由峰值重合程度、气候条件与关键设施剩余能力决定；当储存调节、干式排热或设施裕度足以削峰时，差异相应缩小。</w:t>
      </w:r>
    </w:p>
    <w:p w14:paraId="342DBA54">
      <w:pPr>
        <w:spacing w:before="0" w:after="0" w:line="360" w:lineRule="auto"/>
        <w:ind w:firstLine="420"/>
      </w:pPr>
      <w:r>
        <w:rPr>
          <w:rFonts w:ascii="Times New Roman" w:hAnsi="Times New Roman" w:eastAsia="宋体" w:cs="Times New Roman"/>
          <w:b w:val="0"/>
          <w:color w:val="000000"/>
          <w:sz w:val="24"/>
        </w:rPr>
        <w:t>H3（瓶颈迁移与干预有效性假设）：随AI规模提高，最先达到失效条件的约束首先出现在水源供给、给水处理与输配能力等一级约束环节之间；当供水侧余量充足而污水处理、再生水利用等二级约束环节的设施余量接近上限时，主导瓶颈才向二级约束环节迁移。针对当前主导瓶颈实施扩容或技术干预可提升承载边界，但随着其他约束接近阈值，单位干预增量将下降并可能出现新的主导瓶颈，因此各类干预均存在条件化的有效区间与边际有效性转折。</w:t>
      </w:r>
    </w:p>
    <w:p w14:paraId="32EBA085">
      <w:pPr>
        <w:pStyle w:val="23"/>
        <w:pageBreakBefore w:val="0"/>
        <w:ind w:firstLine="0" w:firstLineChars="0"/>
        <w:outlineLvl w:val="1"/>
      </w:pPr>
      <w:bookmarkStart w:id="29" w:name="_Toc2945"/>
      <w:r>
        <w:rPr>
          <w:rFonts w:ascii="Times New Roman" w:hAnsi="Times New Roman" w:eastAsia="黑体" w:cs="Times New Roman"/>
          <w:b/>
          <w:bCs/>
          <w:color w:val="000000"/>
          <w:sz w:val="28"/>
          <w:szCs w:val="28"/>
        </w:rPr>
        <w:t>3.2 研究内容与总体框架</w:t>
      </w:r>
      <w:bookmarkEnd w:id="29"/>
    </w:p>
    <w:p w14:paraId="02E5F5BF">
      <w:pPr>
        <w:spacing w:before="0" w:after="0" w:line="360" w:lineRule="auto"/>
        <w:ind w:firstLine="420"/>
      </w:pPr>
      <w:r>
        <w:rPr>
          <w:rFonts w:ascii="Times New Roman" w:hAnsi="Times New Roman" w:eastAsia="宋体" w:cs="Times New Roman"/>
          <w:b w:val="0"/>
          <w:color w:val="000000"/>
          <w:sz w:val="24"/>
        </w:rPr>
        <w:t>本研究围绕AI基础设施进入城市水系统后的资源流动、代谢变化、承载边界与瓶颈机制四个方面展开。四项内容依次承担平台构建、现象识别、边界解释与干预分析，共同服务于上述三个科学问题，对应关系如表3-1所示。</w:t>
      </w:r>
    </w:p>
    <w:p w14:paraId="157C5959">
      <w:pPr>
        <w:spacing w:before="120" w:after="120" w:line="360" w:lineRule="auto"/>
        <w:ind w:left="0" w:leftChars="0" w:firstLine="0" w:firstLineChars="0"/>
        <w:jc w:val="center"/>
      </w:pPr>
      <w:r>
        <w:rPr>
          <w:rFonts w:ascii="Times New Roman" w:hAnsi="Times New Roman" w:eastAsia="宋体" w:cs="Times New Roman"/>
          <w:b w:val="0"/>
          <w:color w:val="000000"/>
          <w:sz w:val="24"/>
          <w:szCs w:val="24"/>
        </w:rPr>
        <w:t>表3-1 研究内容、核心任务与预期产出</w:t>
      </w:r>
    </w:p>
    <w:tbl>
      <w:tblPr>
        <w:tblStyle w:val="1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7"/>
        <w:gridCol w:w="2267"/>
        <w:gridCol w:w="2267"/>
        <w:gridCol w:w="2270"/>
      </w:tblGrid>
      <w:tr w14:paraId="6BECD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7" w:type="dxa"/>
            <w:tcBorders>
              <w:top w:val="single" w:color="000000" w:sz="12" w:space="0"/>
              <w:left w:val="nil"/>
              <w:bottom w:val="single" w:color="000000" w:sz="4" w:space="0"/>
              <w:right w:val="nil"/>
              <w:tl2br w:val="nil"/>
            </w:tcBorders>
            <w:shd w:val="clear" w:color="auto" w:fill="FFFFFF"/>
          </w:tcPr>
          <w:p w14:paraId="28EA782E">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研究内容</w:t>
            </w:r>
          </w:p>
        </w:tc>
        <w:tc>
          <w:tcPr>
            <w:tcW w:w="2267" w:type="dxa"/>
            <w:tcBorders>
              <w:top w:val="single" w:color="000000" w:sz="12" w:space="0"/>
              <w:left w:val="nil"/>
              <w:bottom w:val="single" w:color="000000" w:sz="4" w:space="0"/>
              <w:right w:val="nil"/>
            </w:tcBorders>
            <w:shd w:val="clear" w:color="auto" w:fill="FFFFFF"/>
          </w:tcPr>
          <w:p w14:paraId="46D3E4E1">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核心任务</w:t>
            </w:r>
          </w:p>
        </w:tc>
        <w:tc>
          <w:tcPr>
            <w:tcW w:w="2267" w:type="dxa"/>
            <w:tcBorders>
              <w:top w:val="single" w:color="000000" w:sz="12" w:space="0"/>
              <w:left w:val="nil"/>
              <w:bottom w:val="single" w:color="000000" w:sz="4" w:space="0"/>
              <w:right w:val="nil"/>
            </w:tcBorders>
            <w:shd w:val="clear" w:color="auto" w:fill="FFFFFF"/>
          </w:tcPr>
          <w:p w14:paraId="55C24A5C">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拟回答的问题</w:t>
            </w:r>
          </w:p>
        </w:tc>
        <w:tc>
          <w:tcPr>
            <w:tcW w:w="2270" w:type="dxa"/>
            <w:tcBorders>
              <w:top w:val="single" w:color="000000" w:sz="12" w:space="0"/>
              <w:left w:val="nil"/>
              <w:bottom w:val="single" w:color="000000" w:sz="4" w:space="0"/>
              <w:right w:val="nil"/>
            </w:tcBorders>
            <w:shd w:val="clear" w:color="auto" w:fill="FFFFFF"/>
          </w:tcPr>
          <w:p w14:paraId="04952F5A">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预期形成</w:t>
            </w:r>
          </w:p>
        </w:tc>
      </w:tr>
      <w:tr w14:paraId="03B4B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single" w:color="000000" w:sz="4" w:space="0"/>
              <w:left w:val="nil"/>
              <w:bottom w:val="nil"/>
              <w:right w:val="nil"/>
            </w:tcBorders>
            <w:shd w:val="clear" w:color="auto" w:fill="FFFFFF"/>
          </w:tcPr>
          <w:p w14:paraId="62191D8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一、耦合模型</w:t>
            </w:r>
          </w:p>
        </w:tc>
        <w:tc>
          <w:tcPr>
            <w:tcW w:w="2267" w:type="dxa"/>
            <w:tcBorders>
              <w:top w:val="single" w:color="000000" w:sz="4" w:space="0"/>
              <w:left w:val="nil"/>
              <w:bottom w:val="nil"/>
              <w:right w:val="nil"/>
            </w:tcBorders>
            <w:shd w:val="clear" w:color="auto" w:fill="FFFFFF"/>
          </w:tcPr>
          <w:p w14:paraId="6CC6CE7C">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sz w:val="21"/>
                <w:szCs w:val="21"/>
              </w:rPr>
              <w:t>建立AI节点、城市水循环、水量守恒和参数证据库</w:t>
            </w:r>
          </w:p>
        </w:tc>
        <w:tc>
          <w:tcPr>
            <w:tcW w:w="2267" w:type="dxa"/>
            <w:tcBorders>
              <w:top w:val="single" w:color="000000" w:sz="4" w:space="0"/>
              <w:left w:val="nil"/>
              <w:bottom w:val="nil"/>
              <w:right w:val="nil"/>
            </w:tcBorders>
            <w:shd w:val="clear" w:color="auto" w:fill="FFFFFF"/>
          </w:tcPr>
          <w:p w14:paraId="7373FFEB">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AI如何进入城市水流网络</w:t>
            </w:r>
          </w:p>
        </w:tc>
        <w:tc>
          <w:tcPr>
            <w:tcW w:w="2270" w:type="dxa"/>
            <w:tcBorders>
              <w:top w:val="single" w:color="000000" w:sz="4" w:space="0"/>
              <w:left w:val="nil"/>
              <w:bottom w:val="nil"/>
              <w:right w:val="nil"/>
            </w:tcBorders>
            <w:shd w:val="clear" w:color="auto" w:fill="FFFFFF"/>
          </w:tcPr>
          <w:p w14:paraId="471264C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可验证的AI-UWM模型</w:t>
            </w:r>
          </w:p>
        </w:tc>
      </w:tr>
      <w:tr w14:paraId="12170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nil"/>
              <w:right w:val="nil"/>
            </w:tcBorders>
            <w:shd w:val="clear" w:color="auto" w:fill="FFFFFF"/>
          </w:tcPr>
          <w:p w14:paraId="789DC4B9">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二、代谢响应</w:t>
            </w:r>
          </w:p>
        </w:tc>
        <w:tc>
          <w:tcPr>
            <w:tcW w:w="2267" w:type="dxa"/>
            <w:tcBorders>
              <w:top w:val="nil"/>
              <w:left w:val="nil"/>
              <w:bottom w:val="nil"/>
              <w:right w:val="nil"/>
            </w:tcBorders>
            <w:shd w:val="clear" w:color="auto" w:fill="FFFFFF"/>
          </w:tcPr>
          <w:p w14:paraId="3030DEF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容量梯度、冷却/水源对照、AI与普通工业对照</w:t>
            </w:r>
          </w:p>
        </w:tc>
        <w:tc>
          <w:tcPr>
            <w:tcW w:w="2267" w:type="dxa"/>
            <w:tcBorders>
              <w:top w:val="nil"/>
              <w:left w:val="nil"/>
              <w:bottom w:val="nil"/>
              <w:right w:val="nil"/>
            </w:tcBorders>
            <w:shd w:val="clear" w:color="auto" w:fill="FFFFFF"/>
          </w:tcPr>
          <w:p w14:paraId="2253B6B8">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何时由规模效应转为结构重构</w:t>
            </w:r>
          </w:p>
        </w:tc>
        <w:tc>
          <w:tcPr>
            <w:tcW w:w="2270" w:type="dxa"/>
            <w:tcBorders>
              <w:top w:val="nil"/>
              <w:left w:val="nil"/>
              <w:bottom w:val="nil"/>
              <w:right w:val="nil"/>
            </w:tcBorders>
            <w:shd w:val="clear" w:color="auto" w:fill="FFFFFF"/>
          </w:tcPr>
          <w:p w14:paraId="434A3EB9">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代谢响应规律</w:t>
            </w:r>
          </w:p>
        </w:tc>
      </w:tr>
      <w:tr w14:paraId="72EA1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nil"/>
              <w:right w:val="nil"/>
            </w:tcBorders>
            <w:shd w:val="clear" w:color="auto" w:fill="FFFFFF"/>
          </w:tcPr>
          <w:p w14:paraId="7327858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三、承载边界</w:t>
            </w:r>
          </w:p>
        </w:tc>
        <w:tc>
          <w:tcPr>
            <w:tcW w:w="2267" w:type="dxa"/>
            <w:tcBorders>
              <w:top w:val="nil"/>
              <w:left w:val="nil"/>
              <w:bottom w:val="nil"/>
              <w:right w:val="nil"/>
            </w:tcBorders>
            <w:shd w:val="clear" w:color="auto" w:fill="FFFFFF"/>
          </w:tcPr>
          <w:p w14:paraId="465881E0">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sz w:val="21"/>
                <w:szCs w:val="21"/>
              </w:rPr>
              <w:t>年均，日，小时、复合气候、CAWCC求解</w:t>
            </w:r>
          </w:p>
        </w:tc>
        <w:tc>
          <w:tcPr>
            <w:tcW w:w="2267" w:type="dxa"/>
            <w:tcBorders>
              <w:top w:val="nil"/>
              <w:left w:val="nil"/>
              <w:bottom w:val="nil"/>
              <w:right w:val="nil"/>
            </w:tcBorders>
            <w:shd w:val="clear" w:color="auto" w:fill="FFFFFF"/>
          </w:tcPr>
          <w:p w14:paraId="4EC1BE6C">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平均与峰值边界为何不同</w:t>
            </w:r>
          </w:p>
        </w:tc>
        <w:tc>
          <w:tcPr>
            <w:tcW w:w="2270" w:type="dxa"/>
            <w:tcBorders>
              <w:top w:val="nil"/>
              <w:left w:val="nil"/>
              <w:bottom w:val="nil"/>
              <w:right w:val="nil"/>
            </w:tcBorders>
            <w:shd w:val="clear" w:color="auto" w:fill="FFFFFF"/>
          </w:tcPr>
          <w:p w14:paraId="02621CAB">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条件化边界和提前机制</w:t>
            </w:r>
          </w:p>
        </w:tc>
      </w:tr>
      <w:tr w14:paraId="0DD78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single" w:color="000000" w:sz="12" w:space="0"/>
              <w:right w:val="nil"/>
            </w:tcBorders>
            <w:shd w:val="clear" w:color="auto" w:fill="FFFFFF"/>
          </w:tcPr>
          <w:p w14:paraId="0FD7D79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四、瓶颈与干预</w:t>
            </w:r>
          </w:p>
        </w:tc>
        <w:tc>
          <w:tcPr>
            <w:tcW w:w="2267" w:type="dxa"/>
            <w:tcBorders>
              <w:top w:val="nil"/>
              <w:left w:val="nil"/>
              <w:bottom w:val="single" w:color="000000" w:sz="12" w:space="0"/>
              <w:right w:val="nil"/>
            </w:tcBorders>
            <w:shd w:val="clear" w:color="auto" w:fill="FFFFFF"/>
          </w:tcPr>
          <w:p w14:paraId="6AA3F71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约束转换、再生水边际有效性、负担转移</w:t>
            </w:r>
          </w:p>
        </w:tc>
        <w:tc>
          <w:tcPr>
            <w:tcW w:w="2267" w:type="dxa"/>
            <w:tcBorders>
              <w:top w:val="nil"/>
              <w:left w:val="nil"/>
              <w:bottom w:val="single" w:color="000000" w:sz="12" w:space="0"/>
              <w:right w:val="nil"/>
            </w:tcBorders>
            <w:shd w:val="clear" w:color="auto" w:fill="FFFFFF"/>
          </w:tcPr>
          <w:p w14:paraId="26E4A262">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什么措施在什么条件下有效</w:t>
            </w:r>
          </w:p>
        </w:tc>
        <w:tc>
          <w:tcPr>
            <w:tcW w:w="2270" w:type="dxa"/>
            <w:tcBorders>
              <w:top w:val="nil"/>
              <w:left w:val="nil"/>
              <w:bottom w:val="single" w:color="000000" w:sz="12" w:space="0"/>
              <w:right w:val="nil"/>
            </w:tcBorders>
            <w:shd w:val="clear" w:color="auto" w:fill="FFFFFF"/>
          </w:tcPr>
          <w:p w14:paraId="380A044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瓶颈图谱和规划建议</w:t>
            </w:r>
          </w:p>
        </w:tc>
      </w:tr>
    </w:tbl>
    <w:p w14:paraId="5B8BA9C2">
      <w:pPr>
        <w:spacing w:before="0" w:after="0" w:line="360" w:lineRule="auto"/>
        <w:ind w:firstLine="420"/>
      </w:pPr>
      <w:r>
        <w:rPr>
          <w:rFonts w:ascii="Times New Roman" w:hAnsi="Times New Roman" w:eastAsia="宋体" w:cs="Times New Roman"/>
          <w:b w:val="0"/>
          <w:color w:val="000000"/>
          <w:sz w:val="24"/>
        </w:rPr>
        <w:t>研究一：AI—城市水系统耦合模型。明确AI设施在城市水网络中的节点位置与水量路径，建立AI计算负荷与城市供水、污水、再生水系统之间的耦合关系，为后续分析提供统一口径。</w:t>
      </w:r>
    </w:p>
    <w:p w14:paraId="75792092">
      <w:pPr>
        <w:spacing w:before="0" w:after="0" w:line="360" w:lineRule="auto"/>
        <w:ind w:firstLine="420"/>
      </w:pPr>
      <w:r>
        <w:rPr>
          <w:rFonts w:ascii="Times New Roman" w:hAnsi="Times New Roman" w:eastAsia="宋体" w:cs="Times New Roman"/>
          <w:b w:val="0"/>
          <w:color w:val="000000"/>
          <w:sz w:val="24"/>
        </w:rPr>
        <w:t>研究二：AI扩张下的水系统代谢响应。识别AI规模增长过程中水流总量增加与结构重构的分界，区分规模效应与结构效应，并剥离一般高密度工业用水的影响。</w:t>
      </w:r>
    </w:p>
    <w:p w14:paraId="546D450E">
      <w:pPr>
        <w:spacing w:before="0" w:after="0" w:line="360" w:lineRule="auto"/>
        <w:ind w:firstLine="420"/>
      </w:pPr>
      <w:r>
        <w:rPr>
          <w:rFonts w:ascii="Times New Roman" w:hAnsi="Times New Roman" w:eastAsia="宋体" w:cs="Times New Roman"/>
          <w:b w:val="0"/>
          <w:color w:val="000000"/>
          <w:sz w:val="24"/>
        </w:rPr>
        <w:t>研究三：条件化承载边界分析。在不同城市系统状态与时间尺度下求解可承载的AI规模，解释边界差异的成因及其控制因素。</w:t>
      </w:r>
    </w:p>
    <w:p w14:paraId="690F45C1">
      <w:pPr>
        <w:spacing w:before="0" w:after="0" w:line="360" w:lineRule="auto"/>
        <w:ind w:firstLine="420"/>
      </w:pPr>
      <w:r>
        <w:rPr>
          <w:rFonts w:ascii="Times New Roman" w:hAnsi="Times New Roman" w:eastAsia="宋体" w:cs="Times New Roman"/>
          <w:b w:val="0"/>
          <w:color w:val="000000"/>
          <w:sz w:val="24"/>
        </w:rPr>
        <w:t>研究四：瓶颈转换与干预机制。识别限制AI扩张的主导环节及其迁移路径，比较不同设施与技术干预措施的有效区间。</w:t>
      </w:r>
    </w:p>
    <w:p w14:paraId="151083AF">
      <w:pPr>
        <w:pStyle w:val="23"/>
        <w:pageBreakBefore w:val="0"/>
        <w:ind w:firstLine="0" w:firstLineChars="0"/>
        <w:outlineLvl w:val="1"/>
      </w:pPr>
      <w:bookmarkStart w:id="30" w:name="_Toc26683"/>
      <w:r>
        <w:rPr>
          <w:rFonts w:ascii="Times New Roman" w:hAnsi="Times New Roman" w:eastAsia="黑体" w:cs="Times New Roman"/>
          <w:b/>
          <w:bCs/>
          <w:color w:val="000000"/>
          <w:sz w:val="28"/>
          <w:szCs w:val="28"/>
        </w:rPr>
        <w:t>3.3 AI—城市人工水系统耦合模型</w:t>
      </w:r>
      <w:bookmarkEnd w:id="30"/>
    </w:p>
    <w:p w14:paraId="7FCB19C7">
      <w:pPr>
        <w:spacing w:before="0" w:after="0" w:line="360" w:lineRule="auto"/>
        <w:ind w:firstLine="420"/>
      </w:pPr>
      <w:r>
        <w:rPr>
          <w:rFonts w:ascii="Times New Roman" w:hAnsi="Times New Roman" w:eastAsia="宋体" w:cs="Times New Roman"/>
          <w:b w:val="0"/>
          <w:color w:val="000000"/>
          <w:sz w:val="24"/>
        </w:rPr>
        <w:t>本文将所建立的AI—城市人工水系统耦合模型记为AI驱动的城市水代谢模型（AI-driven Urban Water Metabolism model, AI-UWM）。该模型按“外部取水—供水与利用—污水产生与处理—再生利用—环境排放”的闭环描述城市人工水系统，逐日核算外部水量、排放水量、不可恢复消耗量与储量变化，并保证各节点水量平衡。给水、污水与再生水环节分别设置处理能力、输配能力、储量与既有需求，漏损、溢流与未满足需求单独记账，使AI新增负荷可在完整路径上被追踪。</w:t>
      </w:r>
    </w:p>
    <w:p w14:paraId="5936A3D2">
      <w:pPr>
        <w:spacing w:before="0" w:after="0" w:line="360" w:lineRule="auto"/>
        <w:ind w:firstLine="420"/>
      </w:pPr>
      <w:r>
        <w:rPr>
          <w:rFonts w:ascii="Times New Roman" w:hAnsi="Times New Roman" w:eastAsia="宋体" w:cs="Times New Roman"/>
          <w:b w:val="0"/>
          <w:color w:val="000000"/>
          <w:sz w:val="24"/>
        </w:rPr>
        <w:t>AI侧用水过程按“IT容量—实际负载—设施能耗—热排散—冷却补水—消耗与排污”逐级计算。服务器侧热捕集区分空气冷却、冷板液冷与浸没式液冷，设施侧末端排热区分干式、湿式与干湿混合；湿式排热部分按气象条件与运行工况计算蒸发与排污，进而得到补水量。冷却排污不自动等于城市污水回流，模型区分厂内回用、处理损失与进入城市污水系统的部分。</w:t>
      </w:r>
    </w:p>
    <w:p w14:paraId="3CBA19EA">
      <w:pPr>
        <w:spacing w:before="0" w:after="0" w:line="360" w:lineRule="auto"/>
        <w:ind w:firstLine="420"/>
      </w:pPr>
      <w:r>
        <w:rPr>
          <w:rFonts w:ascii="Times New Roman" w:hAnsi="Times New Roman" w:eastAsia="宋体" w:cs="Times New Roman"/>
          <w:b w:val="0"/>
          <w:color w:val="000000"/>
          <w:sz w:val="24"/>
        </w:rPr>
        <w:t>冷却补水按物理关系逐项计算，而非以单位容量水耗系数换算：IT容量与实际负载决定设施热负荷，经服务器侧热捕集换算为冷却介质得热量，再按循环水量与进出水温差确定循环流量；湿式排热部分的蒸发量由循环流量、进出塔水温与气象条件（干球温度、湿球温度、相对湿度）决定，湿球温度构成冷却塔出水温度的物理下限，逼近度与冷却塔特性按工程文献取值；补水量为蒸发量、飘散损失与排污量之和，排污量取浓缩倍数与蒸发量之比。该组关系意味着"节水"不是自由变量：提高浓缩倍数或改用干式排热在降低补水的同时减少排污，二者通过再生水源量相互牵连。设施能耗同样不以固定电能使用效率（Power Usage Effectiveness, PUE）换算，而以随负载率变化的效率曲线计算，避免以定值PUE低估低负载工况下的能耗与排热。</w:t>
      </w:r>
    </w:p>
    <w:p w14:paraId="387F7DF6">
      <w:pPr>
        <w:spacing w:before="0" w:after="0" w:line="360" w:lineRule="auto"/>
        <w:ind w:firstLine="420"/>
      </w:pPr>
      <w:r>
        <w:rPr>
          <w:rFonts w:ascii="Times New Roman" w:hAnsi="Times New Roman" w:eastAsia="宋体" w:cs="Times New Roman"/>
          <w:b w:val="0"/>
          <w:color w:val="000000"/>
          <w:sz w:val="24"/>
        </w:rPr>
        <w:t>AI用水由淡水与再生水共同满足，实际可供量受污水源量、深度处理能力、再生水储量、输配能力与既有用户需求决定。研究设置不同的淡水—再生水配置策略，分析水源结构对AI承载能力的影响，并分别记录目标份额、实际供应量与未满足需求，避免用规划目标替代真实供给。设施能力参数参照供排水设计标准[73,74]，工业冷却再生水回用条件参见综述[78]，数据中心用水效率按水资源使用效率（Water Use Efficiency, WUE）标准统一口径[72]。</w:t>
      </w:r>
    </w:p>
    <w:p w14:paraId="6D570CDE">
      <w:pPr>
        <w:spacing w:before="0" w:after="0" w:line="360" w:lineRule="auto"/>
        <w:ind w:firstLine="420"/>
      </w:pPr>
      <w:r>
        <w:rPr>
          <w:rFonts w:ascii="Times New Roman" w:hAnsi="Times New Roman" w:eastAsia="宋体" w:cs="Times New Roman"/>
          <w:b w:val="0"/>
          <w:color w:val="000000"/>
          <w:sz w:val="24"/>
        </w:rPr>
        <w:t>AI负荷的日内过程按训练与推理两类负载分别设定。训练负载连续性强、可调度性弱，按近似连续基荷处理；推理负载随用户请求呈日内波动，按跟随城市用电负荷曲线的日分布处理。二者按占比合成AI节点的日内负载系数 α(t)，其日均值与波动幅度由工程文献与公开运行资料确定，并作为敏感性参数纳入不确定性分析。当 α(t) 取常数时，模型退化为恒定满负荷情形，用于检验峰值叠加是否仅由高温时刻决定；当 α(t) 取日分布时，用于识别AI负荷峰值与传统城市需水峰值的重合程度。需指出，城市用电负荷峰值与城市用水峰值通常不在同一时刻，模型因此分别设定传统需水与推理负载的日内曲线，通过改变两者的相位差检验“错峰”与“重合”两种情形，而非默认二者同步。由此可分离检验“峰值来自气候”与“峰值来自用户行为”两种机制。</w:t>
      </w:r>
    </w:p>
    <w:p w14:paraId="0E3EFD99">
      <w:pPr>
        <w:spacing w:before="0" w:after="0" w:line="360" w:lineRule="auto"/>
        <w:ind w:firstLine="420"/>
      </w:pPr>
      <w:r>
        <w:rPr>
          <w:rFonts w:ascii="Times New Roman" w:hAnsi="Times New Roman" w:eastAsia="宋体" w:cs="Times New Roman"/>
          <w:b w:val="0"/>
          <w:color w:val="000000"/>
          <w:sz w:val="24"/>
        </w:rPr>
        <w:t>需特别说明AI耗水与AI排污之间的非对称关系：冷却系统的蒸发与飘散损失属不可回收消耗，直接进入大气而不返回城市污水系统，因此在相同取水量下，AI冷却蒸发损失率越高，回流至城市污水系统的水量越少。模型把“蒸发损失—回流量—再生水可利用源量”作为一条显式核算链条，用于描述不同冷却方式对城市水循环路径的影响；在城市尺度下，其主要作用表现为改变AI用水结构和水源配置需求，而非AI自身回流量决定城市再生水供给。在缺水情景下，缺水促使冷却系统提高浓缩倍数或改用干式排热，城市同时主动提高非传统水源配置比例；节水与再生水源量的联动作为敏感性情形单独报告，不预设其主导承载边界。</w:t>
      </w:r>
    </w:p>
    <w:p>
      <w:pPr>
        <w:spacing w:before="0" w:after="0" w:line="360" w:lineRule="auto"/>
        <w:ind w:firstLine="420"/>
      </w:pPr>
      <w:r>
        <w:rPr>
          <w:rFonts w:ascii="Times New Roman" w:hAnsi="Times New Roman" w:eastAsia="宋体" w:cs="Times New Roman"/>
          <w:b w:val="0"/>
          <w:color w:val="000000"/>
          <w:sz w:val="24"/>
        </w:rPr>
        <w:t xml:space="preserve">该链条的影响还需结合量级判断。城市再生水的主要来源是居民、工业、商业与公共设施的综合污水，数据中心排水在城市污水总量中的占比通常较小：特大城市日污水总量多为数百万吨量级，大型算力集群日排水量一般在数千至数万吨量级，占比通常不足百分之一、多为千分之几。因此在城市尺度上，AI冷却蒸发损失一般不足以显著削减城市再生水可利用源量，也不构成对AI承载能力的主要制约；该链条主要用于设施与局部尺度的影响路径核算与敏感性分析，城市尺度承载边界的变化主要由新增取水需求与峰值供水压力驱动。</w:t>
      </w:r>
    </w:p>
    <w:p w14:paraId="37CFF01D">
      <w:pPr>
        <w:pStyle w:val="23"/>
        <w:pageBreakBefore w:val="0"/>
        <w:ind w:firstLine="0" w:firstLineChars="0"/>
        <w:outlineLvl w:val="1"/>
      </w:pPr>
      <w:bookmarkStart w:id="31" w:name="_Toc11118"/>
      <w:r>
        <w:rPr>
          <w:rFonts w:ascii="Times New Roman" w:hAnsi="Times New Roman" w:eastAsia="黑体" w:cs="Times New Roman"/>
          <w:b/>
          <w:bCs/>
          <w:color w:val="000000"/>
          <w:sz w:val="28"/>
          <w:szCs w:val="28"/>
        </w:rPr>
        <w:t>3.4 AI扩张下城市水系统代谢响应分析</w:t>
      </w:r>
      <w:bookmarkEnd w:id="31"/>
    </w:p>
    <w:p w14:paraId="2BC6F864">
      <w:pPr>
        <w:spacing w:before="0" w:after="0" w:line="360" w:lineRule="auto"/>
        <w:ind w:firstLine="420"/>
      </w:pPr>
      <w:r>
        <w:rPr>
          <w:rFonts w:ascii="Times New Roman" w:hAnsi="Times New Roman" w:eastAsia="宋体" w:cs="Times New Roman"/>
          <w:b w:val="0"/>
          <w:color w:val="000000"/>
          <w:sz w:val="24"/>
        </w:rPr>
        <w:t>代谢响应分析沿用2.3定义的三个层次（规模响应、结构响应、约束状态转换）。只有结构指标出现系统性变化，且该变化在改变压力条件或解除单一容量约束后仍然存在时，才将其解释为结构重构。</w:t>
      </w:r>
    </w:p>
    <w:p w14:paraId="71397188">
      <w:pPr>
        <w:spacing w:before="0" w:after="0" w:line="360" w:lineRule="auto"/>
        <w:ind w:firstLine="420"/>
      </w:pPr>
      <w:r>
        <w:rPr>
          <w:rFonts w:ascii="Times New Roman" w:hAnsi="Times New Roman" w:eastAsia="宋体" w:cs="Times New Roman"/>
          <w:b w:val="0"/>
          <w:color w:val="000000"/>
          <w:sz w:val="24"/>
        </w:rPr>
        <w:t>实验沿两条主线组织。纵向主线固定城市系统状态与外部条件，使AI规模逐级增加，观察代谢指标与承载边界出现转折的位置；横向主线在相同AI规模下比较不同城市系统状态的差异。两条主线均遵循每次只改变一个目标条件的对照原则。</w:t>
      </w:r>
    </w:p>
    <w:p w14:paraId="57774BB0">
      <w:pPr>
        <w:spacing w:before="0" w:after="0" w:line="360" w:lineRule="auto"/>
        <w:ind w:firstLine="420"/>
      </w:pPr>
      <w:r>
        <w:rPr>
          <w:rFonts w:ascii="Times New Roman" w:hAnsi="Times New Roman" w:eastAsia="宋体" w:cs="Times New Roman"/>
          <w:b w:val="0"/>
          <w:color w:val="000000"/>
          <w:sz w:val="24"/>
        </w:rPr>
        <w:t>为区分一般高密度工业用水效应与AI连续负荷效应，设置等效的普通工业冷却对照：一类保持年度用水总量与AI情景接近，比较负荷时序造成的峰值差异；另一类保持峰值热负荷或接入规模接近，比较负荷连续性与气候响应差异。</w:t>
      </w:r>
    </w:p>
    <w:p w14:paraId="67A28ED6">
      <w:pPr>
        <w:spacing w:before="0" w:after="0" w:line="360" w:lineRule="auto"/>
        <w:ind w:firstLine="420"/>
      </w:pPr>
      <w:r>
        <w:rPr>
          <w:rFonts w:ascii="Times New Roman" w:hAnsi="Times New Roman" w:eastAsia="宋体" w:cs="Times New Roman"/>
          <w:b w:val="0"/>
          <w:color w:val="000000"/>
          <w:sz w:val="24"/>
        </w:rPr>
        <w:t>输出指标包括三类。规模指标如城市总取水、AI边际取水与耗水、回流量、污水处理量与再生水供给量；结构指标如水源份额、淡水依赖率、消耗率、回流率与内部循环率；承载指标如条件化承载边界、剩余裕度与首次失效规模。结构指标用于判断水流结构是否发生重构，规模指标用于判断总量变化幅度。</w:t>
      </w:r>
    </w:p>
    <w:p w14:paraId="4C4D39AF">
      <w:pPr>
        <w:pStyle w:val="23"/>
        <w:pageBreakBefore w:val="0"/>
        <w:ind w:firstLine="0" w:firstLineChars="0"/>
        <w:outlineLvl w:val="1"/>
      </w:pPr>
      <w:bookmarkStart w:id="32" w:name="_Toc27297"/>
      <w:r>
        <w:rPr>
          <w:rFonts w:ascii="Times New Roman" w:hAnsi="Times New Roman" w:eastAsia="黑体" w:cs="Times New Roman"/>
          <w:b/>
          <w:bCs/>
          <w:color w:val="000000"/>
          <w:sz w:val="28"/>
          <w:szCs w:val="28"/>
        </w:rPr>
        <w:t>3.5 条件化承载边界与情景分析方法</w:t>
      </w:r>
      <w:bookmarkEnd w:id="32"/>
    </w:p>
    <w:p w14:paraId="2FA42CC0">
      <w:pPr>
        <w:spacing w:before="0" w:after="0" w:line="360" w:lineRule="auto"/>
        <w:ind w:firstLine="420"/>
      </w:pPr>
      <w:r>
        <w:rPr>
          <w:rFonts w:ascii="Times New Roman" w:hAnsi="Times New Roman" w:eastAsia="宋体" w:cs="Times New Roman"/>
          <w:b w:val="0"/>
          <w:color w:val="000000"/>
          <w:sz w:val="24"/>
        </w:rPr>
        <w:t>（1）条件化承载边界定义。条件化AI水系统承载容量（CAWCC）定义为：在给定城市水资源条件、设施能力、冷却技术与风险要求下，系统能够支持的最大AI IT容量。该容量不是固定数值，而是随城市水系统状态、供水配置、气候条件与服务可靠性要求变化的条件化结果；在求解方向上，AI规模增加使各约束的剩余裕度下降，当某一约束最先达到失效条件时，即形成该条件下的承载边界。各类约束的阈值来源于设计能力、工程标准、公开运行资料或明确的情景假设，并在参数表中记录来源与适用条件，核心约束类别、主要状态量与可行条件如表3-2所示。</w:t>
      </w:r>
    </w:p>
    <w:p w14:paraId="4D88CF79">
      <w:pPr>
        <w:spacing w:before="0" w:after="0" w:line="360" w:lineRule="auto"/>
        <w:ind w:firstLine="420"/>
      </w:pPr>
      <w:r>
        <w:rPr>
          <w:rFonts w:ascii="Times New Roman" w:hAnsi="Times New Roman" w:eastAsia="宋体" w:cs="Times New Roman"/>
          <w:sz w:val="24"/>
          <w:szCs w:val="24"/>
        </w:rPr>
        <w:t>上述定义可用数学形式表述。记AI IT容量为C_AI，时间步t取自年、日或极端小时三种尺度的时间集合T，则条件化承载容量为满足全部约束的最大AI IT容量：</w:t>
      </w:r>
    </w:p>
    <w:p w14:paraId="79BC655B">
      <w:pPr>
        <w:spacing w:before="40" w:after="40" w:line="360" w:lineRule="auto"/>
        <w:jc w:val="center"/>
      </w:pPr>
      <m:oMathPara>
        <m:oMath>
          <m:r>
            <m:rPr/>
            <m:t>CAWCC</m:t>
          </m:r>
          <m:r>
            <m:rPr>
              <m:sty m:val="p"/>
            </m:rPr>
            <m:t xml:space="preserve"> = max </m:t>
          </m:r>
          <m:sSub>
            <m:sSubPr/>
            <m:e>
              <m:r>
                <m:rPr/>
                <m:t>C</m:t>
              </m:r>
            </m:e>
            <m:sub>
              <m:r>
                <m:rPr>
                  <m:sty m:val="p"/>
                </m:rPr>
                <m:t>AI</m:t>
              </m:r>
            </m:sub>
          </m:sSub>
        </m:oMath>
      </m:oMathPara>
    </w:p>
    <w:p w14:paraId="1C5C2711">
      <w:pPr>
        <w:spacing w:before="40" w:after="40" w:line="360" w:lineRule="auto"/>
        <w:jc w:val="center"/>
      </w:pPr>
      <m:oMathPara>
        <m:oMath>
          <m:sSub>
            <m:sSubPr/>
            <m:e>
              <m:r>
                <m:rPr/>
                <m:t>W</m:t>
              </m:r>
            </m:e>
            <m:sub>
              <m:r>
                <m:rPr>
                  <m:sty m:val="p"/>
                </m:rPr>
                <m:t>demand</m:t>
              </m:r>
            </m:sub>
          </m:sSub>
          <m:r>
            <m:rPr>
              <m:sty m:val="p"/>
            </m:rPr>
            <m:t xml:space="preserve">(C, t) ≤ </m:t>
          </m:r>
          <m:sSub>
            <m:sSubPr/>
            <m:e>
              <m:r>
                <m:rPr/>
                <m:t>W</m:t>
              </m:r>
            </m:e>
            <m:sub>
              <m:r>
                <m:rPr>
                  <m:sty m:val="p"/>
                </m:rPr>
                <m:t>capacity</m:t>
              </m:r>
            </m:sub>
          </m:sSub>
          <m:r>
            <m:rPr>
              <m:sty m:val="p"/>
            </m:rPr>
            <m:t>(t)</m:t>
          </m:r>
        </m:oMath>
      </m:oMathPara>
    </w:p>
    <w:p w14:paraId="755BC79F">
      <w:pPr>
        <w:spacing w:before="40" w:after="40" w:line="360" w:lineRule="auto"/>
        <w:jc w:val="center"/>
      </w:pPr>
      <m:oMathPara>
        <m:oMath>
          <m:sSub>
            <m:sSubPr/>
            <m:e>
              <m:r>
                <m:rPr/>
                <m:t>Q</m:t>
              </m:r>
            </m:e>
            <m:sub>
              <m:r>
                <m:rPr>
                  <m:sty m:val="p"/>
                </m:rPr>
                <m:t>waste</m:t>
              </m:r>
            </m:sub>
          </m:sSub>
          <m:r>
            <m:rPr>
              <m:sty m:val="p"/>
            </m:rPr>
            <m:t xml:space="preserve">(C, t) ≤ </m:t>
          </m:r>
          <m:sSub>
            <m:sSubPr/>
            <m:e>
              <m:r>
                <m:rPr/>
                <m:t>Q</m:t>
              </m:r>
            </m:e>
            <m:sub>
              <m:r>
                <m:rPr>
                  <m:sty m:val="p"/>
                </m:rPr>
                <m:t>treatment</m:t>
              </m:r>
            </m:sub>
          </m:sSub>
        </m:oMath>
      </m:oMathPara>
    </w:p>
    <w:p w14:paraId="02E42423">
      <w:pPr>
        <w:spacing w:before="40" w:after="40" w:line="360" w:lineRule="auto"/>
        <w:jc w:val="center"/>
      </w:pPr>
      <m:oMathPara>
        <m:oMath>
          <m:sSub>
            <m:sSubPr/>
            <m:e>
              <m:r>
                <m:rPr/>
                <m:t>R</m:t>
              </m:r>
            </m:e>
            <m:sub>
              <m:r>
                <m:rPr>
                  <m:sty m:val="p"/>
                </m:rPr>
                <m:t>AI</m:t>
              </m:r>
            </m:sub>
          </m:sSub>
          <m:r>
            <m:rPr>
              <m:sty m:val="p"/>
            </m:rPr>
            <m:t xml:space="preserve">(t) ≥ </m:t>
          </m:r>
          <m:sSub>
            <m:sSubPr/>
            <m:e>
              <m:r>
                <m:rPr/>
                <m:t>R</m:t>
              </m:r>
            </m:e>
            <m:sub>
              <m:r>
                <m:rPr>
                  <m:sty m:val="p"/>
                </m:rPr>
                <m:t>min</m:t>
              </m:r>
            </m:sub>
          </m:sSub>
        </m:oMath>
      </m:oMathPara>
    </w:p>
    <w:p w14:paraId="3158E7CB">
      <w:pPr>
        <w:spacing w:before="0" w:after="0" w:line="360" w:lineRule="auto"/>
        <w:ind w:firstLine="420"/>
      </w:pPr>
      <w:r>
        <w:rPr>
          <w:rFonts w:ascii="Times New Roman" w:hAnsi="Times New Roman" w:eastAsia="宋体"/>
          <w:sz w:val="24"/>
          <w:szCs w:val="24"/>
        </w:rPr>
        <w:t>式中：CAWCC为条件化AI水系统承载容量；C_AI为AI IT容量，t为时间步，取值于年、日或极端小时三种尺度；W_demand(C, t)与W_capacity(t)分别为给定AI规模下城市总取水需求与情景可供水量；Q_waste(C, t)与Q_treatment分别为AI过程产生的废污水排放量与城市污水处理能力；R_AI(t)与R_min分别为AI负荷的连续运行保证率与设定的最低可靠性阈值。右端各项能力参数均为城市系统状态与外部压力情景的函数，故承载边界随条件变化，改变任一约束的取值即得到不同的边界，而非固定的水资源总量阈值。</w:t>
      </w:r>
    </w:p>
    <w:p>
      <w:pPr>
        <w:spacing w:before="0" w:after="0" w:line="360" w:lineRule="auto"/>
        <w:ind w:firstLine="420"/>
      </w:pPr>
      <w:r>
        <w:rPr>
          <w:rFonts w:ascii="Times New Roman" w:hAnsi="Times New Roman" w:eastAsia="宋体"/>
          <w:sz w:val="24"/>
          <w:szCs w:val="24"/>
        </w:rPr>
        <w:t xml:space="preserve">还需说明尺度一致性：本研究区分设施尺度水循环影响与城市尺度承载约束。AI设施内部回用和排放过程用于描述水量路径，但城市尺度CAWCC主要由新增取水需求、峰值供水压力和公共设施能力决定。</w:t>
      </w:r>
    </w:p>
    <w:p w14:paraId="23309A74">
      <w:pPr>
        <w:spacing w:before="120" w:after="120" w:line="360" w:lineRule="auto"/>
        <w:ind w:left="0" w:firstLine="0"/>
        <w:jc w:val="center"/>
      </w:pPr>
      <w:r>
        <w:rPr>
          <w:rFonts w:ascii="Times New Roman" w:hAnsi="Times New Roman" w:eastAsia="宋体" w:cs="Times New Roman"/>
          <w:b w:val="0"/>
          <w:color w:val="000000"/>
          <w:sz w:val="24"/>
          <w:szCs w:val="24"/>
        </w:rPr>
        <w:t>表3-2 CAWCC核心约束及失效判据</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1"/>
        <w:gridCol w:w="3022"/>
        <w:gridCol w:w="3022"/>
      </w:tblGrid>
      <w:tr w14:paraId="713AB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single" w:color="000000" w:sz="12" w:space="0"/>
              <w:left w:val="nil"/>
              <w:bottom w:val="single" w:color="000000" w:sz="4" w:space="0"/>
              <w:right w:val="nil"/>
              <w:tl2br w:val="nil"/>
            </w:tcBorders>
            <w:shd w:val="clear" w:color="auto" w:fill="FFFFFF"/>
          </w:tcPr>
          <w:p w14:paraId="1B807387">
            <w:pPr>
              <w:spacing w:before="0" w:after="0"/>
              <w:ind w:left="0" w:firstLine="0"/>
              <w:jc w:val="center"/>
              <w:rPr>
                <w:b w:val="0"/>
              </w:rPr>
            </w:pPr>
            <w:r>
              <w:rPr>
                <w:rFonts w:ascii="Times New Roman" w:hAnsi="Times New Roman" w:eastAsia="宋体" w:cs="Times New Roman"/>
                <w:b/>
                <w:bCs/>
                <w:sz w:val="21"/>
                <w:szCs w:val="21"/>
              </w:rPr>
              <w:t>约束类别</w:t>
            </w:r>
          </w:p>
        </w:tc>
        <w:tc>
          <w:tcPr>
            <w:tcW w:w="3025" w:type="dxa"/>
            <w:tcBorders>
              <w:top w:val="single" w:color="000000" w:sz="12" w:space="0"/>
              <w:left w:val="nil"/>
              <w:bottom w:val="single" w:color="000000" w:sz="4" w:space="0"/>
              <w:right w:val="nil"/>
            </w:tcBorders>
            <w:shd w:val="clear" w:color="auto" w:fill="FFFFFF"/>
          </w:tcPr>
          <w:p w14:paraId="39AB786F">
            <w:pPr>
              <w:spacing w:before="0" w:after="0"/>
              <w:ind w:left="0" w:firstLine="0"/>
              <w:jc w:val="center"/>
              <w:rPr>
                <w:b w:val="0"/>
              </w:rPr>
            </w:pPr>
            <w:r>
              <w:rPr>
                <w:rFonts w:ascii="Times New Roman" w:hAnsi="Times New Roman" w:eastAsia="宋体" w:cs="Times New Roman"/>
                <w:b/>
                <w:bCs/>
                <w:sz w:val="21"/>
                <w:szCs w:val="21"/>
              </w:rPr>
              <w:t>主要状态量</w:t>
            </w:r>
          </w:p>
        </w:tc>
        <w:tc>
          <w:tcPr>
            <w:tcW w:w="3025" w:type="dxa"/>
            <w:tcBorders>
              <w:top w:val="single" w:color="000000" w:sz="12" w:space="0"/>
              <w:left w:val="nil"/>
              <w:bottom w:val="single" w:color="000000" w:sz="4" w:space="0"/>
              <w:right w:val="nil"/>
            </w:tcBorders>
            <w:shd w:val="clear" w:color="auto" w:fill="FFFFFF"/>
          </w:tcPr>
          <w:p w14:paraId="673DD415">
            <w:pPr>
              <w:spacing w:before="0" w:after="0"/>
              <w:ind w:left="0" w:firstLine="0"/>
              <w:jc w:val="center"/>
              <w:rPr>
                <w:b w:val="0"/>
              </w:rPr>
            </w:pPr>
            <w:r>
              <w:rPr>
                <w:rFonts w:ascii="Times New Roman" w:hAnsi="Times New Roman" w:eastAsia="宋体" w:cs="Times New Roman"/>
                <w:b/>
                <w:bCs/>
                <w:sz w:val="21"/>
                <w:szCs w:val="21"/>
              </w:rPr>
              <w:t>可行条件</w:t>
            </w:r>
          </w:p>
        </w:tc>
      </w:tr>
      <w:tr w14:paraId="0AC07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single" w:color="000000" w:sz="4" w:space="0"/>
              <w:left w:val="nil"/>
              <w:bottom w:val="nil"/>
              <w:right w:val="nil"/>
            </w:tcBorders>
            <w:shd w:val="clear" w:color="auto" w:fill="FFFFFF"/>
          </w:tcPr>
          <w:p w14:paraId="170164F5">
            <w:pPr>
              <w:spacing w:before="0" w:after="0"/>
              <w:ind w:left="0" w:firstLine="0"/>
              <w:jc w:val="center"/>
              <w:rPr>
                <w:b w:val="0"/>
              </w:rPr>
            </w:pPr>
            <w:r>
              <w:rPr>
                <w:rFonts w:ascii="Times New Roman" w:hAnsi="Times New Roman" w:eastAsia="宋体" w:cs="Times New Roman"/>
                <w:b w:val="0"/>
                <w:bCs w:val="0"/>
                <w:sz w:val="21"/>
                <w:szCs w:val="21"/>
              </w:rPr>
              <w:t>外部水源</w:t>
            </w:r>
          </w:p>
        </w:tc>
        <w:tc>
          <w:tcPr>
            <w:tcW w:w="3025" w:type="dxa"/>
            <w:tcBorders>
              <w:top w:val="single" w:color="000000" w:sz="4" w:space="0"/>
              <w:left w:val="nil"/>
              <w:bottom w:val="nil"/>
              <w:right w:val="nil"/>
            </w:tcBorders>
            <w:shd w:val="clear" w:color="auto" w:fill="FFFFFF"/>
          </w:tcPr>
          <w:p w14:paraId="228BE053">
            <w:pPr>
              <w:spacing w:before="0" w:after="0"/>
              <w:ind w:left="0" w:firstLine="0"/>
              <w:jc w:val="left"/>
              <w:rPr>
                <w:b w:val="0"/>
              </w:rPr>
            </w:pPr>
            <w:r>
              <w:rPr>
                <w:rFonts w:ascii="Times New Roman" w:hAnsi="Times New Roman" w:eastAsia="宋体" w:cs="Times New Roman"/>
                <w:b w:val="0"/>
                <w:bCs w:val="0"/>
                <w:sz w:val="21"/>
                <w:szCs w:val="21"/>
              </w:rPr>
              <w:t>总取水需求、可供水量</w:t>
            </w:r>
          </w:p>
        </w:tc>
        <w:tc>
          <w:tcPr>
            <w:tcW w:w="3025" w:type="dxa"/>
            <w:tcBorders>
              <w:top w:val="single" w:color="000000" w:sz="4" w:space="0"/>
              <w:left w:val="nil"/>
              <w:bottom w:val="nil"/>
              <w:right w:val="nil"/>
            </w:tcBorders>
            <w:shd w:val="clear" w:color="auto" w:fill="FFFFFF"/>
          </w:tcPr>
          <w:p w14:paraId="64174A85">
            <w:pPr>
              <w:spacing w:before="0" w:after="0"/>
              <w:ind w:left="0" w:firstLine="0"/>
              <w:jc w:val="left"/>
              <w:rPr>
                <w:b w:val="0"/>
              </w:rPr>
            </w:pPr>
            <w:r>
              <w:rPr>
                <w:rFonts w:ascii="Times New Roman" w:hAnsi="Times New Roman" w:eastAsia="宋体" w:cs="Times New Roman"/>
                <w:b w:val="0"/>
                <w:bCs w:val="0"/>
                <w:sz w:val="21"/>
                <w:szCs w:val="21"/>
              </w:rPr>
              <w:t>总取水需求不超过情景可供水量</w:t>
            </w:r>
          </w:p>
        </w:tc>
      </w:tr>
      <w:tr w14:paraId="6904E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303525FB">
            <w:pPr>
              <w:spacing w:before="0" w:after="0"/>
              <w:ind w:left="0" w:firstLine="0"/>
              <w:jc w:val="center"/>
              <w:rPr>
                <w:b w:val="0"/>
              </w:rPr>
            </w:pPr>
            <w:r>
              <w:rPr>
                <w:rFonts w:ascii="Times New Roman" w:hAnsi="Times New Roman" w:eastAsia="宋体" w:cs="Times New Roman"/>
                <w:b w:val="0"/>
                <w:bCs w:val="0"/>
                <w:sz w:val="21"/>
                <w:szCs w:val="21"/>
              </w:rPr>
              <w:t>给水处理</w:t>
            </w:r>
          </w:p>
        </w:tc>
        <w:tc>
          <w:tcPr>
            <w:tcW w:w="3025" w:type="dxa"/>
            <w:tcBorders>
              <w:top w:val="nil"/>
              <w:left w:val="nil"/>
              <w:bottom w:val="nil"/>
              <w:right w:val="nil"/>
            </w:tcBorders>
            <w:shd w:val="clear" w:color="auto" w:fill="FFFFFF"/>
          </w:tcPr>
          <w:p w14:paraId="561891AC">
            <w:pPr>
              <w:spacing w:before="0" w:after="0"/>
              <w:ind w:left="0" w:firstLine="0"/>
              <w:jc w:val="left"/>
              <w:rPr>
                <w:b w:val="0"/>
              </w:rPr>
            </w:pPr>
            <w:r>
              <w:rPr>
                <w:rFonts w:ascii="Times New Roman" w:hAnsi="Times New Roman" w:eastAsia="宋体" w:cs="Times New Roman"/>
                <w:b w:val="0"/>
                <w:bCs w:val="0"/>
                <w:sz w:val="21"/>
                <w:szCs w:val="21"/>
              </w:rPr>
              <w:t>日/小时处理负荷</w:t>
            </w:r>
          </w:p>
        </w:tc>
        <w:tc>
          <w:tcPr>
            <w:tcW w:w="3025" w:type="dxa"/>
            <w:tcBorders>
              <w:top w:val="nil"/>
              <w:left w:val="nil"/>
              <w:bottom w:val="nil"/>
              <w:right w:val="nil"/>
            </w:tcBorders>
            <w:shd w:val="clear" w:color="auto" w:fill="FFFFFF"/>
          </w:tcPr>
          <w:p w14:paraId="76360E7A">
            <w:pPr>
              <w:spacing w:before="0" w:after="0"/>
              <w:ind w:left="0" w:firstLine="0"/>
              <w:jc w:val="left"/>
              <w:rPr>
                <w:b w:val="0"/>
              </w:rPr>
            </w:pPr>
            <w:r>
              <w:rPr>
                <w:rFonts w:ascii="Times New Roman" w:hAnsi="Times New Roman" w:eastAsia="宋体" w:cs="Times New Roman"/>
                <w:b w:val="0"/>
                <w:bCs w:val="0"/>
                <w:sz w:val="21"/>
                <w:szCs w:val="21"/>
              </w:rPr>
              <w:t>不超过有效处理能力</w:t>
            </w:r>
          </w:p>
        </w:tc>
      </w:tr>
      <w:tr w14:paraId="351BD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134E59AE">
            <w:pPr>
              <w:spacing w:before="0" w:after="0"/>
              <w:ind w:left="0" w:firstLine="0"/>
              <w:jc w:val="center"/>
              <w:rPr>
                <w:b w:val="0"/>
              </w:rPr>
            </w:pPr>
            <w:r>
              <w:rPr>
                <w:rFonts w:ascii="Times New Roman" w:hAnsi="Times New Roman" w:eastAsia="宋体" w:cs="Times New Roman"/>
                <w:b w:val="0"/>
                <w:bCs w:val="0"/>
                <w:sz w:val="21"/>
                <w:szCs w:val="21"/>
              </w:rPr>
              <w:t>局部接入</w:t>
            </w:r>
          </w:p>
        </w:tc>
        <w:tc>
          <w:tcPr>
            <w:tcW w:w="3025" w:type="dxa"/>
            <w:tcBorders>
              <w:top w:val="nil"/>
              <w:left w:val="nil"/>
              <w:bottom w:val="nil"/>
              <w:right w:val="nil"/>
            </w:tcBorders>
            <w:shd w:val="clear" w:color="auto" w:fill="FFFFFF"/>
          </w:tcPr>
          <w:p w14:paraId="5ACD664B">
            <w:pPr>
              <w:spacing w:before="0" w:after="0"/>
              <w:ind w:left="0" w:firstLine="0"/>
              <w:jc w:val="left"/>
              <w:rPr>
                <w:b w:val="0"/>
              </w:rPr>
            </w:pPr>
            <w:r>
              <w:rPr>
                <w:rFonts w:ascii="Times New Roman" w:hAnsi="Times New Roman" w:eastAsia="宋体" w:cs="Times New Roman"/>
                <w:b w:val="0"/>
                <w:bCs w:val="0"/>
                <w:sz w:val="21"/>
                <w:szCs w:val="21"/>
              </w:rPr>
              <w:t>AI峰值供水流量</w:t>
            </w:r>
          </w:p>
        </w:tc>
        <w:tc>
          <w:tcPr>
            <w:tcW w:w="3025" w:type="dxa"/>
            <w:tcBorders>
              <w:top w:val="nil"/>
              <w:left w:val="nil"/>
              <w:bottom w:val="nil"/>
              <w:right w:val="nil"/>
            </w:tcBorders>
            <w:shd w:val="clear" w:color="auto" w:fill="FFFFFF"/>
          </w:tcPr>
          <w:p w14:paraId="441492AE">
            <w:pPr>
              <w:spacing w:before="0" w:after="0"/>
              <w:ind w:left="0" w:firstLine="0"/>
              <w:jc w:val="left"/>
              <w:rPr>
                <w:b w:val="0"/>
              </w:rPr>
            </w:pPr>
            <w:r>
              <w:rPr>
                <w:rFonts w:ascii="Times New Roman" w:hAnsi="Times New Roman" w:eastAsia="宋体" w:cs="Times New Roman"/>
                <w:b w:val="0"/>
                <w:bCs w:val="0"/>
                <w:sz w:val="21"/>
                <w:szCs w:val="21"/>
              </w:rPr>
              <w:t>不超过局部接入能力</w:t>
            </w:r>
          </w:p>
        </w:tc>
      </w:tr>
      <w:tr w14:paraId="773C1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639C774E">
            <w:pPr>
              <w:spacing w:before="0" w:after="0"/>
              <w:ind w:left="0" w:firstLine="0"/>
              <w:jc w:val="center"/>
              <w:rPr>
                <w:b w:val="0"/>
              </w:rPr>
            </w:pPr>
            <w:r>
              <w:rPr>
                <w:rFonts w:ascii="Times New Roman" w:hAnsi="Times New Roman" w:eastAsia="宋体" w:cs="Times New Roman"/>
                <w:b w:val="0"/>
                <w:bCs w:val="0"/>
                <w:sz w:val="21"/>
                <w:szCs w:val="21"/>
              </w:rPr>
              <w:t>污水处理</w:t>
            </w:r>
          </w:p>
        </w:tc>
        <w:tc>
          <w:tcPr>
            <w:tcW w:w="3025" w:type="dxa"/>
            <w:tcBorders>
              <w:top w:val="nil"/>
              <w:left w:val="nil"/>
              <w:bottom w:val="nil"/>
              <w:right w:val="nil"/>
            </w:tcBorders>
            <w:shd w:val="clear" w:color="auto" w:fill="FFFFFF"/>
          </w:tcPr>
          <w:p w14:paraId="1EE873D3">
            <w:pPr>
              <w:spacing w:before="0" w:after="0"/>
              <w:ind w:left="0" w:firstLine="0"/>
              <w:jc w:val="left"/>
              <w:rPr>
                <w:b w:val="0"/>
              </w:rPr>
            </w:pPr>
            <w:r>
              <w:rPr>
                <w:rFonts w:ascii="Times New Roman" w:hAnsi="Times New Roman" w:eastAsia="宋体" w:cs="Times New Roman"/>
                <w:b w:val="0"/>
                <w:bCs w:val="0"/>
                <w:sz w:val="21"/>
                <w:szCs w:val="21"/>
              </w:rPr>
              <w:t>入厂污水量及峰值</w:t>
            </w:r>
          </w:p>
        </w:tc>
        <w:tc>
          <w:tcPr>
            <w:tcW w:w="3025" w:type="dxa"/>
            <w:tcBorders>
              <w:top w:val="nil"/>
              <w:left w:val="nil"/>
              <w:bottom w:val="nil"/>
              <w:right w:val="nil"/>
            </w:tcBorders>
            <w:shd w:val="clear" w:color="auto" w:fill="FFFFFF"/>
          </w:tcPr>
          <w:p w14:paraId="0E876AF3">
            <w:pPr>
              <w:spacing w:before="0" w:after="0"/>
              <w:ind w:left="0" w:firstLine="0"/>
              <w:jc w:val="left"/>
              <w:rPr>
                <w:b w:val="0"/>
              </w:rPr>
            </w:pPr>
            <w:r>
              <w:rPr>
                <w:rFonts w:ascii="Times New Roman" w:hAnsi="Times New Roman" w:eastAsia="宋体" w:cs="Times New Roman"/>
                <w:b w:val="0"/>
                <w:bCs w:val="0"/>
                <w:sz w:val="21"/>
                <w:szCs w:val="21"/>
              </w:rPr>
              <w:t>不超过有效接纳与处理能力</w:t>
            </w:r>
          </w:p>
        </w:tc>
      </w:tr>
      <w:tr w14:paraId="7F88F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1D3101DC">
            <w:pPr>
              <w:spacing w:before="0" w:after="0"/>
              <w:ind w:left="0" w:firstLine="0"/>
              <w:jc w:val="left"/>
              <w:rPr>
                <w:b w:val="0"/>
              </w:rPr>
            </w:pPr>
            <w:r>
              <w:rPr>
                <w:rFonts w:ascii="Times New Roman" w:hAnsi="Times New Roman" w:eastAsia="宋体" w:cs="Times New Roman"/>
                <w:b w:val="0"/>
                <w:bCs w:val="0"/>
                <w:sz w:val="21"/>
                <w:szCs w:val="21"/>
              </w:rPr>
              <w:t>再生水源量</w:t>
            </w:r>
          </w:p>
        </w:tc>
        <w:tc>
          <w:tcPr>
            <w:tcW w:w="3025" w:type="dxa"/>
            <w:tcBorders>
              <w:top w:val="nil"/>
              <w:left w:val="nil"/>
              <w:bottom w:val="nil"/>
              <w:right w:val="nil"/>
            </w:tcBorders>
            <w:shd w:val="clear" w:color="auto" w:fill="FFFFFF"/>
          </w:tcPr>
          <w:p w14:paraId="59A7AAA8">
            <w:pPr>
              <w:spacing w:before="0" w:after="0"/>
              <w:ind w:left="0" w:firstLine="0"/>
              <w:jc w:val="left"/>
              <w:rPr>
                <w:b w:val="0"/>
              </w:rPr>
            </w:pPr>
            <w:r>
              <w:rPr>
                <w:rFonts w:ascii="Times New Roman" w:hAnsi="Times New Roman" w:eastAsia="宋体" w:cs="Times New Roman"/>
                <w:b w:val="0"/>
                <w:bCs w:val="0"/>
                <w:sz w:val="21"/>
                <w:szCs w:val="21"/>
              </w:rPr>
              <w:t>可回收污水量</w:t>
            </w:r>
          </w:p>
        </w:tc>
        <w:tc>
          <w:tcPr>
            <w:tcW w:w="3025" w:type="dxa"/>
            <w:tcBorders>
              <w:top w:val="nil"/>
              <w:left w:val="nil"/>
              <w:bottom w:val="nil"/>
              <w:right w:val="nil"/>
            </w:tcBorders>
            <w:shd w:val="clear" w:color="auto" w:fill="FFFFFF"/>
          </w:tcPr>
          <w:p w14:paraId="62D13FAD">
            <w:pPr>
              <w:spacing w:before="0" w:after="0"/>
              <w:ind w:left="0" w:firstLine="0"/>
              <w:jc w:val="left"/>
              <w:rPr>
                <w:b w:val="0"/>
              </w:rPr>
            </w:pPr>
            <w:r>
              <w:rPr>
                <w:rFonts w:ascii="Times New Roman" w:hAnsi="Times New Roman" w:eastAsia="宋体" w:cs="Times New Roman"/>
                <w:b w:val="0"/>
                <w:bCs w:val="0"/>
                <w:sz w:val="21"/>
                <w:szCs w:val="21"/>
              </w:rPr>
              <w:t>实际再生水供给不超过可利用源量</w:t>
            </w:r>
          </w:p>
        </w:tc>
      </w:tr>
      <w:tr w14:paraId="6D81F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6D3CB56E">
            <w:pPr>
              <w:spacing w:before="0" w:after="0"/>
              <w:ind w:left="0" w:firstLine="0"/>
              <w:jc w:val="left"/>
              <w:rPr>
                <w:b w:val="0"/>
              </w:rPr>
            </w:pPr>
            <w:r>
              <w:rPr>
                <w:rFonts w:ascii="Times New Roman" w:hAnsi="Times New Roman" w:eastAsia="宋体" w:cs="Times New Roman"/>
                <w:b w:val="0"/>
                <w:bCs w:val="0"/>
                <w:sz w:val="21"/>
                <w:szCs w:val="21"/>
              </w:rPr>
              <w:t>再生水处理</w:t>
            </w:r>
          </w:p>
        </w:tc>
        <w:tc>
          <w:tcPr>
            <w:tcW w:w="3025" w:type="dxa"/>
            <w:tcBorders>
              <w:top w:val="nil"/>
              <w:left w:val="nil"/>
              <w:bottom w:val="nil"/>
              <w:right w:val="nil"/>
            </w:tcBorders>
            <w:shd w:val="clear" w:color="auto" w:fill="FFFFFF"/>
          </w:tcPr>
          <w:p w14:paraId="7B33008C">
            <w:pPr>
              <w:spacing w:before="0" w:after="0"/>
              <w:ind w:left="0" w:firstLine="0"/>
              <w:jc w:val="left"/>
              <w:rPr>
                <w:b w:val="0"/>
              </w:rPr>
            </w:pPr>
            <w:r>
              <w:rPr>
                <w:rFonts w:ascii="Times New Roman" w:hAnsi="Times New Roman" w:eastAsia="宋体" w:cs="Times New Roman"/>
                <w:b w:val="0"/>
                <w:bCs w:val="0"/>
                <w:sz w:val="21"/>
                <w:szCs w:val="21"/>
              </w:rPr>
              <w:t>深度处理负荷</w:t>
            </w:r>
          </w:p>
        </w:tc>
        <w:tc>
          <w:tcPr>
            <w:tcW w:w="3025" w:type="dxa"/>
            <w:tcBorders>
              <w:top w:val="nil"/>
              <w:left w:val="nil"/>
              <w:bottom w:val="nil"/>
              <w:right w:val="nil"/>
            </w:tcBorders>
            <w:shd w:val="clear" w:color="auto" w:fill="FFFFFF"/>
          </w:tcPr>
          <w:p w14:paraId="222E89C3">
            <w:pPr>
              <w:spacing w:before="0" w:after="0"/>
              <w:ind w:left="0" w:firstLine="0"/>
              <w:jc w:val="left"/>
              <w:rPr>
                <w:b w:val="0"/>
              </w:rPr>
            </w:pPr>
            <w:r>
              <w:rPr>
                <w:rFonts w:ascii="Times New Roman" w:hAnsi="Times New Roman" w:eastAsia="宋体" w:cs="Times New Roman"/>
                <w:b w:val="0"/>
                <w:bCs w:val="0"/>
                <w:sz w:val="21"/>
                <w:szCs w:val="21"/>
              </w:rPr>
              <w:t>不超过有效处理能力</w:t>
            </w:r>
          </w:p>
        </w:tc>
      </w:tr>
      <w:tr w14:paraId="485AD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1A2267C1">
            <w:pPr>
              <w:spacing w:before="0" w:after="0"/>
              <w:ind w:left="0" w:firstLine="0"/>
              <w:jc w:val="left"/>
              <w:rPr>
                <w:b w:val="0"/>
              </w:rPr>
            </w:pPr>
            <w:r>
              <w:rPr>
                <w:rFonts w:ascii="Times New Roman" w:hAnsi="Times New Roman" w:eastAsia="宋体" w:cs="Times New Roman"/>
                <w:b w:val="0"/>
                <w:bCs w:val="0"/>
                <w:sz w:val="21"/>
                <w:szCs w:val="21"/>
              </w:rPr>
              <w:t>再生水输配</w:t>
            </w:r>
          </w:p>
        </w:tc>
        <w:tc>
          <w:tcPr>
            <w:tcW w:w="3025" w:type="dxa"/>
            <w:tcBorders>
              <w:top w:val="nil"/>
              <w:left w:val="nil"/>
              <w:bottom w:val="nil"/>
              <w:right w:val="nil"/>
            </w:tcBorders>
            <w:shd w:val="clear" w:color="auto" w:fill="FFFFFF"/>
          </w:tcPr>
          <w:p w14:paraId="692473B1">
            <w:pPr>
              <w:spacing w:before="0" w:after="0"/>
              <w:ind w:left="0" w:firstLine="0"/>
              <w:jc w:val="left"/>
              <w:rPr>
                <w:b w:val="0"/>
              </w:rPr>
            </w:pPr>
            <w:r>
              <w:rPr>
                <w:rFonts w:ascii="Times New Roman" w:hAnsi="Times New Roman" w:eastAsia="宋体" w:cs="Times New Roman"/>
                <w:b w:val="0"/>
                <w:bCs w:val="0"/>
                <w:sz w:val="21"/>
                <w:szCs w:val="21"/>
              </w:rPr>
              <w:t>峰值输送量</w:t>
            </w:r>
          </w:p>
        </w:tc>
        <w:tc>
          <w:tcPr>
            <w:tcW w:w="3025" w:type="dxa"/>
            <w:tcBorders>
              <w:top w:val="nil"/>
              <w:left w:val="nil"/>
              <w:bottom w:val="nil"/>
              <w:right w:val="nil"/>
            </w:tcBorders>
            <w:shd w:val="clear" w:color="auto" w:fill="FFFFFF"/>
          </w:tcPr>
          <w:p w14:paraId="3D4EB126">
            <w:pPr>
              <w:spacing w:before="0" w:after="0"/>
              <w:ind w:left="0" w:firstLine="0"/>
              <w:jc w:val="left"/>
              <w:rPr>
                <w:b w:val="0"/>
              </w:rPr>
            </w:pPr>
            <w:r>
              <w:rPr>
                <w:rFonts w:ascii="Times New Roman" w:hAnsi="Times New Roman" w:eastAsia="宋体" w:cs="Times New Roman"/>
                <w:b w:val="0"/>
                <w:bCs w:val="0"/>
                <w:sz w:val="21"/>
                <w:szCs w:val="21"/>
              </w:rPr>
              <w:t>不超过有效输配能力</w:t>
            </w:r>
          </w:p>
        </w:tc>
      </w:tr>
      <w:tr w14:paraId="14EC7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22C0D1A5">
            <w:pPr>
              <w:spacing w:before="0" w:after="0"/>
              <w:ind w:left="0" w:firstLine="0"/>
              <w:jc w:val="center"/>
              <w:rPr>
                <w:b w:val="0"/>
              </w:rPr>
            </w:pPr>
            <w:r>
              <w:rPr>
                <w:rFonts w:ascii="Times New Roman" w:hAnsi="Times New Roman" w:eastAsia="宋体" w:cs="Times New Roman"/>
                <w:b w:val="0"/>
                <w:bCs w:val="0"/>
                <w:sz w:val="21"/>
                <w:szCs w:val="21"/>
              </w:rPr>
              <w:t>基本服务</w:t>
            </w:r>
          </w:p>
        </w:tc>
        <w:tc>
          <w:tcPr>
            <w:tcW w:w="3025" w:type="dxa"/>
            <w:tcBorders>
              <w:top w:val="nil"/>
              <w:left w:val="nil"/>
              <w:bottom w:val="nil"/>
              <w:right w:val="nil"/>
            </w:tcBorders>
            <w:shd w:val="clear" w:color="auto" w:fill="FFFFFF"/>
          </w:tcPr>
          <w:p w14:paraId="60043825">
            <w:pPr>
              <w:spacing w:before="0" w:after="0"/>
              <w:ind w:left="0" w:firstLine="0"/>
              <w:jc w:val="left"/>
              <w:rPr>
                <w:b w:val="0"/>
              </w:rPr>
            </w:pPr>
            <w:r>
              <w:rPr>
                <w:rFonts w:ascii="Times New Roman" w:hAnsi="Times New Roman" w:eastAsia="宋体" w:cs="Times New Roman"/>
                <w:b w:val="0"/>
                <w:bCs w:val="0"/>
                <w:sz w:val="21"/>
                <w:szCs w:val="21"/>
              </w:rPr>
              <w:t>居民及关键公共服务满足率</w:t>
            </w:r>
          </w:p>
        </w:tc>
        <w:tc>
          <w:tcPr>
            <w:tcW w:w="3025" w:type="dxa"/>
            <w:tcBorders>
              <w:top w:val="nil"/>
              <w:left w:val="nil"/>
              <w:bottom w:val="nil"/>
              <w:right w:val="nil"/>
            </w:tcBorders>
            <w:shd w:val="clear" w:color="auto" w:fill="FFFFFF"/>
          </w:tcPr>
          <w:p w14:paraId="46F58E1A">
            <w:pPr>
              <w:spacing w:before="0" w:after="0"/>
              <w:ind w:left="0" w:firstLine="0"/>
              <w:jc w:val="left"/>
              <w:rPr>
                <w:b w:val="0"/>
              </w:rPr>
            </w:pPr>
            <w:r>
              <w:rPr>
                <w:rFonts w:ascii="Times New Roman" w:hAnsi="Times New Roman" w:eastAsia="宋体" w:cs="Times New Roman"/>
                <w:b w:val="0"/>
                <w:bCs w:val="0"/>
                <w:sz w:val="21"/>
                <w:szCs w:val="21"/>
              </w:rPr>
              <w:t>不低于预设最低服务要求</w:t>
            </w:r>
          </w:p>
        </w:tc>
      </w:tr>
      <w:tr w14:paraId="1089B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1" w:type="dxa"/>
            <w:tcBorders>
              <w:top w:val="nil"/>
              <w:left w:val="nil"/>
              <w:bottom w:val="single" w:color="000000" w:sz="12" w:space="0"/>
              <w:right w:val="nil"/>
            </w:tcBorders>
            <w:shd w:val="clear" w:color="auto" w:fill="FFFFFF"/>
          </w:tcPr>
          <w:p w14:paraId="6CF1EE9B">
            <w:pPr>
              <w:spacing w:before="0" w:after="0"/>
              <w:ind w:left="0" w:firstLine="0"/>
              <w:jc w:val="left"/>
              <w:rPr>
                <w:b w:val="0"/>
              </w:rPr>
            </w:pPr>
            <w:r>
              <w:rPr>
                <w:rFonts w:ascii="Times New Roman" w:hAnsi="Times New Roman" w:eastAsia="宋体" w:cs="Times New Roman"/>
                <w:b w:val="0"/>
                <w:bCs w:val="0"/>
                <w:sz w:val="21"/>
                <w:szCs w:val="21"/>
              </w:rPr>
              <w:t>能源与电网（扩展约束）</w:t>
            </w:r>
          </w:p>
        </w:tc>
        <w:tc>
          <w:tcPr>
            <w:tcW w:w="3022" w:type="dxa"/>
            <w:tcBorders>
              <w:top w:val="nil"/>
              <w:left w:val="nil"/>
              <w:bottom w:val="single" w:color="000000" w:sz="12" w:space="0"/>
              <w:right w:val="nil"/>
            </w:tcBorders>
            <w:shd w:val="clear" w:color="auto" w:fill="FFFFFF"/>
          </w:tcPr>
          <w:p w14:paraId="7BD83311">
            <w:pPr>
              <w:spacing w:before="0" w:after="0"/>
              <w:ind w:left="0" w:firstLine="0"/>
              <w:jc w:val="left"/>
              <w:rPr>
                <w:b w:val="0"/>
              </w:rPr>
            </w:pPr>
            <w:r>
              <w:rPr>
                <w:rFonts w:ascii="Times New Roman" w:hAnsi="Times New Roman" w:eastAsia="宋体" w:cs="Times New Roman"/>
                <w:b w:val="0"/>
                <w:bCs w:val="0"/>
                <w:sz w:val="21"/>
                <w:szCs w:val="21"/>
              </w:rPr>
              <w:t>AI及新增水处理环节的峰值电力需求、碳排放强度</w:t>
            </w:r>
          </w:p>
        </w:tc>
        <w:tc>
          <w:tcPr>
            <w:tcW w:w="3022" w:type="dxa"/>
            <w:tcBorders>
              <w:top w:val="nil"/>
              <w:left w:val="nil"/>
              <w:bottom w:val="single" w:color="000000" w:sz="12" w:space="0"/>
              <w:right w:val="nil"/>
            </w:tcBorders>
            <w:shd w:val="clear" w:color="auto" w:fill="FFFFFF"/>
          </w:tcPr>
          <w:p w14:paraId="001CFC16">
            <w:pPr>
              <w:spacing w:before="0" w:after="0"/>
              <w:ind w:left="0" w:firstLine="0"/>
              <w:jc w:val="left"/>
              <w:rPr>
                <w:b w:val="0"/>
              </w:rPr>
            </w:pPr>
            <w:r>
              <w:rPr>
                <w:rFonts w:ascii="Times New Roman" w:hAnsi="Times New Roman" w:eastAsia="宋体" w:cs="Times New Roman"/>
                <w:b w:val="0"/>
                <w:bCs w:val="0"/>
                <w:sz w:val="21"/>
                <w:szCs w:val="21"/>
              </w:rPr>
              <w:t>峰值电力需求不超过情景供电与接网容量；碳排放不作为CAWCC失效判据，而在固定容量下与水耗并列核算</w:t>
            </w:r>
          </w:p>
        </w:tc>
      </w:tr>
    </w:tbl>
    <w:p w14:paraId="78762BAB">
      <w:pPr>
        <w:spacing w:before="0" w:after="0" w:line="360" w:lineRule="auto"/>
        <w:ind w:firstLine="420"/>
      </w:pPr>
      <w:r>
        <w:rPr>
          <w:rFonts w:ascii="Times New Roman" w:hAnsi="Times New Roman" w:eastAsia="宋体" w:cs="Times New Roman"/>
          <w:b w:val="0"/>
          <w:color w:val="000000"/>
          <w:sz w:val="24"/>
        </w:rPr>
        <w:t>表3-2中前八类为水量与服务约束，构成CAWCC的失效判据；能源与电网列为扩展约束，防止承载边界只考虑水量峰值而忽略能耗峰值：AI节点及新增再生水深度处理环节的电力需求按能耗强度系数核算，峰值电力需求不超过情景设定的供电与接网容量即为可行。碳排放不作为失效判据，而是在求得承载边界后于固定AI容量条件下与水耗并列核算，用于识别节水措施可能造成的能耗与碳排放转移；原因是碳排放阈值取决于区域电网结构与政策情景，缺乏可迁移的物理阈值，纳入失效判据会使承载边界退化为特定电网情景的函数，与“条件化、可迁移”的边界定义相冲突。水—能—碳的完整比较安排在第五阶段以固定容量方式完成，不改变核心CAWCC的定义。据此，本研究将模型明确定位为以水系统物理承载力为主、能—碳效应作为外部环境影响后评估的分析框架，而非全耦合的水—能—碳综合规划模型。</w:t>
      </w:r>
    </w:p>
    <w:p w14:paraId="02796006">
      <w:pPr>
        <w:spacing w:before="0" w:after="0" w:line="360" w:lineRule="auto"/>
        <w:ind w:firstLine="420"/>
      </w:pPr>
      <w:r>
        <w:rPr>
          <w:rFonts w:ascii="Times New Roman" w:hAnsi="Times New Roman" w:eastAsia="宋体" w:cs="Times New Roman"/>
          <w:b w:val="0"/>
          <w:color w:val="000000"/>
          <w:sz w:val="24"/>
        </w:rPr>
        <w:t>还需明确失效判据与未满足需求的记账方式。模型对未满足需求（缺水、限供或拒供）单独记账，不将其从取水端隐性扣除：居民及关键公共服务的未满足量受预设最低服务要求约束；AI节点在任一时间步出现正的未满足需求即判定该容量不可行。因此CAWCC是"不牺牲既定服务水平"前提下的可承载容量，而非"允许AI断供后仍可装机"的容量。若需评估可中断运行（如允许AI在高温时段降载），则以独立情景设置中断的时长与频次，结果单独报告，不与基准CAWCC混用。漏损与溢流同样单独记账，不计入消耗，以保证消耗量只反映不可回归损失。</w:t>
      </w:r>
    </w:p>
    <w:p w14:paraId="297E2E9C">
      <w:pPr>
        <w:spacing w:before="0" w:after="0" w:line="360" w:lineRule="auto"/>
        <w:ind w:firstLine="420"/>
      </w:pPr>
      <w:r>
        <w:t>求解时先在大范围内扫描各约束的状态与剩余裕度并检验单调性，再在首个失效区间附近细化；若可行域不连续，则同时报告全部可行区间以及首次、最终失效规模。</w:t>
      </w:r>
    </w:p>
    <w:p w14:paraId="1EC0D527">
      <w:pPr>
        <w:spacing w:before="0" w:after="0" w:line="360" w:lineRule="auto"/>
        <w:ind w:firstLine="420"/>
      </w:pPr>
      <w:r>
        <w:rPr>
          <w:rFonts w:ascii="Times New Roman" w:hAnsi="Times New Roman" w:eastAsia="宋体" w:cs="Times New Roman"/>
          <w:b w:val="0"/>
          <w:color w:val="000000"/>
          <w:sz w:val="24"/>
        </w:rPr>
        <w:t>（2）多时间尺度分析。承载边界分别在年、日和极端小时三个尺度上求解：年尺度用于分析长期规模关系，日尺度用于识别季节变化与需求峰值，极端小时尺度用于检验短时失稳与服务可靠性。通过比较不同尺度结果的差异，量化时间聚合造成的边界高估，并识别其控制因素。日与小时尺度均含储量的逐日（逐时）演算，储存对峰值的削减是模拟输出的结果，而非预先给定的削峰系数；年尺度结果由日尺度结果聚合得到，以保证三个尺度在同一套模拟输出下可比。</w:t>
      </w:r>
    </w:p>
    <w:p w14:paraId="58BE90D0">
      <w:pPr>
        <w:spacing w:before="0" w:after="0" w:line="360" w:lineRule="auto"/>
        <w:ind w:firstLine="420"/>
      </w:pPr>
      <w:r>
        <w:rPr>
          <w:rFonts w:ascii="Times New Roman" w:hAnsi="Times New Roman" w:eastAsia="宋体" w:cs="Times New Roman"/>
          <w:b w:val="0"/>
          <w:color w:val="000000"/>
          <w:sz w:val="24"/>
        </w:rPr>
        <w:t>（3）情景设计。情景由城市系统状态与外部压力两层构成。城市系统状态按各子系统相对余量划分为若干典型类型；外部压力包括常规、高温、干旱以及高温干旱与需求峰值叠加等情形，可叠加到任一系统状态之上，详见表3-3、表3-4。气象输入采用典型气象年或多年实测序列构造：逐日序列驱动日尺度模拟，极端小时序列由高温期连续时段提取并标注其持续天数与在序列中的位置，不以单一极端日代替极端过程。各状态采用高、中、低三级相对水平表示，不对应具体城市，其数值范围依据公开统计资料所反映的量级、工程运行范围与文献统计确定。</w:t>
      </w:r>
    </w:p>
    <w:p w14:paraId="7B9C36A1">
      <w:pPr>
        <w:spacing w:before="120" w:after="120" w:line="360" w:lineRule="auto"/>
        <w:ind w:left="0" w:firstLine="0"/>
        <w:jc w:val="center"/>
      </w:pPr>
      <w:r>
        <w:rPr>
          <w:rFonts w:ascii="Times New Roman" w:hAnsi="Times New Roman" w:eastAsia="宋体" w:cs="Times New Roman"/>
          <w:b w:val="0"/>
          <w:color w:val="000000"/>
          <w:sz w:val="24"/>
          <w:szCs w:val="24"/>
        </w:rPr>
        <w:t>表3-3 城市系统结构状态（S层情景）</w:t>
      </w:r>
    </w:p>
    <w:tbl>
      <w:tblPr>
        <w:tblStyle w:val="1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79"/>
        <w:gridCol w:w="1351"/>
        <w:gridCol w:w="1219"/>
        <w:gridCol w:w="1237"/>
        <w:gridCol w:w="1434"/>
        <w:gridCol w:w="1280"/>
      </w:tblGrid>
      <w:tr w14:paraId="37FF6E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single" w:color="000000" w:sz="12" w:space="0"/>
              <w:left w:val="nil"/>
              <w:right w:val="nil"/>
              <w:tl2br w:val="nil"/>
            </w:tcBorders>
            <w:shd w:val="clear" w:color="auto" w:fill="FFFFFF"/>
          </w:tcPr>
          <w:p w14:paraId="1E1DAAF5">
            <w:pPr>
              <w:spacing w:before="0" w:after="0"/>
              <w:ind w:left="0" w:firstLine="0"/>
              <w:jc w:val="center"/>
              <w:rPr>
                <w:b w:val="0"/>
              </w:rPr>
            </w:pPr>
            <w:r>
              <w:rPr>
                <w:rFonts w:ascii="Times New Roman" w:hAnsi="Times New Roman" w:eastAsia="宋体" w:cs="Times New Roman"/>
                <w:b/>
                <w:bCs/>
                <w:sz w:val="21"/>
                <w:szCs w:val="21"/>
              </w:rPr>
              <w:t>结构状态</w:t>
            </w:r>
          </w:p>
        </w:tc>
        <w:tc>
          <w:tcPr>
            <w:tcW w:w="1351" w:type="dxa"/>
            <w:tcBorders>
              <w:top w:val="single" w:color="000000" w:sz="12" w:space="0"/>
              <w:left w:val="nil"/>
              <w:right w:val="nil"/>
            </w:tcBorders>
            <w:shd w:val="clear" w:color="auto" w:fill="FFFFFF"/>
          </w:tcPr>
          <w:p w14:paraId="5E0D6468">
            <w:pPr>
              <w:spacing w:before="0" w:after="0"/>
              <w:ind w:left="0" w:leftChars="0" w:firstLine="0" w:firstLineChars="0"/>
              <w:jc w:val="center"/>
              <w:rPr>
                <w:b w:val="0"/>
              </w:rPr>
            </w:pPr>
            <w:r>
              <w:rPr>
                <w:rFonts w:ascii="Times New Roman" w:hAnsi="Times New Roman" w:eastAsia="宋体" w:cs="Times New Roman"/>
                <w:b/>
                <w:bCs/>
                <w:sz w:val="21"/>
                <w:szCs w:val="21"/>
              </w:rPr>
              <w:t>水源余量</w:t>
            </w:r>
          </w:p>
        </w:tc>
        <w:tc>
          <w:tcPr>
            <w:tcW w:w="1219" w:type="dxa"/>
            <w:tcBorders>
              <w:top w:val="single" w:color="000000" w:sz="12" w:space="0"/>
              <w:left w:val="nil"/>
              <w:right w:val="nil"/>
            </w:tcBorders>
            <w:shd w:val="clear" w:color="auto" w:fill="FFFFFF"/>
          </w:tcPr>
          <w:p w14:paraId="0008019F">
            <w:pPr>
              <w:spacing w:before="0" w:after="0"/>
              <w:ind w:left="0" w:leftChars="0" w:firstLine="0" w:firstLineChars="0"/>
              <w:jc w:val="center"/>
              <w:rPr>
                <w:b w:val="0"/>
              </w:rPr>
            </w:pPr>
            <w:r>
              <w:rPr>
                <w:rFonts w:ascii="Times New Roman" w:hAnsi="Times New Roman" w:eastAsia="宋体" w:cs="Times New Roman"/>
                <w:b/>
                <w:bCs/>
                <w:sz w:val="21"/>
                <w:szCs w:val="21"/>
              </w:rPr>
              <w:t>给水余量</w:t>
            </w:r>
          </w:p>
        </w:tc>
        <w:tc>
          <w:tcPr>
            <w:tcW w:w="1237" w:type="dxa"/>
            <w:tcBorders>
              <w:top w:val="single" w:color="000000" w:sz="12" w:space="0"/>
              <w:left w:val="nil"/>
              <w:right w:val="nil"/>
            </w:tcBorders>
            <w:shd w:val="clear" w:color="auto" w:fill="FFFFFF"/>
          </w:tcPr>
          <w:p w14:paraId="3C342D4C">
            <w:pPr>
              <w:spacing w:before="0" w:after="0"/>
              <w:ind w:left="0" w:leftChars="0" w:firstLine="0" w:firstLineChars="0"/>
              <w:jc w:val="center"/>
              <w:rPr>
                <w:b w:val="0"/>
              </w:rPr>
            </w:pPr>
            <w:r>
              <w:rPr>
                <w:rFonts w:ascii="Times New Roman" w:hAnsi="Times New Roman" w:eastAsia="宋体" w:cs="Times New Roman"/>
                <w:b/>
                <w:bCs/>
                <w:sz w:val="21"/>
                <w:szCs w:val="21"/>
              </w:rPr>
              <w:t>污水余量</w:t>
            </w:r>
          </w:p>
        </w:tc>
        <w:tc>
          <w:tcPr>
            <w:tcW w:w="1434" w:type="dxa"/>
            <w:tcBorders>
              <w:top w:val="single" w:color="000000" w:sz="12" w:space="0"/>
              <w:left w:val="nil"/>
              <w:right w:val="nil"/>
            </w:tcBorders>
            <w:shd w:val="clear" w:color="auto" w:fill="FFFFFF"/>
          </w:tcPr>
          <w:p w14:paraId="5E55AF18">
            <w:pPr>
              <w:spacing w:before="0" w:after="0"/>
              <w:ind w:left="0" w:leftChars="0" w:firstLine="0" w:firstLineChars="0"/>
              <w:jc w:val="center"/>
              <w:rPr>
                <w:b w:val="0"/>
              </w:rPr>
            </w:pPr>
            <w:r>
              <w:rPr>
                <w:rFonts w:ascii="Times New Roman" w:hAnsi="Times New Roman" w:eastAsia="宋体" w:cs="Times New Roman"/>
                <w:b/>
                <w:bCs/>
                <w:sz w:val="21"/>
                <w:szCs w:val="21"/>
              </w:rPr>
              <w:t>再生水能力</w:t>
            </w:r>
          </w:p>
        </w:tc>
        <w:tc>
          <w:tcPr>
            <w:tcW w:w="1280" w:type="dxa"/>
            <w:tcBorders>
              <w:top w:val="single" w:color="000000" w:sz="12" w:space="0"/>
              <w:left w:val="nil"/>
              <w:right w:val="nil"/>
            </w:tcBorders>
            <w:shd w:val="clear" w:color="auto" w:fill="FFFFFF"/>
          </w:tcPr>
          <w:p w14:paraId="0DE2FA4E">
            <w:pPr>
              <w:spacing w:before="0" w:after="0"/>
              <w:ind w:left="0" w:leftChars="0" w:firstLine="0" w:firstLineChars="0"/>
              <w:jc w:val="center"/>
              <w:rPr>
                <w:b w:val="0"/>
              </w:rPr>
            </w:pPr>
            <w:r>
              <w:rPr>
                <w:rFonts w:ascii="Times New Roman" w:hAnsi="Times New Roman" w:eastAsia="宋体" w:cs="Times New Roman"/>
                <w:b/>
                <w:bCs/>
                <w:sz w:val="21"/>
                <w:szCs w:val="21"/>
              </w:rPr>
              <w:t>局部输配</w:t>
            </w:r>
          </w:p>
        </w:tc>
      </w:tr>
      <w:tr w14:paraId="643CA4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left w:val="nil"/>
              <w:bottom w:val="nil"/>
              <w:right w:val="nil"/>
            </w:tcBorders>
            <w:shd w:val="clear" w:color="auto" w:fill="FFFFFF"/>
          </w:tcPr>
          <w:p w14:paraId="0018473D">
            <w:pPr>
              <w:spacing w:before="0" w:after="0"/>
              <w:ind w:left="0" w:leftChars="0" w:firstLine="0" w:firstLineChars="0"/>
              <w:jc w:val="left"/>
              <w:rPr>
                <w:b w:val="0"/>
              </w:rPr>
            </w:pPr>
            <w:r>
              <w:rPr>
                <w:rFonts w:ascii="Times New Roman" w:hAnsi="Times New Roman" w:eastAsia="宋体" w:cs="Times New Roman"/>
                <w:b w:val="0"/>
                <w:bCs w:val="0"/>
                <w:sz w:val="21"/>
                <w:szCs w:val="21"/>
              </w:rPr>
              <w:t>S0均衡基准型</w:t>
            </w:r>
          </w:p>
        </w:tc>
        <w:tc>
          <w:tcPr>
            <w:tcW w:w="1351" w:type="dxa"/>
            <w:tcBorders>
              <w:left w:val="nil"/>
              <w:bottom w:val="nil"/>
              <w:right w:val="nil"/>
            </w:tcBorders>
            <w:shd w:val="clear" w:color="auto" w:fill="FFFFFF"/>
          </w:tcPr>
          <w:p w14:paraId="72AE942B">
            <w:pPr>
              <w:spacing w:before="0" w:after="0"/>
              <w:ind w:left="0" w:firstLine="0"/>
              <w:jc w:val="center"/>
              <w:rPr>
                <w:b w:val="0"/>
              </w:rPr>
            </w:pPr>
            <w:r>
              <w:rPr>
                <w:rFonts w:ascii="Times New Roman" w:hAnsi="Times New Roman" w:eastAsia="宋体" w:cs="Times New Roman"/>
                <w:b w:val="0"/>
                <w:bCs w:val="0"/>
                <w:sz w:val="21"/>
                <w:szCs w:val="21"/>
              </w:rPr>
              <w:t>中</w:t>
            </w:r>
          </w:p>
        </w:tc>
        <w:tc>
          <w:tcPr>
            <w:tcW w:w="1219" w:type="dxa"/>
            <w:tcBorders>
              <w:left w:val="nil"/>
              <w:bottom w:val="nil"/>
              <w:right w:val="nil"/>
            </w:tcBorders>
            <w:shd w:val="clear" w:color="auto" w:fill="FFFFFF"/>
          </w:tcPr>
          <w:p w14:paraId="351CD1F9">
            <w:pPr>
              <w:spacing w:before="0" w:after="0"/>
              <w:ind w:left="0" w:firstLine="0"/>
              <w:jc w:val="center"/>
              <w:rPr>
                <w:b w:val="0"/>
              </w:rPr>
            </w:pPr>
            <w:r>
              <w:rPr>
                <w:rFonts w:ascii="Times New Roman" w:hAnsi="Times New Roman" w:eastAsia="宋体" w:cs="Times New Roman"/>
                <w:b w:val="0"/>
                <w:bCs w:val="0"/>
                <w:sz w:val="21"/>
                <w:szCs w:val="21"/>
              </w:rPr>
              <w:t>中</w:t>
            </w:r>
          </w:p>
        </w:tc>
        <w:tc>
          <w:tcPr>
            <w:tcW w:w="1237" w:type="dxa"/>
            <w:tcBorders>
              <w:left w:val="nil"/>
              <w:bottom w:val="nil"/>
              <w:right w:val="nil"/>
            </w:tcBorders>
            <w:shd w:val="clear" w:color="auto" w:fill="FFFFFF"/>
          </w:tcPr>
          <w:p w14:paraId="2B79253C">
            <w:pPr>
              <w:spacing w:before="0" w:after="0"/>
              <w:ind w:left="0" w:firstLine="0"/>
              <w:jc w:val="center"/>
              <w:rPr>
                <w:b w:val="0"/>
              </w:rPr>
            </w:pPr>
            <w:r>
              <w:rPr>
                <w:rFonts w:ascii="Times New Roman" w:hAnsi="Times New Roman" w:eastAsia="宋体" w:cs="Times New Roman"/>
                <w:b w:val="0"/>
                <w:bCs w:val="0"/>
                <w:sz w:val="21"/>
                <w:szCs w:val="21"/>
              </w:rPr>
              <w:t>中</w:t>
            </w:r>
          </w:p>
        </w:tc>
        <w:tc>
          <w:tcPr>
            <w:tcW w:w="1434" w:type="dxa"/>
            <w:tcBorders>
              <w:left w:val="nil"/>
              <w:bottom w:val="nil"/>
              <w:right w:val="nil"/>
            </w:tcBorders>
            <w:shd w:val="clear" w:color="auto" w:fill="FFFFFF"/>
          </w:tcPr>
          <w:p w14:paraId="2A3DA7D8">
            <w:pPr>
              <w:spacing w:before="0" w:after="0"/>
              <w:ind w:left="0" w:firstLine="0"/>
              <w:jc w:val="center"/>
              <w:rPr>
                <w:b w:val="0"/>
              </w:rPr>
            </w:pPr>
            <w:r>
              <w:rPr>
                <w:rFonts w:ascii="Times New Roman" w:hAnsi="Times New Roman" w:eastAsia="宋体" w:cs="Times New Roman"/>
                <w:b w:val="0"/>
                <w:bCs w:val="0"/>
                <w:sz w:val="21"/>
                <w:szCs w:val="21"/>
              </w:rPr>
              <w:t>中</w:t>
            </w:r>
          </w:p>
        </w:tc>
        <w:tc>
          <w:tcPr>
            <w:tcW w:w="1280" w:type="dxa"/>
            <w:tcBorders>
              <w:left w:val="nil"/>
              <w:bottom w:val="nil"/>
              <w:right w:val="nil"/>
            </w:tcBorders>
            <w:shd w:val="clear" w:color="auto" w:fill="FFFFFF"/>
          </w:tcPr>
          <w:p w14:paraId="0CFFD6B6">
            <w:pPr>
              <w:spacing w:before="0" w:after="0"/>
              <w:ind w:left="0" w:firstLine="0"/>
              <w:jc w:val="center"/>
              <w:rPr>
                <w:b w:val="0"/>
              </w:rPr>
            </w:pPr>
            <w:r>
              <w:rPr>
                <w:rFonts w:ascii="Times New Roman" w:hAnsi="Times New Roman" w:eastAsia="宋体" w:cs="Times New Roman"/>
                <w:b w:val="0"/>
                <w:bCs w:val="0"/>
                <w:sz w:val="21"/>
                <w:szCs w:val="21"/>
              </w:rPr>
              <w:t>中</w:t>
            </w:r>
          </w:p>
        </w:tc>
      </w:tr>
      <w:tr w14:paraId="4B315E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nil"/>
              <w:left w:val="nil"/>
              <w:bottom w:val="nil"/>
              <w:right w:val="nil"/>
            </w:tcBorders>
            <w:shd w:val="clear" w:color="auto" w:fill="FFFFFF"/>
          </w:tcPr>
          <w:p w14:paraId="0120AE10">
            <w:pPr>
              <w:spacing w:before="0" w:after="0"/>
              <w:ind w:left="0" w:leftChars="0" w:firstLine="0" w:firstLineChars="0"/>
              <w:jc w:val="left"/>
              <w:rPr>
                <w:b w:val="0"/>
              </w:rPr>
            </w:pPr>
            <w:r>
              <w:rPr>
                <w:rFonts w:ascii="Times New Roman" w:hAnsi="Times New Roman" w:eastAsia="宋体" w:cs="Times New Roman"/>
                <w:b w:val="0"/>
                <w:bCs w:val="0"/>
                <w:sz w:val="21"/>
                <w:szCs w:val="21"/>
              </w:rPr>
              <w:t>S1水源充足—给水处理受限</w:t>
            </w:r>
          </w:p>
        </w:tc>
        <w:tc>
          <w:tcPr>
            <w:tcW w:w="1351" w:type="dxa"/>
            <w:tcBorders>
              <w:top w:val="nil"/>
              <w:left w:val="nil"/>
              <w:bottom w:val="nil"/>
              <w:right w:val="nil"/>
            </w:tcBorders>
            <w:shd w:val="clear" w:color="auto" w:fill="FFFFFF"/>
          </w:tcPr>
          <w:p w14:paraId="050E6935">
            <w:pPr>
              <w:spacing w:before="0" w:after="0"/>
              <w:ind w:left="0" w:firstLine="0"/>
              <w:jc w:val="center"/>
              <w:rPr>
                <w:b w:val="0"/>
              </w:rPr>
            </w:pPr>
            <w:r>
              <w:rPr>
                <w:rFonts w:ascii="Times New Roman" w:hAnsi="Times New Roman" w:eastAsia="宋体" w:cs="Times New Roman"/>
                <w:b w:val="0"/>
                <w:bCs w:val="0"/>
                <w:sz w:val="21"/>
                <w:szCs w:val="21"/>
              </w:rPr>
              <w:t>高</w:t>
            </w:r>
          </w:p>
        </w:tc>
        <w:tc>
          <w:tcPr>
            <w:tcW w:w="1219" w:type="dxa"/>
            <w:tcBorders>
              <w:top w:val="nil"/>
              <w:left w:val="nil"/>
              <w:bottom w:val="nil"/>
              <w:right w:val="nil"/>
            </w:tcBorders>
            <w:shd w:val="clear" w:color="auto" w:fill="FFFFFF"/>
          </w:tcPr>
          <w:p w14:paraId="60379ACF">
            <w:pPr>
              <w:spacing w:before="0" w:after="0"/>
              <w:ind w:left="0" w:firstLine="0"/>
              <w:jc w:val="center"/>
              <w:rPr>
                <w:b w:val="0"/>
              </w:rPr>
            </w:pPr>
            <w:r>
              <w:rPr>
                <w:rFonts w:ascii="Times New Roman" w:hAnsi="Times New Roman" w:eastAsia="宋体" w:cs="Times New Roman"/>
                <w:b w:val="0"/>
                <w:bCs w:val="0"/>
                <w:sz w:val="21"/>
                <w:szCs w:val="21"/>
              </w:rPr>
              <w:t>低</w:t>
            </w:r>
          </w:p>
        </w:tc>
        <w:tc>
          <w:tcPr>
            <w:tcW w:w="1237" w:type="dxa"/>
            <w:tcBorders>
              <w:top w:val="nil"/>
              <w:left w:val="nil"/>
              <w:bottom w:val="nil"/>
              <w:right w:val="nil"/>
            </w:tcBorders>
            <w:shd w:val="clear" w:color="auto" w:fill="FFFFFF"/>
          </w:tcPr>
          <w:p w14:paraId="0C3D4A93">
            <w:pPr>
              <w:spacing w:before="0" w:after="0"/>
              <w:ind w:left="0" w:firstLine="0"/>
              <w:jc w:val="center"/>
              <w:rPr>
                <w:b w:val="0"/>
              </w:rPr>
            </w:pPr>
            <w:r>
              <w:rPr>
                <w:rFonts w:ascii="Times New Roman" w:hAnsi="Times New Roman" w:eastAsia="宋体" w:cs="Times New Roman"/>
                <w:b w:val="0"/>
                <w:bCs w:val="0"/>
                <w:sz w:val="21"/>
                <w:szCs w:val="21"/>
              </w:rPr>
              <w:t>中</w:t>
            </w:r>
          </w:p>
        </w:tc>
        <w:tc>
          <w:tcPr>
            <w:tcW w:w="1434" w:type="dxa"/>
            <w:tcBorders>
              <w:top w:val="nil"/>
              <w:left w:val="nil"/>
              <w:bottom w:val="nil"/>
              <w:right w:val="nil"/>
            </w:tcBorders>
            <w:shd w:val="clear" w:color="auto" w:fill="FFFFFF"/>
          </w:tcPr>
          <w:p w14:paraId="6FCEC8F1">
            <w:pPr>
              <w:spacing w:before="0" w:after="0"/>
              <w:ind w:left="0" w:firstLine="0"/>
              <w:jc w:val="center"/>
              <w:rPr>
                <w:b w:val="0"/>
              </w:rPr>
            </w:pPr>
            <w:r>
              <w:rPr>
                <w:rFonts w:ascii="Times New Roman" w:hAnsi="Times New Roman" w:eastAsia="宋体" w:cs="Times New Roman"/>
                <w:b w:val="0"/>
                <w:bCs w:val="0"/>
                <w:sz w:val="21"/>
                <w:szCs w:val="21"/>
              </w:rPr>
              <w:t>中</w:t>
            </w:r>
          </w:p>
        </w:tc>
        <w:tc>
          <w:tcPr>
            <w:tcW w:w="1280" w:type="dxa"/>
            <w:tcBorders>
              <w:top w:val="nil"/>
              <w:left w:val="nil"/>
              <w:bottom w:val="nil"/>
              <w:right w:val="nil"/>
            </w:tcBorders>
            <w:shd w:val="clear" w:color="auto" w:fill="FFFFFF"/>
          </w:tcPr>
          <w:p w14:paraId="3A751E7E">
            <w:pPr>
              <w:spacing w:before="0" w:after="0"/>
              <w:ind w:left="0" w:firstLine="0"/>
              <w:jc w:val="center"/>
              <w:rPr>
                <w:b w:val="0"/>
              </w:rPr>
            </w:pPr>
            <w:r>
              <w:rPr>
                <w:rFonts w:ascii="Times New Roman" w:hAnsi="Times New Roman" w:eastAsia="宋体" w:cs="Times New Roman"/>
                <w:b w:val="0"/>
                <w:bCs w:val="0"/>
                <w:sz w:val="21"/>
                <w:szCs w:val="21"/>
              </w:rPr>
              <w:t>中</w:t>
            </w:r>
          </w:p>
        </w:tc>
      </w:tr>
      <w:tr w14:paraId="1A88C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nil"/>
              <w:left w:val="nil"/>
              <w:bottom w:val="nil"/>
              <w:right w:val="nil"/>
            </w:tcBorders>
            <w:shd w:val="clear" w:color="auto" w:fill="FFFFFF"/>
          </w:tcPr>
          <w:p w14:paraId="2A08DBE9">
            <w:pPr>
              <w:spacing w:before="0" w:after="0"/>
              <w:ind w:left="0" w:leftChars="0" w:firstLine="0" w:firstLineChars="0"/>
              <w:jc w:val="left"/>
              <w:rPr>
                <w:b w:val="0"/>
              </w:rPr>
            </w:pPr>
            <w:r>
              <w:rPr>
                <w:rFonts w:ascii="Times New Roman" w:hAnsi="Times New Roman" w:eastAsia="宋体" w:cs="Times New Roman"/>
                <w:b w:val="0"/>
                <w:bCs w:val="0"/>
                <w:sz w:val="21"/>
                <w:szCs w:val="21"/>
              </w:rPr>
              <w:t>S2淡水受限—再生水较强</w:t>
            </w:r>
          </w:p>
        </w:tc>
        <w:tc>
          <w:tcPr>
            <w:tcW w:w="1351" w:type="dxa"/>
            <w:tcBorders>
              <w:top w:val="nil"/>
              <w:left w:val="nil"/>
              <w:bottom w:val="nil"/>
              <w:right w:val="nil"/>
            </w:tcBorders>
            <w:shd w:val="clear" w:color="auto" w:fill="FFFFFF"/>
          </w:tcPr>
          <w:p w14:paraId="2CABFD42">
            <w:pPr>
              <w:spacing w:before="0" w:after="0"/>
              <w:ind w:left="0" w:firstLine="0"/>
              <w:jc w:val="center"/>
              <w:rPr>
                <w:b w:val="0"/>
              </w:rPr>
            </w:pPr>
            <w:r>
              <w:rPr>
                <w:rFonts w:ascii="Times New Roman" w:hAnsi="Times New Roman" w:eastAsia="宋体" w:cs="Times New Roman"/>
                <w:b w:val="0"/>
                <w:bCs w:val="0"/>
                <w:sz w:val="21"/>
                <w:szCs w:val="21"/>
              </w:rPr>
              <w:t>低</w:t>
            </w:r>
          </w:p>
        </w:tc>
        <w:tc>
          <w:tcPr>
            <w:tcW w:w="1219" w:type="dxa"/>
            <w:tcBorders>
              <w:top w:val="nil"/>
              <w:left w:val="nil"/>
              <w:bottom w:val="nil"/>
              <w:right w:val="nil"/>
            </w:tcBorders>
            <w:shd w:val="clear" w:color="auto" w:fill="FFFFFF"/>
          </w:tcPr>
          <w:p w14:paraId="2DD79D9D">
            <w:pPr>
              <w:spacing w:before="0" w:after="0"/>
              <w:ind w:left="0" w:firstLine="0"/>
              <w:jc w:val="center"/>
              <w:rPr>
                <w:b w:val="0"/>
              </w:rPr>
            </w:pPr>
            <w:r>
              <w:rPr>
                <w:rFonts w:ascii="Times New Roman" w:hAnsi="Times New Roman" w:eastAsia="宋体" w:cs="Times New Roman"/>
                <w:b w:val="0"/>
                <w:bCs w:val="0"/>
                <w:sz w:val="21"/>
                <w:szCs w:val="21"/>
              </w:rPr>
              <w:t>中</w:t>
            </w:r>
          </w:p>
        </w:tc>
        <w:tc>
          <w:tcPr>
            <w:tcW w:w="1237" w:type="dxa"/>
            <w:tcBorders>
              <w:top w:val="nil"/>
              <w:left w:val="nil"/>
              <w:bottom w:val="nil"/>
              <w:right w:val="nil"/>
            </w:tcBorders>
            <w:shd w:val="clear" w:color="auto" w:fill="FFFFFF"/>
          </w:tcPr>
          <w:p w14:paraId="6FDA7F9D">
            <w:pPr>
              <w:spacing w:before="0" w:after="0"/>
              <w:ind w:left="0" w:firstLine="0"/>
              <w:jc w:val="center"/>
              <w:rPr>
                <w:b w:val="0"/>
              </w:rPr>
            </w:pPr>
            <w:r>
              <w:rPr>
                <w:rFonts w:ascii="Times New Roman" w:hAnsi="Times New Roman" w:eastAsia="宋体" w:cs="Times New Roman"/>
                <w:b w:val="0"/>
                <w:bCs w:val="0"/>
                <w:sz w:val="21"/>
                <w:szCs w:val="21"/>
              </w:rPr>
              <w:t>高</w:t>
            </w:r>
          </w:p>
        </w:tc>
        <w:tc>
          <w:tcPr>
            <w:tcW w:w="1434" w:type="dxa"/>
            <w:tcBorders>
              <w:top w:val="nil"/>
              <w:left w:val="nil"/>
              <w:bottom w:val="nil"/>
              <w:right w:val="nil"/>
            </w:tcBorders>
            <w:shd w:val="clear" w:color="auto" w:fill="FFFFFF"/>
          </w:tcPr>
          <w:p w14:paraId="407837E1">
            <w:pPr>
              <w:spacing w:before="0" w:after="0"/>
              <w:ind w:left="0" w:firstLine="0"/>
              <w:jc w:val="center"/>
              <w:rPr>
                <w:b w:val="0"/>
              </w:rPr>
            </w:pPr>
            <w:r>
              <w:rPr>
                <w:rFonts w:ascii="Times New Roman" w:hAnsi="Times New Roman" w:eastAsia="宋体" w:cs="Times New Roman"/>
                <w:b w:val="0"/>
                <w:bCs w:val="0"/>
                <w:sz w:val="21"/>
                <w:szCs w:val="21"/>
              </w:rPr>
              <w:t>高</w:t>
            </w:r>
          </w:p>
        </w:tc>
        <w:tc>
          <w:tcPr>
            <w:tcW w:w="1280" w:type="dxa"/>
            <w:tcBorders>
              <w:top w:val="nil"/>
              <w:left w:val="nil"/>
              <w:bottom w:val="nil"/>
              <w:right w:val="nil"/>
            </w:tcBorders>
            <w:shd w:val="clear" w:color="auto" w:fill="FFFFFF"/>
          </w:tcPr>
          <w:p w14:paraId="4321F78F">
            <w:pPr>
              <w:spacing w:before="0" w:after="0"/>
              <w:ind w:left="0" w:firstLine="0"/>
              <w:jc w:val="center"/>
              <w:rPr>
                <w:b w:val="0"/>
              </w:rPr>
            </w:pPr>
            <w:r>
              <w:rPr>
                <w:rFonts w:ascii="Times New Roman" w:hAnsi="Times New Roman" w:eastAsia="宋体" w:cs="Times New Roman"/>
                <w:b w:val="0"/>
                <w:bCs w:val="0"/>
                <w:sz w:val="21"/>
                <w:szCs w:val="21"/>
              </w:rPr>
              <w:t>高</w:t>
            </w:r>
          </w:p>
        </w:tc>
      </w:tr>
      <w:tr w14:paraId="7059F0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nil"/>
              <w:left w:val="nil"/>
              <w:bottom w:val="single" w:color="000000" w:sz="12" w:space="0"/>
              <w:right w:val="nil"/>
            </w:tcBorders>
            <w:shd w:val="clear" w:color="auto" w:fill="FFFFFF"/>
          </w:tcPr>
          <w:p w14:paraId="3DD4026F">
            <w:pPr>
              <w:spacing w:before="0" w:after="0"/>
              <w:ind w:left="0" w:leftChars="0" w:firstLine="0" w:firstLineChars="0"/>
              <w:jc w:val="left"/>
              <w:rPr>
                <w:b w:val="0"/>
              </w:rPr>
            </w:pPr>
            <w:r>
              <w:rPr>
                <w:rFonts w:ascii="Times New Roman" w:hAnsi="Times New Roman" w:eastAsia="宋体" w:cs="Times New Roman"/>
                <w:b w:val="0"/>
                <w:bCs w:val="0"/>
                <w:sz w:val="21"/>
                <w:szCs w:val="21"/>
              </w:rPr>
              <w:t>S3总量充足—局部输配受限</w:t>
            </w:r>
          </w:p>
        </w:tc>
        <w:tc>
          <w:tcPr>
            <w:tcW w:w="1351" w:type="dxa"/>
            <w:tcBorders>
              <w:top w:val="nil"/>
              <w:left w:val="nil"/>
              <w:bottom w:val="single" w:color="000000" w:sz="12" w:space="0"/>
              <w:right w:val="nil"/>
            </w:tcBorders>
            <w:shd w:val="clear" w:color="auto" w:fill="FFFFFF"/>
          </w:tcPr>
          <w:p w14:paraId="784ABDBC">
            <w:pPr>
              <w:spacing w:before="0" w:after="0"/>
              <w:ind w:left="0" w:firstLine="0"/>
              <w:jc w:val="center"/>
              <w:rPr>
                <w:b w:val="0"/>
              </w:rPr>
            </w:pPr>
            <w:r>
              <w:rPr>
                <w:rFonts w:ascii="Times New Roman" w:hAnsi="Times New Roman" w:eastAsia="宋体" w:cs="Times New Roman"/>
                <w:b w:val="0"/>
                <w:bCs w:val="0"/>
                <w:sz w:val="21"/>
                <w:szCs w:val="21"/>
              </w:rPr>
              <w:t>高</w:t>
            </w:r>
          </w:p>
        </w:tc>
        <w:tc>
          <w:tcPr>
            <w:tcW w:w="1219" w:type="dxa"/>
            <w:tcBorders>
              <w:top w:val="nil"/>
              <w:left w:val="nil"/>
              <w:bottom w:val="single" w:color="000000" w:sz="12" w:space="0"/>
              <w:right w:val="nil"/>
            </w:tcBorders>
            <w:shd w:val="clear" w:color="auto" w:fill="FFFFFF"/>
          </w:tcPr>
          <w:p w14:paraId="226B1517">
            <w:pPr>
              <w:spacing w:before="0" w:after="0"/>
              <w:ind w:left="0" w:firstLine="0"/>
              <w:jc w:val="center"/>
              <w:rPr>
                <w:b w:val="0"/>
              </w:rPr>
            </w:pPr>
            <w:r>
              <w:rPr>
                <w:rFonts w:ascii="Times New Roman" w:hAnsi="Times New Roman" w:eastAsia="宋体" w:cs="Times New Roman"/>
                <w:b w:val="0"/>
                <w:bCs w:val="0"/>
                <w:sz w:val="21"/>
                <w:szCs w:val="21"/>
              </w:rPr>
              <w:t>高</w:t>
            </w:r>
          </w:p>
        </w:tc>
        <w:tc>
          <w:tcPr>
            <w:tcW w:w="1237" w:type="dxa"/>
            <w:tcBorders>
              <w:top w:val="nil"/>
              <w:left w:val="nil"/>
              <w:bottom w:val="single" w:color="000000" w:sz="12" w:space="0"/>
              <w:right w:val="nil"/>
            </w:tcBorders>
            <w:shd w:val="clear" w:color="auto" w:fill="FFFFFF"/>
          </w:tcPr>
          <w:p w14:paraId="62AAD06B">
            <w:pPr>
              <w:spacing w:before="0" w:after="0"/>
              <w:ind w:left="0" w:firstLine="0"/>
              <w:jc w:val="center"/>
              <w:rPr>
                <w:b w:val="0"/>
              </w:rPr>
            </w:pPr>
            <w:r>
              <w:rPr>
                <w:rFonts w:ascii="Times New Roman" w:hAnsi="Times New Roman" w:eastAsia="宋体" w:cs="Times New Roman"/>
                <w:b w:val="0"/>
                <w:bCs w:val="0"/>
                <w:sz w:val="21"/>
                <w:szCs w:val="21"/>
              </w:rPr>
              <w:t>高</w:t>
            </w:r>
          </w:p>
        </w:tc>
        <w:tc>
          <w:tcPr>
            <w:tcW w:w="1434" w:type="dxa"/>
            <w:tcBorders>
              <w:top w:val="nil"/>
              <w:left w:val="nil"/>
              <w:bottom w:val="single" w:color="000000" w:sz="12" w:space="0"/>
              <w:right w:val="nil"/>
            </w:tcBorders>
            <w:shd w:val="clear" w:color="auto" w:fill="FFFFFF"/>
          </w:tcPr>
          <w:p w14:paraId="4CD60F0B">
            <w:pPr>
              <w:spacing w:before="0" w:after="0"/>
              <w:ind w:left="0" w:firstLine="0"/>
              <w:jc w:val="center"/>
              <w:rPr>
                <w:b w:val="0"/>
              </w:rPr>
            </w:pPr>
            <w:r>
              <w:rPr>
                <w:rFonts w:ascii="Times New Roman" w:hAnsi="Times New Roman" w:eastAsia="宋体" w:cs="Times New Roman"/>
                <w:b w:val="0"/>
                <w:bCs w:val="0"/>
                <w:sz w:val="21"/>
                <w:szCs w:val="21"/>
              </w:rPr>
              <w:t>高</w:t>
            </w:r>
          </w:p>
        </w:tc>
        <w:tc>
          <w:tcPr>
            <w:tcW w:w="1280" w:type="dxa"/>
            <w:tcBorders>
              <w:top w:val="nil"/>
              <w:left w:val="nil"/>
              <w:bottom w:val="single" w:color="000000" w:sz="12" w:space="0"/>
              <w:right w:val="nil"/>
            </w:tcBorders>
            <w:shd w:val="clear" w:color="auto" w:fill="FFFFFF"/>
          </w:tcPr>
          <w:p w14:paraId="4000D070">
            <w:pPr>
              <w:spacing w:before="0" w:after="0"/>
              <w:ind w:left="0" w:firstLine="0"/>
              <w:jc w:val="center"/>
              <w:rPr>
                <w:b w:val="0"/>
              </w:rPr>
            </w:pPr>
            <w:r>
              <w:rPr>
                <w:rFonts w:ascii="Times New Roman" w:hAnsi="Times New Roman" w:eastAsia="宋体" w:cs="Times New Roman"/>
                <w:b w:val="0"/>
                <w:bCs w:val="0"/>
                <w:sz w:val="21"/>
                <w:szCs w:val="21"/>
              </w:rPr>
              <w:t>低</w:t>
            </w:r>
          </w:p>
        </w:tc>
      </w:tr>
    </w:tbl>
    <w:p w14:paraId="1AD7F6FA">
      <w:pPr>
        <w:spacing w:before="120" w:after="120" w:line="360" w:lineRule="auto"/>
        <w:ind w:left="0" w:firstLine="0"/>
        <w:jc w:val="center"/>
      </w:pPr>
      <w:r>
        <w:rPr>
          <w:rFonts w:ascii="Times New Roman" w:hAnsi="Times New Roman" w:eastAsia="宋体" w:cs="Times New Roman"/>
          <w:b w:val="0"/>
          <w:color w:val="000000"/>
          <w:sz w:val="24"/>
          <w:szCs w:val="24"/>
        </w:rPr>
        <w:t>表3-4 外部压力情景（G层情景）</w:t>
      </w:r>
    </w:p>
    <w:tbl>
      <w:tblPr>
        <w:tblStyle w:val="1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00"/>
        <w:gridCol w:w="2200"/>
        <w:gridCol w:w="2200"/>
        <w:gridCol w:w="2200"/>
      </w:tblGrid>
      <w:tr w14:paraId="29FFB7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single" w:color="000000" w:sz="12" w:space="0"/>
              <w:left w:val="nil"/>
              <w:right w:val="nil"/>
              <w:tl2br w:val="nil"/>
            </w:tcBorders>
            <w:shd w:val="clear" w:color="auto" w:fill="FFFFFF"/>
          </w:tcPr>
          <w:p w14:paraId="709BC1AD">
            <w:pPr>
              <w:spacing w:before="0" w:after="0"/>
              <w:ind w:left="0" w:firstLine="0"/>
              <w:jc w:val="center"/>
              <w:rPr>
                <w:b w:val="0"/>
              </w:rPr>
            </w:pPr>
            <w:r>
              <w:rPr>
                <w:rFonts w:ascii="Times New Roman" w:hAnsi="Times New Roman" w:eastAsia="宋体" w:cs="Times New Roman"/>
                <w:b/>
                <w:bCs/>
                <w:sz w:val="21"/>
                <w:szCs w:val="21"/>
              </w:rPr>
              <w:t>情景</w:t>
            </w:r>
          </w:p>
        </w:tc>
        <w:tc>
          <w:tcPr>
            <w:tcW w:w="2200" w:type="dxa"/>
            <w:tcBorders>
              <w:top w:val="single" w:color="000000" w:sz="12" w:space="0"/>
              <w:left w:val="nil"/>
              <w:right w:val="nil"/>
            </w:tcBorders>
            <w:shd w:val="clear" w:color="auto" w:fill="FFFFFF"/>
          </w:tcPr>
          <w:p w14:paraId="740EED2C">
            <w:pPr>
              <w:spacing w:before="0" w:after="0"/>
              <w:ind w:left="0" w:firstLine="0"/>
              <w:jc w:val="center"/>
              <w:rPr>
                <w:b w:val="0"/>
              </w:rPr>
            </w:pPr>
            <w:r>
              <w:rPr>
                <w:rFonts w:ascii="Times New Roman" w:hAnsi="Times New Roman" w:eastAsia="宋体" w:cs="Times New Roman"/>
                <w:b/>
                <w:bCs/>
                <w:sz w:val="21"/>
                <w:szCs w:val="21"/>
              </w:rPr>
              <w:t>温度</w:t>
            </w:r>
          </w:p>
        </w:tc>
        <w:tc>
          <w:tcPr>
            <w:tcW w:w="2200" w:type="dxa"/>
            <w:tcBorders>
              <w:top w:val="single" w:color="000000" w:sz="12" w:space="0"/>
              <w:left w:val="nil"/>
              <w:right w:val="nil"/>
            </w:tcBorders>
            <w:shd w:val="clear" w:color="auto" w:fill="FFFFFF"/>
          </w:tcPr>
          <w:p w14:paraId="1E1ED919">
            <w:pPr>
              <w:spacing w:before="0" w:after="0"/>
              <w:ind w:left="0" w:firstLine="0"/>
              <w:jc w:val="center"/>
              <w:rPr>
                <w:b w:val="0"/>
              </w:rPr>
            </w:pPr>
            <w:r>
              <w:rPr>
                <w:rFonts w:ascii="Times New Roman" w:hAnsi="Times New Roman" w:eastAsia="宋体" w:cs="Times New Roman"/>
                <w:b/>
                <w:bCs/>
                <w:sz w:val="21"/>
                <w:szCs w:val="21"/>
              </w:rPr>
              <w:t>水源可供量</w:t>
            </w:r>
          </w:p>
        </w:tc>
        <w:tc>
          <w:tcPr>
            <w:tcW w:w="2200" w:type="dxa"/>
            <w:tcBorders>
              <w:top w:val="single" w:color="000000" w:sz="12" w:space="0"/>
              <w:left w:val="nil"/>
              <w:right w:val="nil"/>
            </w:tcBorders>
            <w:shd w:val="clear" w:color="auto" w:fill="FFFFFF"/>
          </w:tcPr>
          <w:p w14:paraId="72C6E523">
            <w:pPr>
              <w:spacing w:before="0" w:after="0"/>
              <w:ind w:left="0" w:firstLine="0"/>
              <w:jc w:val="center"/>
              <w:rPr>
                <w:b w:val="0"/>
              </w:rPr>
            </w:pPr>
            <w:r>
              <w:rPr>
                <w:rFonts w:ascii="Times New Roman" w:hAnsi="Times New Roman" w:eastAsia="宋体" w:cs="Times New Roman"/>
                <w:b/>
                <w:bCs/>
                <w:sz w:val="21"/>
                <w:szCs w:val="21"/>
              </w:rPr>
              <w:t>传统需求</w:t>
            </w:r>
          </w:p>
        </w:tc>
      </w:tr>
      <w:tr w14:paraId="3C09F0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left w:val="nil"/>
              <w:bottom w:val="nil"/>
              <w:right w:val="nil"/>
            </w:tcBorders>
            <w:shd w:val="clear" w:color="auto" w:fill="FFFFFF"/>
          </w:tcPr>
          <w:p w14:paraId="7C6F460D">
            <w:pPr>
              <w:spacing w:before="0" w:after="0"/>
              <w:ind w:left="0" w:firstLine="0"/>
              <w:jc w:val="center"/>
              <w:rPr>
                <w:b w:val="0"/>
              </w:rPr>
            </w:pPr>
            <w:r>
              <w:rPr>
                <w:rFonts w:ascii="Times New Roman" w:hAnsi="Times New Roman" w:eastAsia="宋体" w:cs="Times New Roman"/>
                <w:b w:val="0"/>
                <w:bCs w:val="0"/>
                <w:sz w:val="21"/>
                <w:szCs w:val="21"/>
              </w:rPr>
              <w:t>G0常规</w:t>
            </w:r>
          </w:p>
        </w:tc>
        <w:tc>
          <w:tcPr>
            <w:tcW w:w="2200" w:type="dxa"/>
            <w:tcBorders>
              <w:left w:val="nil"/>
              <w:bottom w:val="nil"/>
              <w:right w:val="nil"/>
            </w:tcBorders>
            <w:shd w:val="clear" w:color="auto" w:fill="FFFFFF"/>
          </w:tcPr>
          <w:p w14:paraId="75B44C85">
            <w:pPr>
              <w:spacing w:before="0" w:after="0"/>
              <w:ind w:left="0" w:firstLine="0"/>
              <w:jc w:val="center"/>
              <w:rPr>
                <w:b w:val="0"/>
              </w:rPr>
            </w:pPr>
            <w:r>
              <w:rPr>
                <w:rFonts w:ascii="Times New Roman" w:hAnsi="Times New Roman" w:eastAsia="宋体" w:cs="Times New Roman"/>
                <w:b w:val="0"/>
                <w:bCs w:val="0"/>
                <w:sz w:val="21"/>
                <w:szCs w:val="21"/>
              </w:rPr>
              <w:t>常规</w:t>
            </w:r>
          </w:p>
        </w:tc>
        <w:tc>
          <w:tcPr>
            <w:tcW w:w="2200" w:type="dxa"/>
            <w:tcBorders>
              <w:left w:val="nil"/>
              <w:bottom w:val="nil"/>
              <w:right w:val="nil"/>
            </w:tcBorders>
            <w:shd w:val="clear" w:color="auto" w:fill="FFFFFF"/>
          </w:tcPr>
          <w:p w14:paraId="1F0B5486">
            <w:pPr>
              <w:spacing w:before="0" w:after="0"/>
              <w:ind w:left="0" w:firstLine="0"/>
              <w:jc w:val="center"/>
              <w:rPr>
                <w:b w:val="0"/>
              </w:rPr>
            </w:pPr>
            <w:r>
              <w:rPr>
                <w:rFonts w:ascii="Times New Roman" w:hAnsi="Times New Roman" w:eastAsia="宋体" w:cs="Times New Roman"/>
                <w:b w:val="0"/>
                <w:bCs w:val="0"/>
                <w:sz w:val="21"/>
                <w:szCs w:val="21"/>
              </w:rPr>
              <w:t>正常</w:t>
            </w:r>
          </w:p>
        </w:tc>
        <w:tc>
          <w:tcPr>
            <w:tcW w:w="2200" w:type="dxa"/>
            <w:tcBorders>
              <w:left w:val="nil"/>
              <w:bottom w:val="nil"/>
              <w:right w:val="nil"/>
            </w:tcBorders>
            <w:shd w:val="clear" w:color="auto" w:fill="FFFFFF"/>
          </w:tcPr>
          <w:p w14:paraId="249447D0">
            <w:pPr>
              <w:spacing w:before="0" w:after="0"/>
              <w:ind w:left="0" w:firstLine="0"/>
              <w:jc w:val="center"/>
              <w:rPr>
                <w:b w:val="0"/>
              </w:rPr>
            </w:pPr>
            <w:r>
              <w:rPr>
                <w:rFonts w:ascii="Times New Roman" w:hAnsi="Times New Roman" w:eastAsia="宋体" w:cs="Times New Roman"/>
                <w:b w:val="0"/>
                <w:bCs w:val="0"/>
                <w:sz w:val="21"/>
                <w:szCs w:val="21"/>
              </w:rPr>
              <w:t>常规</w:t>
            </w:r>
          </w:p>
        </w:tc>
      </w:tr>
      <w:tr w14:paraId="0A7D28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nil"/>
              <w:left w:val="nil"/>
              <w:bottom w:val="nil"/>
              <w:right w:val="nil"/>
            </w:tcBorders>
            <w:shd w:val="clear" w:color="auto" w:fill="FFFFFF"/>
          </w:tcPr>
          <w:p w14:paraId="2759B933">
            <w:pPr>
              <w:spacing w:before="0" w:after="0"/>
              <w:ind w:left="0" w:firstLine="0"/>
              <w:jc w:val="center"/>
              <w:rPr>
                <w:b w:val="0"/>
              </w:rPr>
            </w:pPr>
            <w:r>
              <w:rPr>
                <w:rFonts w:ascii="Times New Roman" w:hAnsi="Times New Roman" w:eastAsia="宋体" w:cs="Times New Roman"/>
                <w:b w:val="0"/>
                <w:bCs w:val="0"/>
                <w:sz w:val="21"/>
                <w:szCs w:val="21"/>
              </w:rPr>
              <w:t>G1高温</w:t>
            </w:r>
          </w:p>
        </w:tc>
        <w:tc>
          <w:tcPr>
            <w:tcW w:w="2200" w:type="dxa"/>
            <w:tcBorders>
              <w:top w:val="nil"/>
              <w:left w:val="nil"/>
              <w:bottom w:val="nil"/>
              <w:right w:val="nil"/>
            </w:tcBorders>
            <w:shd w:val="clear" w:color="auto" w:fill="FFFFFF"/>
          </w:tcPr>
          <w:p w14:paraId="2A7D9FE6">
            <w:pPr>
              <w:spacing w:before="0" w:after="0"/>
              <w:ind w:left="0" w:firstLine="0"/>
              <w:jc w:val="center"/>
              <w:rPr>
                <w:b w:val="0"/>
              </w:rPr>
            </w:pPr>
            <w:r>
              <w:rPr>
                <w:rFonts w:ascii="Times New Roman" w:hAnsi="Times New Roman" w:eastAsia="宋体" w:cs="Times New Roman"/>
                <w:b w:val="0"/>
                <w:bCs w:val="0"/>
                <w:sz w:val="21"/>
                <w:szCs w:val="21"/>
              </w:rPr>
              <w:t>高</w:t>
            </w:r>
          </w:p>
        </w:tc>
        <w:tc>
          <w:tcPr>
            <w:tcW w:w="2200" w:type="dxa"/>
            <w:tcBorders>
              <w:top w:val="nil"/>
              <w:left w:val="nil"/>
              <w:bottom w:val="nil"/>
              <w:right w:val="nil"/>
            </w:tcBorders>
            <w:shd w:val="clear" w:color="auto" w:fill="FFFFFF"/>
          </w:tcPr>
          <w:p w14:paraId="26A0CE77">
            <w:pPr>
              <w:spacing w:before="0" w:after="0"/>
              <w:ind w:left="0" w:firstLine="0"/>
              <w:jc w:val="center"/>
              <w:rPr>
                <w:b w:val="0"/>
              </w:rPr>
            </w:pPr>
            <w:r>
              <w:rPr>
                <w:rFonts w:ascii="Times New Roman" w:hAnsi="Times New Roman" w:eastAsia="宋体" w:cs="Times New Roman"/>
                <w:b w:val="0"/>
                <w:bCs w:val="0"/>
                <w:sz w:val="21"/>
                <w:szCs w:val="21"/>
              </w:rPr>
              <w:t>正常</w:t>
            </w:r>
          </w:p>
        </w:tc>
        <w:tc>
          <w:tcPr>
            <w:tcW w:w="2200" w:type="dxa"/>
            <w:tcBorders>
              <w:top w:val="nil"/>
              <w:left w:val="nil"/>
              <w:bottom w:val="nil"/>
              <w:right w:val="nil"/>
            </w:tcBorders>
            <w:shd w:val="clear" w:color="auto" w:fill="FFFFFF"/>
          </w:tcPr>
          <w:p w14:paraId="683C9340">
            <w:pPr>
              <w:spacing w:before="0" w:after="0"/>
              <w:ind w:left="0" w:firstLine="0"/>
              <w:jc w:val="center"/>
              <w:rPr>
                <w:b w:val="0"/>
              </w:rPr>
            </w:pPr>
            <w:r>
              <w:rPr>
                <w:rFonts w:ascii="Times New Roman" w:hAnsi="Times New Roman" w:eastAsia="宋体" w:cs="Times New Roman"/>
                <w:b w:val="0"/>
                <w:bCs w:val="0"/>
                <w:sz w:val="21"/>
                <w:szCs w:val="21"/>
              </w:rPr>
              <w:t>偏高</w:t>
            </w:r>
          </w:p>
        </w:tc>
      </w:tr>
      <w:tr w14:paraId="5E2AE6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nil"/>
              <w:left w:val="nil"/>
              <w:bottom w:val="nil"/>
              <w:right w:val="nil"/>
            </w:tcBorders>
            <w:shd w:val="clear" w:color="auto" w:fill="FFFFFF"/>
          </w:tcPr>
          <w:p w14:paraId="7A13C76E">
            <w:pPr>
              <w:spacing w:before="0" w:after="0"/>
              <w:ind w:left="0" w:firstLine="0"/>
              <w:jc w:val="center"/>
              <w:rPr>
                <w:b w:val="0"/>
              </w:rPr>
            </w:pPr>
            <w:r>
              <w:rPr>
                <w:rFonts w:ascii="Times New Roman" w:hAnsi="Times New Roman" w:eastAsia="宋体" w:cs="Times New Roman"/>
                <w:b w:val="0"/>
                <w:bCs w:val="0"/>
                <w:sz w:val="21"/>
                <w:szCs w:val="21"/>
              </w:rPr>
              <w:t>G2干旱</w:t>
            </w:r>
          </w:p>
        </w:tc>
        <w:tc>
          <w:tcPr>
            <w:tcW w:w="2200" w:type="dxa"/>
            <w:tcBorders>
              <w:top w:val="nil"/>
              <w:left w:val="nil"/>
              <w:bottom w:val="nil"/>
              <w:right w:val="nil"/>
            </w:tcBorders>
            <w:shd w:val="clear" w:color="auto" w:fill="FFFFFF"/>
          </w:tcPr>
          <w:p w14:paraId="04216D46">
            <w:pPr>
              <w:spacing w:before="0" w:after="0"/>
              <w:ind w:left="0" w:leftChars="0" w:firstLine="0" w:firstLineChars="0"/>
              <w:jc w:val="center"/>
              <w:rPr>
                <w:b w:val="0"/>
              </w:rPr>
            </w:pPr>
            <w:r>
              <w:rPr>
                <w:rFonts w:ascii="Times New Roman" w:hAnsi="Times New Roman" w:eastAsia="宋体" w:cs="Times New Roman"/>
                <w:b w:val="0"/>
                <w:bCs w:val="0"/>
                <w:sz w:val="21"/>
                <w:szCs w:val="21"/>
              </w:rPr>
              <w:t>常规/偏高</w:t>
            </w:r>
          </w:p>
        </w:tc>
        <w:tc>
          <w:tcPr>
            <w:tcW w:w="2200" w:type="dxa"/>
            <w:tcBorders>
              <w:top w:val="nil"/>
              <w:left w:val="nil"/>
              <w:bottom w:val="nil"/>
              <w:right w:val="nil"/>
            </w:tcBorders>
            <w:shd w:val="clear" w:color="auto" w:fill="FFFFFF"/>
          </w:tcPr>
          <w:p w14:paraId="3BA8677E">
            <w:pPr>
              <w:spacing w:before="0" w:after="0"/>
              <w:ind w:left="0" w:firstLine="0"/>
              <w:jc w:val="center"/>
              <w:rPr>
                <w:b w:val="0"/>
              </w:rPr>
            </w:pPr>
            <w:r>
              <w:rPr>
                <w:rFonts w:ascii="Times New Roman" w:hAnsi="Times New Roman" w:eastAsia="宋体" w:cs="Times New Roman"/>
                <w:b w:val="0"/>
                <w:bCs w:val="0"/>
                <w:sz w:val="21"/>
                <w:szCs w:val="21"/>
              </w:rPr>
              <w:t>折减</w:t>
            </w:r>
          </w:p>
        </w:tc>
        <w:tc>
          <w:tcPr>
            <w:tcW w:w="2200" w:type="dxa"/>
            <w:tcBorders>
              <w:top w:val="nil"/>
              <w:left w:val="nil"/>
              <w:bottom w:val="nil"/>
              <w:right w:val="nil"/>
            </w:tcBorders>
            <w:shd w:val="clear" w:color="auto" w:fill="FFFFFF"/>
          </w:tcPr>
          <w:p w14:paraId="2D4F290F">
            <w:pPr>
              <w:spacing w:before="0" w:after="0"/>
              <w:ind w:left="0" w:firstLine="0"/>
              <w:jc w:val="center"/>
              <w:rPr>
                <w:b w:val="0"/>
              </w:rPr>
            </w:pPr>
            <w:r>
              <w:rPr>
                <w:rFonts w:ascii="Times New Roman" w:hAnsi="Times New Roman" w:eastAsia="宋体" w:cs="Times New Roman"/>
                <w:b w:val="0"/>
                <w:bCs w:val="0"/>
                <w:sz w:val="21"/>
                <w:szCs w:val="21"/>
              </w:rPr>
              <w:t>常规</w:t>
            </w:r>
          </w:p>
        </w:tc>
      </w:tr>
      <w:tr w14:paraId="27A9E7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nil"/>
              <w:left w:val="nil"/>
              <w:bottom w:val="single" w:color="000000" w:sz="12" w:space="0"/>
              <w:right w:val="nil"/>
            </w:tcBorders>
            <w:shd w:val="clear" w:color="auto" w:fill="FFFFFF"/>
          </w:tcPr>
          <w:p w14:paraId="233A1C1F">
            <w:pPr>
              <w:spacing w:before="0" w:after="0"/>
              <w:ind w:left="0" w:firstLine="0"/>
              <w:jc w:val="center"/>
              <w:rPr>
                <w:b w:val="0"/>
              </w:rPr>
            </w:pPr>
            <w:r>
              <w:rPr>
                <w:rFonts w:ascii="Times New Roman" w:hAnsi="Times New Roman" w:eastAsia="宋体" w:cs="Times New Roman"/>
                <w:b w:val="0"/>
                <w:bCs w:val="0"/>
                <w:sz w:val="21"/>
                <w:szCs w:val="21"/>
              </w:rPr>
              <w:t>G3复合压力</w:t>
            </w:r>
          </w:p>
        </w:tc>
        <w:tc>
          <w:tcPr>
            <w:tcW w:w="2200" w:type="dxa"/>
            <w:tcBorders>
              <w:top w:val="nil"/>
              <w:left w:val="nil"/>
              <w:bottom w:val="single" w:color="000000" w:sz="12" w:space="0"/>
              <w:right w:val="nil"/>
            </w:tcBorders>
            <w:shd w:val="clear" w:color="auto" w:fill="FFFFFF"/>
          </w:tcPr>
          <w:p w14:paraId="5BD32EF9">
            <w:pPr>
              <w:spacing w:before="0" w:after="0"/>
              <w:ind w:left="0" w:firstLine="0"/>
              <w:jc w:val="center"/>
              <w:rPr>
                <w:b w:val="0"/>
              </w:rPr>
            </w:pPr>
            <w:r>
              <w:rPr>
                <w:rFonts w:ascii="Times New Roman" w:hAnsi="Times New Roman" w:eastAsia="宋体" w:cs="Times New Roman"/>
                <w:b w:val="0"/>
                <w:bCs w:val="0"/>
                <w:sz w:val="21"/>
                <w:szCs w:val="21"/>
              </w:rPr>
              <w:t>高</w:t>
            </w:r>
          </w:p>
        </w:tc>
        <w:tc>
          <w:tcPr>
            <w:tcW w:w="2200" w:type="dxa"/>
            <w:tcBorders>
              <w:top w:val="nil"/>
              <w:left w:val="nil"/>
              <w:bottom w:val="single" w:color="000000" w:sz="12" w:space="0"/>
              <w:right w:val="nil"/>
            </w:tcBorders>
            <w:shd w:val="clear" w:color="auto" w:fill="FFFFFF"/>
          </w:tcPr>
          <w:p w14:paraId="72F650E4">
            <w:pPr>
              <w:spacing w:before="0" w:after="0"/>
              <w:ind w:left="0" w:firstLine="0"/>
              <w:jc w:val="center"/>
              <w:rPr>
                <w:b w:val="0"/>
              </w:rPr>
            </w:pPr>
            <w:r>
              <w:rPr>
                <w:rFonts w:ascii="Times New Roman" w:hAnsi="Times New Roman" w:eastAsia="宋体" w:cs="Times New Roman"/>
                <w:b w:val="0"/>
                <w:bCs w:val="0"/>
                <w:sz w:val="21"/>
                <w:szCs w:val="21"/>
              </w:rPr>
              <w:t>折减</w:t>
            </w:r>
          </w:p>
        </w:tc>
        <w:tc>
          <w:tcPr>
            <w:tcW w:w="2200" w:type="dxa"/>
            <w:tcBorders>
              <w:top w:val="nil"/>
              <w:left w:val="nil"/>
              <w:bottom w:val="single" w:color="000000" w:sz="12" w:space="0"/>
              <w:right w:val="nil"/>
            </w:tcBorders>
            <w:shd w:val="clear" w:color="auto" w:fill="FFFFFF"/>
          </w:tcPr>
          <w:p w14:paraId="31874829">
            <w:pPr>
              <w:spacing w:before="0" w:after="0"/>
              <w:ind w:left="0" w:firstLine="0"/>
              <w:jc w:val="center"/>
              <w:rPr>
                <w:b w:val="0"/>
              </w:rPr>
            </w:pPr>
            <w:r>
              <w:rPr>
                <w:rFonts w:ascii="Times New Roman" w:hAnsi="Times New Roman" w:eastAsia="宋体" w:cs="Times New Roman"/>
                <w:b w:val="0"/>
                <w:bCs w:val="0"/>
                <w:sz w:val="21"/>
                <w:szCs w:val="21"/>
              </w:rPr>
              <w:t>峰值</w:t>
            </w:r>
          </w:p>
        </w:tc>
      </w:tr>
    </w:tbl>
    <w:p w14:paraId="584AEC0A">
      <w:pPr>
        <w:spacing w:before="0" w:after="0" w:line="360" w:lineRule="auto"/>
        <w:ind w:firstLine="420"/>
      </w:pPr>
      <w:r>
        <w:rPr>
          <w:rFonts w:ascii="Times New Roman" w:hAnsi="Times New Roman" w:eastAsia="宋体" w:cs="Times New Roman"/>
          <w:b w:val="0"/>
          <w:color w:val="000000"/>
          <w:sz w:val="24"/>
        </w:rPr>
        <w:t>（4）不确定性与稳健性。对负载率、日内负载波动系数 α、能源效率、浓缩倍数、蒸发损失率、回流比例、再生水回收率与关键设施能力等参数，采用有工程依据的取值区间或条件分布表达；对气候条件、水源政策与设施扩容时点采用离散情景表达。分析重点回答三个问题：哪些参数决定代谢结构转折与承载边界，参数相关关系是否改变敏感性排序，以及主要结论在不同参数与压力条件下是否稳定。此外，还通过改变压力的时间排列、替换关键冷却关系与调整约束优先级，检验结论的结构稳健性。</w:t>
      </w:r>
    </w:p>
    <w:p w14:paraId="399379D6">
      <w:pPr>
        <w:pStyle w:val="23"/>
        <w:pageBreakBefore w:val="0"/>
        <w:ind w:firstLine="0" w:firstLineChars="0"/>
        <w:outlineLvl w:val="1"/>
      </w:pPr>
      <w:bookmarkStart w:id="33" w:name="_Toc5069"/>
      <w:r>
        <w:rPr>
          <w:rFonts w:ascii="Times New Roman" w:hAnsi="Times New Roman" w:eastAsia="黑体" w:cs="Times New Roman"/>
          <w:b/>
          <w:bCs/>
          <w:color w:val="000000"/>
          <w:sz w:val="28"/>
          <w:szCs w:val="28"/>
        </w:rPr>
        <w:t>3.6 瓶颈识别与干预机制分析</w:t>
      </w:r>
      <w:bookmarkEnd w:id="28"/>
      <w:bookmarkEnd w:id="33"/>
    </w:p>
    <w:p w14:paraId="67A6D760">
      <w:pPr>
        <w:spacing w:before="0" w:after="0" w:line="360" w:lineRule="auto"/>
        <w:ind w:firstLine="420"/>
      </w:pPr>
      <w:r>
        <w:rPr>
          <w:rFonts w:ascii="Times New Roman" w:hAnsi="Times New Roman" w:eastAsia="宋体" w:cs="Times New Roman"/>
          <w:b w:val="0"/>
          <w:color w:val="000000"/>
          <w:sz w:val="24"/>
        </w:rPr>
        <w:t>瓶颈识别回答“哪一个环节最先限制AI扩张”。对每一类约束记录其首次失效时的AI规模，其中最先失效者即为主导瓶颈；若失效规模相近，则记为共同主导瓶颈。在AI负荷达到城市尺度显著影响水平、且相关设施余量接近约束状态的假设前提下，主导瓶颈可先在水源、给水与输配等一级约束环节之间迁移；只有当供水侧余量充足而污水、再生水设施余量接近上限时，瓶颈才向污水处理与再生水利用等二级约束环节迁移。</w:t>
      </w:r>
    </w:p>
    <w:p w14:paraId="56715579">
      <w:pPr>
        <w:spacing w:before="0" w:after="0" w:line="360" w:lineRule="auto"/>
        <w:ind w:firstLine="420"/>
      </w:pPr>
      <w:r>
        <w:t>干预分析回答“增加某一单位能力能够释放多少承载空间”。实验遵循先识别瓶颈、再实施干预的顺序：先运行基准情景确定主导瓶颈，再仅针对该瓶颈逐级增加能力并重新计算承载边界，观察单位扩容增量的变化；当继续扩容而承载边界不再明显提升时，检查是否出现新的主导约束，由此得到瓶颈迁移路径与各类干预措施的有效区间。干预步长通过网格细化确定：先以粗步长定位转折量级，再在转折附近细化，转折位置以步长区间而非点值报告，避免把数值分辨率误读为机制阈值。由于本研究不含成本函数，下文所称"边际收益"仅指单位能力增量带来的承载边界增量，即物理有效性。</w:t>
      </w:r>
    </w:p>
    <w:p w14:paraId="5533F03A">
      <w:pPr>
        <w:spacing w:before="0" w:after="0" w:line="360" w:lineRule="auto"/>
        <w:ind w:firstLine="420"/>
      </w:pPr>
      <w:r>
        <w:rPr>
          <w:rFonts w:ascii="Times New Roman" w:hAnsi="Times New Roman" w:eastAsia="宋体" w:cs="Times New Roman"/>
          <w:b w:val="0"/>
          <w:color w:val="000000"/>
          <w:sz w:val="24"/>
        </w:rPr>
        <w:t>干预措施分为连续设施能力干预与技术情景干预两类。前者包括给水处理、污水处理、再生水深度处理与输配能力扩容，以单位能力增量带来的承载边界提升横向比较；后者包括冷却方式替换、储水配置与负荷削峰等离散选项，直接比较方案间的边界差异。由此形成“城市系统状态—供水配置—AI规模—主导瓶颈—有效干预”的条件对应关系，而不是给出“扩再生水优于扩给水”一类无条件排序。</w:t>
      </w:r>
    </w:p>
    <w:p w14:paraId="7B5714E6">
      <w:pPr>
        <w:pStyle w:val="23"/>
        <w:pageBreakBefore w:val="0"/>
        <w:ind w:firstLine="0" w:firstLineChars="0"/>
        <w:outlineLvl w:val="1"/>
      </w:pPr>
      <w:bookmarkStart w:id="34" w:name="_Toc8300"/>
      <w:r>
        <w:rPr>
          <w:rFonts w:ascii="Times New Roman" w:hAnsi="Times New Roman" w:eastAsia="黑体" w:cs="Times New Roman"/>
          <w:b/>
          <w:bCs/>
          <w:color w:val="000000"/>
          <w:sz w:val="28"/>
          <w:szCs w:val="28"/>
        </w:rPr>
        <w:t>3.7 总体技术路线</w:t>
      </w:r>
      <w:bookmarkEnd w:id="34"/>
    </w:p>
    <w:p w14:paraId="2AB4D935">
      <w:pPr>
        <w:spacing w:before="0" w:after="0" w:line="360" w:lineRule="auto"/>
        <w:ind w:firstLine="420"/>
      </w:pPr>
      <w:r>
        <w:rPr>
          <w:rFonts w:ascii="Times New Roman" w:hAnsi="Times New Roman" w:eastAsia="宋体" w:cs="Times New Roman"/>
          <w:b w:val="0"/>
          <w:color w:val="000000"/>
          <w:sz w:val="24"/>
        </w:rPr>
        <w:t>总体技术路线按“模型建立—情景模拟—边界分析—机制识别”四个阶段推进：首先建立AI—城市水系统耦合模型并完成参数与守恒校核；其次设置AI容量梯度、城市系统状态与外部压力情景，开展代谢响应模拟；再次在多个时间尺度下求解条件化承载边界；最后识别主导瓶颈并比较干预措施的效果。其中，水系统物理承载力为核心计算层，能—碳效应作为外部环境影响后评估，在固定AI容量下核算，不进入承载边界求解。</w:t>
      </w:r>
    </w:p>
    <w:p w14:paraId="1773A09F">
      <w:pPr>
        <w:spacing w:before="0" w:after="0" w:line="360" w:lineRule="auto"/>
        <w:ind w:firstLine="420"/>
      </w:pPr>
      <w:r>
        <w:t>参数来自公开统计、标准规范和工程文献。研究采用一般化人工水系统与参数域情景，公开资料仅用于校核参数量级[11-15]。各参数域以工程化区间描述，其端点参照同类资料确定；模型输入为抽象系统状态、气象序列和工程参数，不使用具体城市的管网拓扑、项目位置或设施容量。</w:t>
      </w:r>
    </w:p>
    <w:p w14:paraId="0B72D791">
      <w:pPr>
        <w:spacing w:before="0" w:after="0" w:line="360" w:lineRule="auto"/>
        <w:ind w:firstLine="420"/>
      </w:pPr>
      <w:r>
        <w:t>外部校核按三类抽象参数域组织：（1）缺水—高冷负荷型：水源余量低、夏季湿球温度高、再生水占比较高，且该情景下再生水占比提高源于城市在缺水条件下主动提高非传统水源配置比例，而非AI自身排污增加所致，用于检验最紧约束下的极值方向与量级上限；（2）气候凉爽型：湿球温度低、自然冷却时数长，用于检验低补水、低蒸发端点；（3）能源富集型：电力间接水足迹和碳强度较高，用于检验能—碳条件变化下水系统承载力结论的稳定性。三类参数域仅界定合理取值范围[11-15]，结果以参数条件和无量纲裕度表达；资料不全的参数由文献区间构造并标注不确定性。</w:t>
      </w:r>
    </w:p>
    <w:p w14:paraId="27DA7569">
      <w:pPr>
        <w:spacing w:before="0" w:after="0" w:line="360" w:lineRule="auto"/>
        <w:ind w:firstLine="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结论的通用性限于三类参数域端点界定的区间，并以无量纲裕度表示；超出区间的外推需另行论证。参数端点、来源和适用工况均记入证据表，结果逐条标注适用域，避免以单一端点替代一般结论。模型通过工程参数校核、守恒验证和敏感性分析保证可靠性。</w:t>
      </w:r>
    </w:p>
    <w:p w14:paraId="28CDC862">
      <w:pPr>
        <w:spacing w:before="0" w:after="0" w:line="360" w:lineRule="auto"/>
        <w:ind w:left="0" w:leftChars="0" w:firstLine="0" w:firstLineChars="0"/>
        <w:rPr>
          <w:rFonts w:hint="eastAsia" w:ascii="Times New Roman" w:hAnsi="Times New Roman" w:eastAsia="宋体" w:cs="Times New Roman"/>
          <w:b w:val="0"/>
          <w:color w:val="000000"/>
          <w:sz w:val="24"/>
          <w:lang w:eastAsia="zh-CN"/>
        </w:rPr>
      </w:pPr>
      <w:r>
        <w:rPr>
          <w:rFonts w:hint="eastAsia" w:ascii="Times New Roman" w:hAnsi="Times New Roman" w:eastAsia="宋体" w:cs="Times New Roman"/>
          <w:b w:val="0"/>
          <w:color w:val="000000"/>
          <w:sz w:val="24"/>
          <w:lang w:eastAsia="zh-CN"/>
        </w:rPr>
        <w:drawing>
          <wp:inline distT="0" distB="0" distL="114300" distR="114300">
            <wp:extent cx="5751830" cy="6121400"/>
            <wp:effectExtent l="0" t="0" r="1270" b="0"/>
            <wp:docPr id="1" name="图片 1" descr="13519d52-9372-4b33-83d1-9910aeed9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3519d52-9372-4b33-83d1-9910aeed9045"/>
                    <pic:cNvPicPr>
                      <a:picLocks noChangeAspect="1"/>
                    </pic:cNvPicPr>
                  </pic:nvPicPr>
                  <pic:blipFill>
                    <a:blip r:embed="rId8"/>
                    <a:stretch>
                      <a:fillRect/>
                    </a:stretch>
                  </pic:blipFill>
                  <pic:spPr>
                    <a:xfrm>
                      <a:off x="0" y="0"/>
                      <a:ext cx="5751830" cy="6121400"/>
                    </a:xfrm>
                    <a:prstGeom prst="rect">
                      <a:avLst/>
                    </a:prstGeom>
                  </pic:spPr>
                </pic:pic>
              </a:graphicData>
            </a:graphic>
          </wp:inline>
        </w:drawing>
      </w:r>
    </w:p>
    <w:p w14:paraId="452A3B36">
      <w:pPr>
        <w:pStyle w:val="22"/>
        <w:pageBreakBefore/>
        <w:ind w:firstLine="0" w:firstLineChars="0"/>
        <w:outlineLvl w:val="0"/>
      </w:pPr>
      <w:bookmarkStart w:id="35" w:name="_Toc23871"/>
      <w:bookmarkStart w:id="36" w:name="_Toc27862"/>
      <w:r>
        <w:rPr>
          <w:rFonts w:hint="eastAsia" w:cs="Times New Roman"/>
          <w:b/>
          <w:bCs/>
          <w:color w:val="000000"/>
          <w:sz w:val="30"/>
          <w:szCs w:val="30"/>
          <w:lang w:val="en-US" w:eastAsia="zh-CN"/>
        </w:rPr>
        <w:t>四、</w:t>
      </w:r>
      <w:r>
        <w:rPr>
          <w:rFonts w:ascii="Times New Roman" w:hAnsi="Times New Roman" w:eastAsia="黑体" w:cs="Times New Roman"/>
          <w:b/>
          <w:bCs/>
          <w:color w:val="000000"/>
          <w:sz w:val="30"/>
          <w:szCs w:val="30"/>
        </w:rPr>
        <w:t xml:space="preserve"> 预期达到的目标</w:t>
      </w:r>
      <w:bookmarkEnd w:id="35"/>
      <w:bookmarkEnd w:id="36"/>
    </w:p>
    <w:p w14:paraId="6966E2E1">
      <w:pPr>
        <w:pStyle w:val="23"/>
        <w:pageBreakBefore w:val="0"/>
        <w:ind w:firstLine="0" w:firstLineChars="0"/>
        <w:outlineLvl w:val="1"/>
      </w:pPr>
      <w:bookmarkStart w:id="37" w:name="_Toc17900"/>
      <w:bookmarkStart w:id="38" w:name="_Toc20659"/>
      <w:r>
        <w:rPr>
          <w:rFonts w:ascii="Times New Roman" w:hAnsi="Times New Roman" w:eastAsia="黑体" w:cs="Times New Roman"/>
          <w:b/>
          <w:bCs/>
          <w:color w:val="000000"/>
          <w:sz w:val="28"/>
          <w:szCs w:val="28"/>
        </w:rPr>
        <w:t>4.1 预期科学认识</w:t>
      </w:r>
      <w:bookmarkEnd w:id="37"/>
      <w:bookmarkEnd w:id="38"/>
    </w:p>
    <w:p w14:paraId="45EFBD85">
      <w:pPr>
        <w:spacing w:before="0" w:after="0" w:line="360" w:lineRule="auto"/>
        <w:ind w:firstLine="420"/>
      </w:pPr>
      <w:r>
        <w:rPr>
          <w:rFonts w:ascii="Times New Roman" w:hAnsi="Times New Roman" w:eastAsia="宋体" w:cs="Times New Roman"/>
          <w:b w:val="0"/>
          <w:color w:val="000000"/>
          <w:sz w:val="24"/>
        </w:rPr>
        <w:t>明确AI负荷相对城市基准水流达到何种规模后，系统响应由总量增加转为代谢结构重构。</w:t>
      </w:r>
    </w:p>
    <w:p w14:paraId="45A58175">
      <w:pPr>
        <w:spacing w:before="0" w:after="0" w:line="360" w:lineRule="auto"/>
        <w:ind w:firstLine="420"/>
      </w:pPr>
      <w:r>
        <w:t>识别年均、日尺度和极端时段容量边界差异的控制因素，说明峰值重合和设施裕度在不同参数域与系统状态中的作用。</w:t>
      </w:r>
    </w:p>
    <w:p w14:paraId="685A141D">
      <w:pPr>
        <w:spacing w:before="0" w:after="0" w:line="360" w:lineRule="auto"/>
        <w:ind w:firstLine="420"/>
      </w:pPr>
      <w:r>
        <w:rPr>
          <w:rFonts w:ascii="Times New Roman" w:hAnsi="Times New Roman" w:eastAsia="宋体" w:cs="Times New Roman"/>
          <w:sz w:val="24"/>
          <w:szCs w:val="24"/>
        </w:rPr>
        <w:t>建立水源，给水，污水，再生水，接入约束的瓶颈转换条件，区分稳健主导区与竞争约束区。</w:t>
      </w:r>
    </w:p>
    <w:p w14:paraId="4B672CCD">
      <w:pPr>
        <w:spacing w:before="0" w:after="0" w:line="360" w:lineRule="auto"/>
        <w:ind w:firstLine="420"/>
      </w:pPr>
      <w:r>
        <w:rPr>
          <w:rFonts w:ascii="Times New Roman" w:hAnsi="Times New Roman" w:eastAsia="宋体" w:cs="Times New Roman"/>
          <w:b w:val="0"/>
          <w:color w:val="000000"/>
          <w:sz w:val="24"/>
          <w:szCs w:val="24"/>
        </w:rPr>
        <w:t>解释再生水扩容何时有效、何时受源量等条件限制，并以外部环境影响后评估的方式识别节水措施可能造成的能耗与碳排放转移。</w:t>
      </w:r>
    </w:p>
    <w:p w14:paraId="61FFE5E3">
      <w:pPr>
        <w:spacing w:before="0" w:after="0" w:line="360" w:lineRule="auto"/>
        <w:ind w:firstLine="420"/>
      </w:pPr>
      <w:r>
        <w:rPr>
          <w:rFonts w:ascii="Times New Roman" w:hAnsi="Times New Roman" w:eastAsia="宋体" w:cs="Times New Roman"/>
          <w:b w:val="0"/>
          <w:color w:val="000000"/>
          <w:sz w:val="24"/>
          <w:szCs w:val="24"/>
        </w:rPr>
        <w:t>识别不同冷却方式对AI取水、消耗比例及城市水源配置压力的影响，并在敏感性分析中检验节水与再生水源量的联动。</w:t>
      </w:r>
    </w:p>
    <w:p w14:paraId="6458820D">
      <w:pPr>
        <w:pStyle w:val="23"/>
        <w:pageBreakBefore w:val="0"/>
        <w:ind w:firstLine="0" w:firstLineChars="0"/>
        <w:outlineLvl w:val="1"/>
      </w:pPr>
      <w:bookmarkStart w:id="39" w:name="_Toc30187"/>
      <w:bookmarkStart w:id="40" w:name="_Toc10751"/>
      <w:r>
        <w:rPr>
          <w:rFonts w:ascii="Times New Roman" w:hAnsi="Times New Roman" w:eastAsia="黑体" w:cs="Times New Roman"/>
          <w:b/>
          <w:bCs/>
          <w:color w:val="000000"/>
          <w:sz w:val="28"/>
          <w:szCs w:val="28"/>
        </w:rPr>
        <w:t>4.2 预期创新</w:t>
      </w:r>
      <w:bookmarkEnd w:id="39"/>
      <w:bookmarkEnd w:id="40"/>
    </w:p>
    <w:p w14:paraId="6410D675">
      <w:pPr>
        <w:bidi w:val="0"/>
      </w:pPr>
      <w:r>
        <w:t>创新一（研究对象与系统接口）：将AI算力基础设施由独立设施水足迹核算对象转化为城市人工水系统中的显式过程节点，建立“IT容量—实际负载—热排散—冷却补水—消耗与排放—城市供排水设施响应”的水量闭合接口，使AI扩张可在城市水循环整体边界内分析。</w:t>
      </w:r>
    </w:p>
    <w:p w14:paraId="00FE25D5">
      <w:pPr>
        <w:bidi w:val="0"/>
      </w:pPr>
      <w:r>
        <w:t>创新二（时间尺度机制）：在年度总负荷可比的条件下，将AI连续运行、气候敏感冷却和传统城市需水峰值纳入同一实验框架，比较年均、日尺度和极端周小时尺度的条件化承载边界，识别时间聚合导致承载能力高估的条件及其控制因素。</w:t>
      </w:r>
    </w:p>
    <w:p w14:paraId="60CB0DDC">
      <w:pPr>
        <w:bidi w:val="0"/>
      </w:pPr>
      <w:r>
        <w:t>创新三（条件边界与瓶颈迁移）：将AI水系统承载能力表述为由水源、给水、局部接入、污水与再生水条件共同决定的条件化可行边界，并通过约束临界容量和结构化干预实验识别主导瓶颈迁移及扩容的边际有效性转折（不含经济评价），为算力布局与水务协同规划的论证提供条件化的情景依据。需说明的是，本研究不包含成本函数与经济优化，也不评价社会选择层面的方案取舍，因此其结论只能回答“在何种系统状态与压力条件下，何种干预具备物理有效性”，不能直接给出规划方案的优劣排序。</w:t>
      </w:r>
    </w:p>
    <w:p w14:paraId="3979AD1A">
      <w:pPr>
        <w:pStyle w:val="23"/>
        <w:pageBreakBefore w:val="0"/>
        <w:ind w:firstLine="0" w:firstLineChars="0"/>
        <w:outlineLvl w:val="1"/>
      </w:pPr>
      <w:bookmarkStart w:id="41" w:name="_Toc2957"/>
      <w:bookmarkStart w:id="42" w:name="_Toc12006"/>
      <w:r>
        <w:rPr>
          <w:rFonts w:ascii="Times New Roman" w:hAnsi="Times New Roman" w:eastAsia="黑体" w:cs="Times New Roman"/>
          <w:b/>
          <w:bCs/>
          <w:color w:val="000000"/>
          <w:sz w:val="28"/>
          <w:szCs w:val="28"/>
        </w:rPr>
        <w:t>4.3 预期成果</w:t>
      </w:r>
      <w:bookmarkEnd w:id="41"/>
      <w:bookmarkEnd w:id="42"/>
    </w:p>
    <w:p w14:paraId="715FDCEE">
      <w:pPr>
        <w:spacing w:before="0" w:after="0" w:line="360" w:lineRule="auto"/>
        <w:ind w:firstLine="420"/>
        <w:rPr>
          <w:color w:val="2F5597" w:themeColor="accent1" w:themeShade="BF"/>
        </w:rPr>
      </w:pPr>
      <w:r>
        <w:rPr>
          <w:rFonts w:ascii="Times New Roman" w:hAnsi="Times New Roman" w:eastAsia="宋体" w:cs="Times New Roman"/>
          <w:b w:val="0"/>
          <w:color w:val="2F5597" w:themeColor="accent1" w:themeShade="BF"/>
          <w:sz w:val="24"/>
        </w:rPr>
        <w:t>形成经过代码验证、工程过程、极限行为、结构稳健性和参数域端点对照检验的AI-UWM模型及版本化代码。</w:t>
      </w:r>
    </w:p>
    <w:p w14:paraId="6C4C6006">
      <w:pPr>
        <w:spacing w:before="0" w:after="0" w:line="360" w:lineRule="auto"/>
        <w:ind w:firstLine="420"/>
        <w:rPr>
          <w:color w:val="2F5597" w:themeColor="accent1" w:themeShade="BF"/>
        </w:rPr>
      </w:pPr>
      <w:r>
        <w:rPr>
          <w:rFonts w:ascii="Times New Roman" w:hAnsi="Times New Roman" w:eastAsia="宋体"/>
          <w:color w:val="2F5597" w:themeColor="accent1" w:themeShade="BF"/>
          <w:sz w:val="24"/>
        </w:rPr>
        <w:t>形成AI容量，代谢结构，分系统峰值压力响应面和适用参数域。</w:t>
      </w:r>
    </w:p>
    <w:p w14:paraId="22500872">
      <w:pPr>
        <w:spacing w:before="0" w:after="0" w:line="360" w:lineRule="auto"/>
        <w:ind w:firstLine="420"/>
        <w:rPr>
          <w:color w:val="2F5597" w:themeColor="accent1" w:themeShade="BF"/>
        </w:rPr>
      </w:pPr>
      <w:r>
        <w:rPr>
          <w:rFonts w:ascii="Times New Roman" w:hAnsi="Times New Roman" w:eastAsia="宋体" w:cs="Times New Roman"/>
          <w:b w:val="0"/>
          <w:color w:val="2F5597" w:themeColor="accent1" w:themeShade="BF"/>
          <w:sz w:val="24"/>
        </w:rPr>
        <w:t>形成工程安全与风险条件下的CAWCC边界、边界提前量和瓶颈转换图谱。</w:t>
      </w:r>
    </w:p>
    <w:p w14:paraId="7D55109D">
      <w:pPr>
        <w:spacing w:before="0" w:after="0" w:line="360" w:lineRule="auto"/>
        <w:ind w:firstLine="420"/>
        <w:rPr>
          <w:color w:val="2F5597" w:themeColor="accent1" w:themeShade="BF"/>
        </w:rPr>
      </w:pPr>
      <w:r>
        <w:rPr>
          <w:rFonts w:ascii="Times New Roman" w:hAnsi="Times New Roman" w:eastAsia="宋体" w:cs="Times New Roman"/>
          <w:b w:val="0"/>
          <w:color w:val="2F5597" w:themeColor="accent1" w:themeShade="BF"/>
          <w:sz w:val="24"/>
          <w:szCs w:val="24"/>
        </w:rPr>
        <w:t>发表围绕模型、时间尺度边界和瓶颈/干预机制的系列论文，提交数据字典、参数证据表和可重复运行脚本。</w:t>
      </w:r>
    </w:p>
    <w:p w14:paraId="3D8CE7FC">
      <w:pPr>
        <w:pStyle w:val="23"/>
        <w:ind w:firstLine="0" w:firstLineChars="0"/>
        <w:outlineLvl w:val="1"/>
      </w:pPr>
      <w:bookmarkStart w:id="43" w:name="_Toc28342"/>
      <w:bookmarkStart w:id="44" w:name="_Toc20347"/>
      <w:r>
        <w:rPr>
          <w:rFonts w:ascii="Times New Roman" w:hAnsi="Times New Roman" w:eastAsia="黑体" w:cs="Times New Roman"/>
          <w:b/>
          <w:bCs/>
          <w:sz w:val="28"/>
          <w:szCs w:val="28"/>
        </w:rPr>
        <w:t>4.4 成果评价指标</w:t>
      </w:r>
      <w:bookmarkEnd w:id="43"/>
      <w:bookmarkEnd w:id="44"/>
    </w:p>
    <w:p w14:paraId="7434481A">
      <w:pPr>
        <w:spacing w:before="0" w:after="0" w:line="360" w:lineRule="auto"/>
        <w:ind w:firstLine="420"/>
      </w:pPr>
      <w:r>
        <w:rPr>
          <w:rFonts w:ascii="Times New Roman" w:hAnsi="Times New Roman"/>
          <w:sz w:val="24"/>
        </w:rPr>
        <w:t>模型成果以可重复运行和可审计为基本要求：完成水量、储量和内部回用的守恒测试，形成参数证据表、情景配置文件和版本化运行脚本；科学成果至少形成三类可量化输出，即代谢结构重构阈值、年均与峰值CAWCC的边界提前量、以及水源—给水—污水—再生水约束的瓶颈转换条件；应用成果形成不同系统状态下的响应面、适用参数域和干预边界。论文只把通过三道筛选的结果列为主要结论：模型通过守恒、边界与过程基准测试；结果在重复抽样和至少两种压力剖面下方向一致；机制解释对应可识别的结构指标或约束状态转换。主要结论一律以条件化形式表述。</w:t>
      </w:r>
    </w:p>
    <w:p w14:paraId="5C893B0C">
      <w:pPr>
        <w:pStyle w:val="22"/>
        <w:pageBreakBefore w:val="0"/>
        <w:ind w:firstLine="0" w:firstLineChars="0"/>
        <w:outlineLvl w:val="0"/>
      </w:pPr>
      <w:bookmarkStart w:id="45" w:name="_Toc30513"/>
      <w:bookmarkStart w:id="46" w:name="_Toc31438"/>
      <w:r>
        <w:rPr>
          <w:rFonts w:hint="eastAsia" w:cs="Times New Roman"/>
          <w:b/>
          <w:bCs/>
          <w:color w:val="000000"/>
          <w:sz w:val="30"/>
          <w:szCs w:val="30"/>
          <w:lang w:val="en-US" w:eastAsia="zh-CN"/>
        </w:rPr>
        <w:t>五、</w:t>
      </w:r>
      <w:r>
        <w:rPr>
          <w:rFonts w:ascii="Times New Roman" w:hAnsi="Times New Roman" w:eastAsia="黑体" w:cs="Times New Roman"/>
          <w:b/>
          <w:bCs/>
          <w:color w:val="000000"/>
          <w:sz w:val="30"/>
          <w:szCs w:val="30"/>
        </w:rPr>
        <w:t xml:space="preserve"> 已完成的学术研究工作</w:t>
      </w:r>
      <w:bookmarkEnd w:id="45"/>
      <w:bookmarkEnd w:id="46"/>
    </w:p>
    <w:p w14:paraId="43D9611B">
      <w:pPr>
        <w:spacing w:before="0" w:after="0" w:line="360" w:lineRule="auto"/>
        <w:ind w:firstLine="420"/>
      </w:pPr>
      <w:r>
        <w:rPr>
          <w:rFonts w:ascii="Times New Roman" w:hAnsi="Times New Roman" w:eastAsia="宋体" w:cs="Times New Roman"/>
          <w:b w:val="0"/>
          <w:color w:val="000000"/>
          <w:sz w:val="24"/>
        </w:rPr>
        <w:t>前期已完成城市资源代谢模拟框架的主体结构，形成水源、给水、终端需求、污水处理和再生利用的日尺度计算模块，并建立了情景切换与不确定性分析接口。现有原型已能按节点记录外部输入、内部回用、最终排放和储量变化；下一步是在该骨架上接入AI冷却节点，把重点放在AI节点引入后的科学响应。</w:t>
      </w:r>
    </w:p>
    <w:p w14:paraId="5BB2288C">
      <w:pPr>
        <w:spacing w:before="0" w:after="0" w:line="360" w:lineRule="auto"/>
        <w:ind w:firstLine="420"/>
      </w:pPr>
      <w:r>
        <w:rPr>
          <w:rFonts w:ascii="Times New Roman" w:hAnsi="Times New Roman" w:eastAsia="宋体" w:cs="Times New Roman"/>
          <w:sz w:val="24"/>
          <w:szCs w:val="24"/>
        </w:rPr>
        <w:t>现有积累形成三项可直接用于论文工作的基础：一是已将城市水系统表示为节点—路径网络，并区分外部输入、内部回用与最终排放；二是已把服务器侧热捕集与设施侧末端热排散分开，可在同一框架比较空气、液冷、干式与湿式方案；三是已建立参数证据分级表，记录公开统计、工程文献、企业披露和情景假设。</w:t>
      </w:r>
    </w:p>
    <w:p w14:paraId="0B1A426C">
      <w:pPr>
        <w:pStyle w:val="22"/>
        <w:pageBreakBefore w:val="0"/>
        <w:ind w:firstLine="0" w:firstLineChars="0"/>
        <w:outlineLvl w:val="0"/>
      </w:pPr>
      <w:bookmarkStart w:id="47" w:name="_Toc14609"/>
      <w:bookmarkStart w:id="48" w:name="_Toc16592"/>
      <w:r>
        <w:rPr>
          <w:rFonts w:hint="eastAsia" w:cs="Times New Roman"/>
          <w:b/>
          <w:bCs/>
          <w:color w:val="000000"/>
          <w:sz w:val="30"/>
          <w:szCs w:val="30"/>
          <w:lang w:val="en-US" w:eastAsia="zh-CN"/>
        </w:rPr>
        <w:t>六、</w:t>
      </w:r>
      <w:r>
        <w:rPr>
          <w:rFonts w:ascii="Times New Roman" w:hAnsi="Times New Roman" w:eastAsia="黑体" w:cs="Times New Roman"/>
          <w:b/>
          <w:bCs/>
          <w:color w:val="000000"/>
          <w:sz w:val="30"/>
          <w:szCs w:val="30"/>
        </w:rPr>
        <w:t xml:space="preserve"> 进度安排</w:t>
      </w:r>
      <w:bookmarkEnd w:id="47"/>
      <w:bookmarkEnd w:id="48"/>
    </w:p>
    <w:p w14:paraId="607ECEE0">
      <w:pPr>
        <w:spacing w:before="120" w:after="120" w:line="360" w:lineRule="auto"/>
        <w:ind w:left="0" w:leftChars="0" w:firstLine="0" w:firstLineChars="0"/>
        <w:jc w:val="center"/>
      </w:pPr>
      <w:r>
        <w:rPr>
          <w:rFonts w:ascii="Times New Roman" w:hAnsi="Times New Roman" w:eastAsia="宋体" w:cs="Times New Roman"/>
          <w:b w:val="0"/>
          <w:color w:val="000000"/>
          <w:sz w:val="24"/>
          <w:szCs w:val="24"/>
        </w:rPr>
        <w:t>表6-1 研究阶段、主要工作与阶段产出</w:t>
      </w:r>
    </w:p>
    <w:tbl>
      <w:tblPr>
        <w:tblStyle w:val="1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7"/>
        <w:gridCol w:w="2267"/>
        <w:gridCol w:w="2267"/>
        <w:gridCol w:w="2270"/>
      </w:tblGrid>
      <w:tr w14:paraId="0CF53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7" w:type="dxa"/>
            <w:tcBorders>
              <w:top w:val="single" w:color="000000" w:sz="12" w:space="0"/>
              <w:left w:val="nil"/>
              <w:bottom w:val="single" w:color="000000" w:sz="4" w:space="0"/>
              <w:right w:val="nil"/>
              <w:tl2br w:val="nil"/>
            </w:tcBorders>
            <w:shd w:val="clear" w:color="auto" w:fill="FFFFFF"/>
          </w:tcPr>
          <w:p w14:paraId="429665F4">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阶段</w:t>
            </w:r>
          </w:p>
        </w:tc>
        <w:tc>
          <w:tcPr>
            <w:tcW w:w="2267" w:type="dxa"/>
            <w:tcBorders>
              <w:top w:val="single" w:color="000000" w:sz="12" w:space="0"/>
              <w:left w:val="nil"/>
              <w:bottom w:val="single" w:color="000000" w:sz="4" w:space="0"/>
              <w:right w:val="nil"/>
            </w:tcBorders>
            <w:shd w:val="clear" w:color="auto" w:fill="FFFFFF"/>
          </w:tcPr>
          <w:p w14:paraId="4999D5B0">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时间</w:t>
            </w:r>
          </w:p>
        </w:tc>
        <w:tc>
          <w:tcPr>
            <w:tcW w:w="2267" w:type="dxa"/>
            <w:tcBorders>
              <w:top w:val="single" w:color="000000" w:sz="12" w:space="0"/>
              <w:left w:val="nil"/>
              <w:bottom w:val="single" w:color="000000" w:sz="4" w:space="0"/>
              <w:right w:val="nil"/>
            </w:tcBorders>
            <w:shd w:val="clear" w:color="auto" w:fill="FFFFFF"/>
          </w:tcPr>
          <w:p w14:paraId="14D57C16">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主要工作</w:t>
            </w:r>
          </w:p>
        </w:tc>
        <w:tc>
          <w:tcPr>
            <w:tcW w:w="2270" w:type="dxa"/>
            <w:tcBorders>
              <w:top w:val="single" w:color="000000" w:sz="12" w:space="0"/>
              <w:left w:val="nil"/>
              <w:bottom w:val="single" w:color="000000" w:sz="4" w:space="0"/>
              <w:right w:val="nil"/>
            </w:tcBorders>
            <w:shd w:val="clear" w:color="auto" w:fill="FFFFFF"/>
          </w:tcPr>
          <w:p w14:paraId="28CFA97F">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阶段产出</w:t>
            </w:r>
          </w:p>
        </w:tc>
      </w:tr>
      <w:tr w14:paraId="311C7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single" w:color="000000" w:sz="4" w:space="0"/>
              <w:left w:val="nil"/>
              <w:bottom w:val="nil"/>
              <w:right w:val="nil"/>
            </w:tcBorders>
            <w:shd w:val="clear" w:color="auto" w:fill="FFFFFF"/>
          </w:tcPr>
          <w:p w14:paraId="7F17E3EE">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第一阶段</w:t>
            </w:r>
          </w:p>
        </w:tc>
        <w:tc>
          <w:tcPr>
            <w:tcW w:w="2267" w:type="dxa"/>
            <w:tcBorders>
              <w:top w:val="single" w:color="000000" w:sz="4" w:space="0"/>
              <w:left w:val="nil"/>
              <w:bottom w:val="nil"/>
              <w:right w:val="nil"/>
            </w:tcBorders>
            <w:shd w:val="clear" w:color="auto" w:fill="FFFFFF"/>
          </w:tcPr>
          <w:p w14:paraId="613711E9">
            <w:pPr>
              <w:spacing w:before="0" w:after="0"/>
              <w:ind w:left="0" w:firstLine="0"/>
              <w:jc w:val="left"/>
              <w:rPr>
                <w:b w:val="0"/>
              </w:rPr>
            </w:pPr>
            <w:r>
              <w:rPr>
                <w:rFonts w:ascii="Times New Roman" w:hAnsi="Times New Roman" w:eastAsia="宋体" w:cs="Times New Roman"/>
                <w:b w:val="0"/>
                <w:bCs w:val="0"/>
                <w:sz w:val="21"/>
                <w:szCs w:val="21"/>
              </w:rPr>
              <w:t>2026.06—2026.11</w:t>
            </w:r>
          </w:p>
        </w:tc>
        <w:tc>
          <w:tcPr>
            <w:tcW w:w="2267" w:type="dxa"/>
            <w:tcBorders>
              <w:top w:val="single" w:color="000000" w:sz="4" w:space="0"/>
              <w:left w:val="nil"/>
              <w:bottom w:val="nil"/>
              <w:right w:val="nil"/>
            </w:tcBorders>
            <w:shd w:val="clear" w:color="auto" w:fill="FFFFFF"/>
          </w:tcPr>
          <w:p w14:paraId="0347188D">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数据审计、参数域界定、文献综述、最小闭环、单元测试</w:t>
            </w:r>
          </w:p>
        </w:tc>
        <w:tc>
          <w:tcPr>
            <w:tcW w:w="2270" w:type="dxa"/>
            <w:tcBorders>
              <w:top w:val="single" w:color="000000" w:sz="4" w:space="0"/>
              <w:left w:val="nil"/>
              <w:bottom w:val="nil"/>
              <w:right w:val="nil"/>
            </w:tcBorders>
            <w:shd w:val="clear" w:color="auto" w:fill="FFFFFF"/>
          </w:tcPr>
          <w:p w14:paraId="53F4D34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研究数据库、AI-UWM原型、方法论文初稿</w:t>
            </w:r>
          </w:p>
        </w:tc>
      </w:tr>
      <w:tr w14:paraId="4A030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nil"/>
              <w:right w:val="nil"/>
            </w:tcBorders>
            <w:shd w:val="clear" w:color="auto" w:fill="FFFFFF"/>
          </w:tcPr>
          <w:p w14:paraId="76BEDA35">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第二阶段</w:t>
            </w:r>
          </w:p>
        </w:tc>
        <w:tc>
          <w:tcPr>
            <w:tcW w:w="2267" w:type="dxa"/>
            <w:tcBorders>
              <w:top w:val="nil"/>
              <w:left w:val="nil"/>
              <w:bottom w:val="nil"/>
              <w:right w:val="nil"/>
            </w:tcBorders>
            <w:shd w:val="clear" w:color="auto" w:fill="FFFFFF"/>
          </w:tcPr>
          <w:p w14:paraId="1A078354">
            <w:pPr>
              <w:spacing w:before="0" w:after="0"/>
              <w:ind w:left="0" w:firstLine="0"/>
              <w:jc w:val="left"/>
              <w:rPr>
                <w:b w:val="0"/>
              </w:rPr>
            </w:pPr>
            <w:r>
              <w:rPr>
                <w:rFonts w:ascii="Times New Roman" w:hAnsi="Times New Roman" w:eastAsia="宋体" w:cs="Times New Roman"/>
                <w:b w:val="0"/>
                <w:bCs w:val="0"/>
                <w:sz w:val="21"/>
                <w:szCs w:val="21"/>
              </w:rPr>
              <w:t>2026.11—2027.01</w:t>
            </w:r>
          </w:p>
        </w:tc>
        <w:tc>
          <w:tcPr>
            <w:tcW w:w="2267" w:type="dxa"/>
            <w:tcBorders>
              <w:top w:val="nil"/>
              <w:left w:val="nil"/>
              <w:bottom w:val="nil"/>
              <w:right w:val="nil"/>
            </w:tcBorders>
            <w:shd w:val="clear" w:color="auto" w:fill="FFFFFF"/>
          </w:tcPr>
          <w:p w14:paraId="785FAECB">
            <w:pPr>
              <w:spacing w:before="0" w:after="0" w:line="276" w:lineRule="auto"/>
              <w:ind w:left="0" w:firstLine="0"/>
              <w:jc w:val="left"/>
              <w:rPr>
                <w:b w:val="0"/>
              </w:rPr>
            </w:pPr>
            <w:r>
              <w:rPr>
                <w:rFonts w:ascii="Times New Roman" w:hAnsi="Times New Roman" w:eastAsia="宋体" w:cs="Times New Roman"/>
                <w:b w:val="0"/>
                <w:bCs w:val="0"/>
                <w:sz w:val="21"/>
                <w:szCs w:val="21"/>
              </w:rPr>
              <w:t>参数化系统输入校核、替代压力剖面检验、参数范围校核和对照实验</w:t>
            </w:r>
          </w:p>
        </w:tc>
        <w:tc>
          <w:tcPr>
            <w:tcW w:w="2270" w:type="dxa"/>
            <w:tcBorders>
              <w:top w:val="nil"/>
              <w:left w:val="nil"/>
              <w:bottom w:val="nil"/>
              <w:right w:val="nil"/>
            </w:tcBorders>
            <w:shd w:val="clear" w:color="auto" w:fill="FFFFFF"/>
          </w:tcPr>
          <w:p w14:paraId="3B59D12F">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代谢响应结果、论文1、可复现代码版本</w:t>
            </w:r>
          </w:p>
        </w:tc>
      </w:tr>
      <w:tr w14:paraId="6C49E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nil"/>
              <w:right w:val="nil"/>
            </w:tcBorders>
            <w:shd w:val="clear" w:color="auto" w:fill="FFFFFF"/>
          </w:tcPr>
          <w:p w14:paraId="3F023CD8">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第三阶段</w:t>
            </w:r>
          </w:p>
        </w:tc>
        <w:tc>
          <w:tcPr>
            <w:tcW w:w="2267" w:type="dxa"/>
            <w:tcBorders>
              <w:top w:val="nil"/>
              <w:left w:val="nil"/>
              <w:bottom w:val="nil"/>
              <w:right w:val="nil"/>
            </w:tcBorders>
            <w:shd w:val="clear" w:color="auto" w:fill="FFFFFF"/>
          </w:tcPr>
          <w:p w14:paraId="3C668BD7">
            <w:pPr>
              <w:spacing w:before="0" w:after="0"/>
              <w:ind w:left="0" w:firstLine="0"/>
              <w:jc w:val="left"/>
              <w:rPr>
                <w:rFonts w:hint="eastAsia" w:eastAsia="宋体"/>
                <w:b w:val="0"/>
                <w:lang w:eastAsia="zh-CN"/>
              </w:rPr>
            </w:pPr>
            <w:r>
              <w:rPr>
                <w:rFonts w:ascii="Times New Roman" w:hAnsi="Times New Roman" w:eastAsia="宋体" w:cs="Times New Roman"/>
                <w:b w:val="0"/>
                <w:bCs w:val="0"/>
                <w:sz w:val="21"/>
                <w:szCs w:val="21"/>
              </w:rPr>
              <w:t>2027.01—2027.0</w:t>
            </w:r>
            <w:r>
              <w:rPr>
                <w:rFonts w:hint="eastAsia" w:cs="Times New Roman"/>
                <w:b w:val="0"/>
                <w:bCs w:val="0"/>
                <w:sz w:val="21"/>
                <w:szCs w:val="21"/>
                <w:lang w:val="en-US" w:eastAsia="zh-CN"/>
              </w:rPr>
              <w:t>5</w:t>
            </w:r>
          </w:p>
        </w:tc>
        <w:tc>
          <w:tcPr>
            <w:tcW w:w="2267" w:type="dxa"/>
            <w:tcBorders>
              <w:top w:val="nil"/>
              <w:left w:val="nil"/>
              <w:bottom w:val="nil"/>
              <w:right w:val="nil"/>
            </w:tcBorders>
            <w:shd w:val="clear" w:color="auto" w:fill="FFFFFF"/>
          </w:tcPr>
          <w:p w14:paraId="2CE8E214">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sz w:val="21"/>
                <w:szCs w:val="21"/>
              </w:rPr>
              <w:t>年均，日，小时比较、高温干旱复合压力、CAWCC</w:t>
            </w:r>
          </w:p>
        </w:tc>
        <w:tc>
          <w:tcPr>
            <w:tcW w:w="2270" w:type="dxa"/>
            <w:tcBorders>
              <w:top w:val="nil"/>
              <w:left w:val="nil"/>
              <w:bottom w:val="nil"/>
              <w:right w:val="nil"/>
            </w:tcBorders>
            <w:shd w:val="clear" w:color="auto" w:fill="FFFFFF"/>
          </w:tcPr>
          <w:p w14:paraId="7A1112ED">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时间尺度边界结果、论文2</w:t>
            </w:r>
          </w:p>
        </w:tc>
      </w:tr>
      <w:tr w14:paraId="3A863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nil"/>
              <w:right w:val="nil"/>
            </w:tcBorders>
            <w:shd w:val="clear" w:color="auto" w:fill="FFFFFF"/>
          </w:tcPr>
          <w:p w14:paraId="1B628C61">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第四阶段</w:t>
            </w:r>
          </w:p>
        </w:tc>
        <w:tc>
          <w:tcPr>
            <w:tcW w:w="2267" w:type="dxa"/>
            <w:tcBorders>
              <w:top w:val="nil"/>
              <w:left w:val="nil"/>
              <w:bottom w:val="nil"/>
              <w:right w:val="nil"/>
            </w:tcBorders>
            <w:shd w:val="clear" w:color="auto" w:fill="FFFFFF"/>
          </w:tcPr>
          <w:p w14:paraId="1EB5FA43">
            <w:pPr>
              <w:spacing w:before="0" w:after="0"/>
              <w:ind w:left="0" w:firstLine="0"/>
              <w:jc w:val="left"/>
              <w:rPr>
                <w:b w:val="0"/>
              </w:rPr>
            </w:pPr>
            <w:r>
              <w:rPr>
                <w:rFonts w:ascii="Times New Roman" w:hAnsi="Times New Roman" w:eastAsia="宋体" w:cs="Times New Roman"/>
                <w:b w:val="0"/>
                <w:bCs w:val="0"/>
                <w:sz w:val="21"/>
                <w:szCs w:val="21"/>
              </w:rPr>
              <w:t>2027.0</w:t>
            </w:r>
            <w:r>
              <w:rPr>
                <w:rFonts w:hint="eastAsia" w:cs="Times New Roman"/>
                <w:b w:val="0"/>
                <w:bCs w:val="0"/>
                <w:sz w:val="21"/>
                <w:szCs w:val="21"/>
                <w:lang w:val="en-US" w:eastAsia="zh-CN"/>
              </w:rPr>
              <w:t>5</w:t>
            </w:r>
            <w:r>
              <w:rPr>
                <w:rFonts w:ascii="Times New Roman" w:hAnsi="Times New Roman" w:eastAsia="宋体" w:cs="Times New Roman"/>
                <w:b w:val="0"/>
                <w:bCs w:val="0"/>
                <w:sz w:val="21"/>
                <w:szCs w:val="21"/>
              </w:rPr>
              <w:t>—2027.09</w:t>
            </w:r>
          </w:p>
        </w:tc>
        <w:tc>
          <w:tcPr>
            <w:tcW w:w="2267" w:type="dxa"/>
            <w:tcBorders>
              <w:top w:val="nil"/>
              <w:left w:val="nil"/>
              <w:bottom w:val="nil"/>
              <w:right w:val="nil"/>
            </w:tcBorders>
            <w:shd w:val="clear" w:color="auto" w:fill="FFFFFF"/>
          </w:tcPr>
          <w:p w14:paraId="7FD01A7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不确定性、瓶颈转换、再生水和设施干预</w:t>
            </w:r>
          </w:p>
        </w:tc>
        <w:tc>
          <w:tcPr>
            <w:tcW w:w="2270" w:type="dxa"/>
            <w:tcBorders>
              <w:top w:val="nil"/>
              <w:left w:val="nil"/>
              <w:bottom w:val="nil"/>
              <w:right w:val="nil"/>
            </w:tcBorders>
            <w:shd w:val="clear" w:color="auto" w:fill="FFFFFF"/>
          </w:tcPr>
          <w:p w14:paraId="7DD53A58">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边界图谱、机制论文、参数证据库</w:t>
            </w:r>
          </w:p>
        </w:tc>
      </w:tr>
      <w:tr w14:paraId="5C646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single" w:color="000000" w:sz="12" w:space="0"/>
              <w:right w:val="nil"/>
            </w:tcBorders>
            <w:shd w:val="clear" w:color="auto" w:fill="FFFFFF"/>
          </w:tcPr>
          <w:p w14:paraId="225BB289">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第五阶段</w:t>
            </w:r>
          </w:p>
        </w:tc>
        <w:tc>
          <w:tcPr>
            <w:tcW w:w="2267" w:type="dxa"/>
            <w:tcBorders>
              <w:top w:val="nil"/>
              <w:left w:val="nil"/>
              <w:bottom w:val="single" w:color="000000" w:sz="12" w:space="0"/>
              <w:right w:val="nil"/>
            </w:tcBorders>
            <w:shd w:val="clear" w:color="auto" w:fill="FFFFFF"/>
          </w:tcPr>
          <w:p w14:paraId="6DFB98AF">
            <w:pPr>
              <w:spacing w:before="0" w:after="0"/>
              <w:ind w:left="0" w:firstLine="0"/>
              <w:jc w:val="left"/>
              <w:rPr>
                <w:rFonts w:hint="eastAsia" w:eastAsia="宋体"/>
                <w:b w:val="0"/>
                <w:lang w:val="en-US" w:eastAsia="zh-CN"/>
              </w:rPr>
            </w:pPr>
            <w:r>
              <w:rPr>
                <w:rFonts w:ascii="Times New Roman" w:hAnsi="Times New Roman" w:eastAsia="宋体" w:cs="Times New Roman"/>
                <w:b w:val="0"/>
                <w:bCs w:val="0"/>
                <w:sz w:val="21"/>
                <w:szCs w:val="21"/>
              </w:rPr>
              <w:t>2027.</w:t>
            </w:r>
            <w:r>
              <w:rPr>
                <w:rFonts w:hint="eastAsia" w:ascii="Times New Roman" w:hAnsi="Times New Roman" w:eastAsia="宋体" w:cs="Times New Roman"/>
                <w:b w:val="0"/>
                <w:bCs w:val="0"/>
                <w:sz w:val="21"/>
                <w:szCs w:val="21"/>
                <w:lang w:val="en-US" w:eastAsia="zh-CN"/>
              </w:rPr>
              <w:t>09</w:t>
            </w:r>
            <w:r>
              <w:rPr>
                <w:rFonts w:ascii="Times New Roman" w:hAnsi="Times New Roman" w:eastAsia="宋体" w:cs="Times New Roman"/>
                <w:b w:val="0"/>
                <w:bCs w:val="0"/>
                <w:sz w:val="21"/>
                <w:szCs w:val="21"/>
              </w:rPr>
              <w:t>—2028.0</w:t>
            </w:r>
            <w:r>
              <w:rPr>
                <w:rFonts w:hint="eastAsia" w:ascii="Times New Roman" w:hAnsi="Times New Roman" w:eastAsia="宋体" w:cs="Times New Roman"/>
                <w:b w:val="0"/>
                <w:bCs w:val="0"/>
                <w:sz w:val="21"/>
                <w:szCs w:val="21"/>
                <w:lang w:val="en-US" w:eastAsia="zh-CN"/>
              </w:rPr>
              <w:t>4</w:t>
            </w:r>
          </w:p>
        </w:tc>
        <w:tc>
          <w:tcPr>
            <w:tcW w:w="2267" w:type="dxa"/>
            <w:tcBorders>
              <w:top w:val="nil"/>
              <w:left w:val="nil"/>
              <w:bottom w:val="single" w:color="000000" w:sz="12" w:space="0"/>
              <w:right w:val="nil"/>
            </w:tcBorders>
            <w:shd w:val="clear" w:color="auto" w:fill="FFFFFF"/>
          </w:tcPr>
          <w:p w14:paraId="23C6EEF4">
            <w:pPr>
              <w:keepNext w:val="0"/>
              <w:spacing w:before="0" w:after="0" w:line="276" w:lineRule="auto"/>
              <w:ind w:left="0" w:right="0" w:firstLine="0"/>
              <w:jc w:val="left"/>
              <w:rPr>
                <w:rFonts w:hint="eastAsia" w:ascii="Times New Roman" w:hAnsi="Times New Roman" w:eastAsia="宋体"/>
                <w:b w:val="0"/>
                <w:lang w:val="en-US" w:eastAsia="zh-CN"/>
              </w:rPr>
            </w:pPr>
            <w:r>
              <w:rPr>
                <w:rFonts w:ascii="Times New Roman" w:hAnsi="Times New Roman" w:eastAsia="宋体" w:cs="Times New Roman"/>
                <w:b w:val="0"/>
                <w:bCs w:val="0"/>
                <w:sz w:val="21"/>
                <w:szCs w:val="21"/>
              </w:rPr>
              <w:t>固定容量水，能，碳比较、论文整合、预答辩与送审</w:t>
            </w:r>
            <w:r>
              <w:rPr>
                <w:rFonts w:hint="eastAsia" w:ascii="Times New Roman" w:hAnsi="Times New Roman" w:eastAsia="宋体" w:cs="Times New Roman"/>
                <w:b w:val="0"/>
                <w:bCs w:val="0"/>
                <w:sz w:val="21"/>
                <w:szCs w:val="21"/>
                <w:lang w:val="en-US" w:eastAsia="zh-CN"/>
              </w:rPr>
              <w:t>等</w:t>
            </w:r>
          </w:p>
        </w:tc>
        <w:tc>
          <w:tcPr>
            <w:tcW w:w="2270" w:type="dxa"/>
            <w:tcBorders>
              <w:top w:val="nil"/>
              <w:left w:val="nil"/>
              <w:bottom w:val="single" w:color="000000" w:sz="12" w:space="0"/>
              <w:right w:val="nil"/>
            </w:tcBorders>
            <w:shd w:val="clear" w:color="auto" w:fill="FFFFFF"/>
          </w:tcPr>
          <w:p w14:paraId="1E03C4FA">
            <w:pPr>
              <w:keepNext w:val="0"/>
              <w:spacing w:before="0" w:after="0" w:line="276" w:lineRule="auto"/>
              <w:ind w:left="0" w:right="0" w:firstLine="0"/>
              <w:jc w:val="left"/>
              <w:rPr>
                <w:rFonts w:ascii="Times New Roman" w:hAnsi="Times New Roman" w:eastAsia="宋体"/>
                <w:b w:val="0"/>
              </w:rPr>
            </w:pPr>
            <w:r>
              <w:rPr>
                <w:rFonts w:hint="eastAsia" w:ascii="Times New Roman" w:hAnsi="Times New Roman" w:eastAsia="宋体" w:cs="Times New Roman"/>
                <w:b w:val="0"/>
                <w:bCs w:val="0"/>
                <w:color w:val="000000"/>
                <w:sz w:val="21"/>
                <w:szCs w:val="21"/>
                <w:lang w:eastAsia="zh-CN"/>
              </w:rPr>
              <w:t>硕士</w:t>
            </w:r>
            <w:r>
              <w:rPr>
                <w:rFonts w:ascii="Times New Roman" w:hAnsi="Times New Roman" w:eastAsia="宋体" w:cs="Times New Roman"/>
                <w:b w:val="0"/>
                <w:bCs w:val="0"/>
                <w:color w:val="000000"/>
                <w:sz w:val="21"/>
                <w:szCs w:val="21"/>
              </w:rPr>
              <w:t>论文、代码和数据治理文档</w:t>
            </w:r>
          </w:p>
        </w:tc>
      </w:tr>
    </w:tbl>
    <w:p w14:paraId="3F5C3547">
      <w:pPr>
        <w:pStyle w:val="22"/>
        <w:pageBreakBefore w:val="0"/>
        <w:ind w:firstLine="0" w:firstLineChars="0"/>
        <w:outlineLvl w:val="0"/>
      </w:pPr>
      <w:bookmarkStart w:id="49" w:name="_Toc8218"/>
      <w:bookmarkStart w:id="50" w:name="_Toc2380"/>
      <w:r>
        <w:rPr>
          <w:rFonts w:hint="eastAsia" w:cs="Times New Roman"/>
          <w:b/>
          <w:bCs/>
          <w:color w:val="000000"/>
          <w:sz w:val="30"/>
          <w:szCs w:val="30"/>
          <w:lang w:val="en-US" w:eastAsia="zh-CN"/>
        </w:rPr>
        <w:t>七、</w:t>
      </w:r>
      <w:r>
        <w:rPr>
          <w:rFonts w:ascii="Times New Roman" w:hAnsi="Times New Roman" w:eastAsia="黑体" w:cs="Times New Roman"/>
          <w:b/>
          <w:bCs/>
          <w:color w:val="000000"/>
          <w:sz w:val="30"/>
          <w:szCs w:val="30"/>
        </w:rPr>
        <w:t xml:space="preserve"> 为完成课题所需的条件</w:t>
      </w:r>
      <w:bookmarkEnd w:id="49"/>
      <w:bookmarkEnd w:id="50"/>
    </w:p>
    <w:p w14:paraId="1C3F9983">
      <w:pPr>
        <w:pStyle w:val="23"/>
        <w:pageBreakBefore w:val="0"/>
        <w:ind w:firstLine="0" w:firstLineChars="0"/>
        <w:outlineLvl w:val="1"/>
      </w:pPr>
      <w:bookmarkStart w:id="51" w:name="_Toc29455"/>
      <w:bookmarkStart w:id="52" w:name="_Toc18688"/>
      <w:r>
        <w:rPr>
          <w:rFonts w:ascii="Times New Roman" w:hAnsi="Times New Roman" w:eastAsia="黑体" w:cs="Times New Roman"/>
          <w:b/>
          <w:bCs/>
          <w:color w:val="000000"/>
          <w:sz w:val="28"/>
          <w:szCs w:val="28"/>
        </w:rPr>
        <w:t>7.1 理论、数据、软件与计算条件</w:t>
      </w:r>
      <w:bookmarkEnd w:id="51"/>
      <w:bookmarkEnd w:id="52"/>
      <w:bookmarkStart w:id="65" w:name="_GoBack"/>
      <w:bookmarkEnd w:id="65"/>
    </w:p>
    <w:p w14:paraId="57D6C175">
      <w:pPr>
        <w:spacing w:before="0" w:after="0" w:line="360" w:lineRule="auto"/>
        <w:ind w:firstLine="420"/>
      </w:pPr>
      <w:r>
        <w:rPr>
          <w:rFonts w:ascii="Times New Roman" w:hAnsi="Times New Roman" w:eastAsia="宋体" w:cs="Times New Roman"/>
          <w:b w:val="0"/>
          <w:color w:val="000000"/>
          <w:sz w:val="24"/>
          <w:szCs w:val="24"/>
        </w:rPr>
        <w:t>理论可行性：城市代谢、综合水系统、数据中心冷却和可靠性评价已有成熟理论接口，本研究的增量在于耦合和机制解释。</w:t>
      </w:r>
    </w:p>
    <w:p w14:paraId="7B04E49A">
      <w:pPr>
        <w:spacing w:before="0" w:after="0" w:line="360" w:lineRule="auto"/>
        <w:ind w:firstLine="420"/>
      </w:pPr>
      <w:r>
        <w:t>数据可行性：参数取值所需的水务与气象量级数据可由公开统计与管理资料支撑，并按3.7所述三类抽象参数域分别界定参数取值，使结论的适用域不依赖单一参数域；商业敏感数据采取工程Benchmark、区间参数和条件剖面替代。</w:t>
      </w:r>
    </w:p>
    <w:p w14:paraId="01F32231">
      <w:pPr>
        <w:spacing w:before="0" w:after="0" w:line="360" w:lineRule="auto"/>
        <w:ind w:firstLine="420"/>
      </w:pPr>
      <w:r>
        <w:rPr>
          <w:rFonts w:ascii="Times New Roman" w:hAnsi="Times New Roman" w:eastAsia="宋体" w:cs="Times New Roman"/>
          <w:b w:val="0"/>
          <w:color w:val="000000"/>
          <w:sz w:val="24"/>
          <w:szCs w:val="24"/>
        </w:rPr>
        <w:t>计算可行性：模型按模块开发，优先在边界附近计算；高维敏感性分析只对证据充分的变量实施。</w:t>
      </w:r>
    </w:p>
    <w:p w14:paraId="4CB28AC8">
      <w:pPr>
        <w:spacing w:before="0" w:after="0" w:line="360" w:lineRule="auto"/>
        <w:ind w:firstLine="420"/>
      </w:pPr>
      <w:r>
        <w:rPr>
          <w:rFonts w:ascii="Times New Roman" w:hAnsi="Times New Roman" w:eastAsia="宋体" w:cs="Times New Roman"/>
          <w:sz w:val="24"/>
          <w:szCs w:val="24"/>
        </w:rPr>
        <w:t>论文可行性：模型建立、代谢响应、承载边界、瓶颈与干预四部分具有相对独立的研究问题，可形成连续论文产出。</w:t>
      </w:r>
    </w:p>
    <w:p w14:paraId="7348F27D">
      <w:pPr>
        <w:spacing w:before="0" w:after="0" w:line="360" w:lineRule="auto"/>
        <w:ind w:firstLine="420"/>
      </w:pPr>
      <w:r>
        <w:rPr>
          <w:rFonts w:ascii="Times New Roman" w:hAnsi="Times New Roman" w:eastAsia="宋体" w:cs="Times New Roman"/>
          <w:sz w:val="24"/>
          <w:szCs w:val="24"/>
        </w:rPr>
        <w:t>模型采用Python、NumPy实现，以版本控制记录配置与图表，参数扫描采用并行批处理并保存结构化结果。基准情景可在普通工作站完成；容量梯度、日小时双尺度、系统状态—外部压力组合和敏感性分析在课题组服务器或校级高性能计算集群上运行，以保证效率、可追溯性和可复现性。</w:t>
      </w:r>
    </w:p>
    <w:p w14:paraId="0A8D2CAA">
      <w:pPr>
        <w:pStyle w:val="23"/>
        <w:pageBreakBefore w:val="0"/>
        <w:ind w:firstLine="0" w:firstLineChars="0"/>
        <w:outlineLvl w:val="1"/>
      </w:pPr>
      <w:bookmarkStart w:id="53" w:name="_Toc27266"/>
      <w:bookmarkStart w:id="54" w:name="_Toc17499"/>
      <w:r>
        <w:rPr>
          <w:rFonts w:ascii="Times New Roman" w:hAnsi="Times New Roman" w:eastAsia="黑体" w:cs="Times New Roman"/>
          <w:b/>
          <w:bCs/>
          <w:color w:val="000000"/>
          <w:sz w:val="28"/>
          <w:szCs w:val="28"/>
        </w:rPr>
        <w:t>7.2 研究组织与成果管理</w:t>
      </w:r>
      <w:bookmarkEnd w:id="53"/>
      <w:bookmarkEnd w:id="54"/>
    </w:p>
    <w:p w14:paraId="5CD7E6B5">
      <w:pPr>
        <w:spacing w:before="0" w:after="0" w:line="360" w:lineRule="auto"/>
        <w:ind w:firstLine="420"/>
      </w:pPr>
      <w:r>
        <w:rPr>
          <w:rFonts w:ascii="Times New Roman" w:hAnsi="Times New Roman" w:eastAsia="宋体" w:cs="Times New Roman"/>
          <w:b w:val="0"/>
          <w:color w:val="000000"/>
          <w:sz w:val="24"/>
          <w:szCs w:val="24"/>
        </w:rPr>
        <w:t>研究将按模型、验证、机制实验和论文四类工作包安排阶段检查。参数证据更新、关键守恒测试和数据质量核查先于机制实验；每阶段以可重复运行的模型版本、结果图表和研究记录衔接下一阶段。</w:t>
      </w:r>
    </w:p>
    <w:p w14:paraId="701EA649">
      <w:pPr>
        <w:pStyle w:val="22"/>
        <w:pageBreakBefore w:val="0"/>
        <w:ind w:firstLine="0" w:firstLineChars="0"/>
        <w:outlineLvl w:val="0"/>
      </w:pPr>
      <w:bookmarkStart w:id="55" w:name="_Toc8803"/>
      <w:bookmarkStart w:id="56" w:name="_Toc20761"/>
      <w:r>
        <w:rPr>
          <w:rFonts w:hint="eastAsia" w:cs="Times New Roman"/>
          <w:b/>
          <w:bCs/>
          <w:color w:val="000000"/>
          <w:sz w:val="30"/>
          <w:szCs w:val="30"/>
          <w:lang w:val="en-US" w:eastAsia="zh-CN"/>
        </w:rPr>
        <w:t>八、</w:t>
      </w:r>
      <w:r>
        <w:rPr>
          <w:rFonts w:ascii="Times New Roman" w:hAnsi="Times New Roman" w:eastAsia="黑体" w:cs="Times New Roman"/>
          <w:b/>
          <w:bCs/>
          <w:color w:val="000000"/>
          <w:sz w:val="30"/>
          <w:szCs w:val="30"/>
        </w:rPr>
        <w:t xml:space="preserve"> 研究过程中可能遇到的问题及解决措施</w:t>
      </w:r>
      <w:bookmarkEnd w:id="55"/>
      <w:bookmarkEnd w:id="56"/>
    </w:p>
    <w:p w14:paraId="42EC31FE">
      <w:pPr>
        <w:spacing w:before="120" w:after="120" w:line="360" w:lineRule="auto"/>
        <w:ind w:left="0" w:firstLine="0"/>
        <w:jc w:val="center"/>
      </w:pPr>
      <w:r>
        <w:rPr>
          <w:rFonts w:ascii="Times New Roman" w:hAnsi="Times New Roman" w:eastAsia="宋体" w:cs="Times New Roman"/>
          <w:b w:val="0"/>
          <w:color w:val="000000"/>
          <w:sz w:val="24"/>
          <w:szCs w:val="24"/>
        </w:rPr>
        <w:t>表8-1 关键难点、研究影响与解决路径</w:t>
      </w:r>
    </w:p>
    <w:tbl>
      <w:tblPr>
        <w:tblStyle w:val="1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3"/>
        <w:gridCol w:w="3023"/>
        <w:gridCol w:w="3025"/>
      </w:tblGrid>
      <w:tr w14:paraId="6FA09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3" w:type="dxa"/>
            <w:tcBorders>
              <w:top w:val="single" w:color="000000" w:sz="12" w:space="0"/>
              <w:left w:val="nil"/>
              <w:bottom w:val="single" w:color="000000" w:sz="4" w:space="0"/>
              <w:right w:val="nil"/>
              <w:tl2br w:val="nil"/>
            </w:tcBorders>
            <w:shd w:val="clear" w:color="auto" w:fill="FFFFFF"/>
          </w:tcPr>
          <w:p w14:paraId="54BCDDEA">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难点</w:t>
            </w:r>
          </w:p>
        </w:tc>
        <w:tc>
          <w:tcPr>
            <w:tcW w:w="3023" w:type="dxa"/>
            <w:tcBorders>
              <w:top w:val="single" w:color="000000" w:sz="12" w:space="0"/>
              <w:left w:val="nil"/>
              <w:bottom w:val="single" w:color="000000" w:sz="4" w:space="0"/>
              <w:right w:val="nil"/>
            </w:tcBorders>
            <w:shd w:val="clear" w:color="auto" w:fill="FFFFFF"/>
          </w:tcPr>
          <w:p w14:paraId="20AD0984">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可能后果</w:t>
            </w:r>
          </w:p>
        </w:tc>
        <w:tc>
          <w:tcPr>
            <w:tcW w:w="3025" w:type="dxa"/>
            <w:tcBorders>
              <w:top w:val="single" w:color="000000" w:sz="12" w:space="0"/>
              <w:left w:val="nil"/>
              <w:bottom w:val="single" w:color="000000" w:sz="4" w:space="0"/>
              <w:right w:val="nil"/>
            </w:tcBorders>
            <w:shd w:val="clear" w:color="auto" w:fill="FFFFFF"/>
          </w:tcPr>
          <w:p w14:paraId="0E75BAAC">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应对措施</w:t>
            </w:r>
          </w:p>
        </w:tc>
      </w:tr>
      <w:tr w14:paraId="07BD1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single" w:color="000000" w:sz="4" w:space="0"/>
              <w:left w:val="nil"/>
              <w:bottom w:val="nil"/>
              <w:right w:val="nil"/>
            </w:tcBorders>
            <w:shd w:val="clear" w:color="auto" w:fill="FFFFFF"/>
          </w:tcPr>
          <w:p w14:paraId="5B633C57">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AI运行数据不足</w:t>
            </w:r>
          </w:p>
        </w:tc>
        <w:tc>
          <w:tcPr>
            <w:tcW w:w="3023" w:type="dxa"/>
            <w:tcBorders>
              <w:top w:val="single" w:color="000000" w:sz="4" w:space="0"/>
              <w:left w:val="nil"/>
              <w:bottom w:val="nil"/>
              <w:right w:val="nil"/>
            </w:tcBorders>
            <w:shd w:val="clear" w:color="auto" w:fill="FFFFFF"/>
          </w:tcPr>
          <w:p w14:paraId="31ED21BC">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难以校准逐小时负荷和水耗</w:t>
            </w:r>
          </w:p>
        </w:tc>
        <w:tc>
          <w:tcPr>
            <w:tcW w:w="3025" w:type="dxa"/>
            <w:tcBorders>
              <w:top w:val="single" w:color="000000" w:sz="4" w:space="0"/>
              <w:left w:val="nil"/>
              <w:bottom w:val="nil"/>
              <w:right w:val="nil"/>
            </w:tcBorders>
            <w:shd w:val="clear" w:color="auto" w:fill="FFFFFF"/>
          </w:tcPr>
          <w:p w14:paraId="1E76CBE5">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采用公开工程参数、文献Benchmark和保留日总量的条件剖面；把不可辨识性单独报告</w:t>
            </w:r>
          </w:p>
        </w:tc>
      </w:tr>
      <w:tr w14:paraId="2E163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nil"/>
              <w:left w:val="nil"/>
              <w:bottom w:val="nil"/>
              <w:right w:val="nil"/>
            </w:tcBorders>
            <w:shd w:val="clear" w:color="auto" w:fill="FFFFFF"/>
          </w:tcPr>
          <w:p w14:paraId="372D5FD7">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约束交互导致可行域非单调</w:t>
            </w:r>
          </w:p>
        </w:tc>
        <w:tc>
          <w:tcPr>
            <w:tcW w:w="3023" w:type="dxa"/>
            <w:tcBorders>
              <w:top w:val="nil"/>
              <w:left w:val="nil"/>
              <w:bottom w:val="nil"/>
              <w:right w:val="nil"/>
            </w:tcBorders>
            <w:shd w:val="clear" w:color="auto" w:fill="FFFFFF"/>
          </w:tcPr>
          <w:p w14:paraId="244B3DF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只报告最大值会掩盖中间失效</w:t>
            </w:r>
          </w:p>
        </w:tc>
        <w:tc>
          <w:tcPr>
            <w:tcW w:w="3025" w:type="dxa"/>
            <w:tcBorders>
              <w:top w:val="nil"/>
              <w:left w:val="nil"/>
              <w:bottom w:val="nil"/>
              <w:right w:val="nil"/>
            </w:tcBorders>
            <w:shd w:val="clear" w:color="auto" w:fill="FFFFFF"/>
          </w:tcPr>
          <w:p w14:paraId="11567EA9">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先网格扫描，报告全部可行区间和首次/最终失效</w:t>
            </w:r>
          </w:p>
        </w:tc>
      </w:tr>
      <w:tr w14:paraId="0B3C9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nil"/>
              <w:left w:val="nil"/>
              <w:bottom w:val="single" w:color="000000" w:sz="12" w:space="0"/>
              <w:right w:val="nil"/>
            </w:tcBorders>
            <w:shd w:val="clear" w:color="auto" w:fill="FFFFFF"/>
          </w:tcPr>
          <w:p w14:paraId="495F9B2D">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参数域间可比性不足</w:t>
            </w:r>
          </w:p>
        </w:tc>
        <w:tc>
          <w:tcPr>
            <w:tcW w:w="3023" w:type="dxa"/>
            <w:tcBorders>
              <w:top w:val="nil"/>
              <w:left w:val="nil"/>
              <w:bottom w:val="single" w:color="000000" w:sz="12" w:space="0"/>
              <w:right w:val="nil"/>
            </w:tcBorders>
            <w:shd w:val="clear" w:color="auto" w:fill="FFFFFF"/>
          </w:tcPr>
          <w:p w14:paraId="7718DA51">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跨参数域结论被过度外推</w:t>
            </w:r>
          </w:p>
        </w:tc>
        <w:tc>
          <w:tcPr>
            <w:tcW w:w="3025" w:type="dxa"/>
            <w:tcBorders>
              <w:top w:val="nil"/>
              <w:left w:val="nil"/>
              <w:bottom w:val="single" w:color="000000" w:sz="12" w:space="0"/>
              <w:right w:val="nil"/>
            </w:tcBorders>
            <w:shd w:val="clear" w:color="auto" w:fill="FFFFFF"/>
          </w:tcPr>
          <w:p w14:paraId="200DD65D">
            <w:pPr>
              <w:spacing w:before="0" w:after="0" w:line="276" w:lineRule="auto"/>
              <w:ind w:left="0" w:firstLine="0"/>
              <w:jc w:val="left"/>
              <w:rPr>
                <w:b w:val="0"/>
              </w:rPr>
            </w:pPr>
            <w:r>
              <w:rPr>
                <w:rFonts w:ascii="Times New Roman" w:hAnsi="Times New Roman" w:eastAsia="宋体" w:cs="Times New Roman"/>
                <w:b w:val="0"/>
                <w:bCs w:val="0"/>
                <w:sz w:val="21"/>
                <w:szCs w:val="21"/>
              </w:rPr>
              <w:t>使用无量纲裕度和适用参数域，参数范围校核只承担方向核验</w:t>
            </w:r>
          </w:p>
        </w:tc>
      </w:tr>
    </w:tbl>
    <w:p w14:paraId="6B05DAC1">
      <w:pPr>
        <w:pStyle w:val="23"/>
        <w:ind w:firstLine="0" w:firstLineChars="0"/>
        <w:outlineLvl w:val="1"/>
      </w:pPr>
      <w:bookmarkStart w:id="57" w:name="_Toc4740"/>
      <w:bookmarkStart w:id="58" w:name="_Toc25570"/>
      <w:r>
        <w:rPr>
          <w:rFonts w:ascii="Times New Roman" w:hAnsi="Times New Roman" w:eastAsia="黑体" w:cs="Times New Roman"/>
          <w:b/>
          <w:bCs/>
          <w:sz w:val="28"/>
          <w:szCs w:val="28"/>
        </w:rPr>
        <w:t>8.1 研究边界变化与复杂度控制</w:t>
      </w:r>
      <w:bookmarkEnd w:id="57"/>
      <w:bookmarkEnd w:id="58"/>
    </w:p>
    <w:p w14:paraId="3CF2EC5F">
      <w:pPr>
        <w:spacing w:before="0" w:after="0" w:line="360" w:lineRule="auto"/>
        <w:ind w:firstLine="420"/>
      </w:pPr>
      <w:r>
        <w:t>系统模拟易在水量、水—能—碳、成本和跨城市比较之间扩张。研究按“核心闭合—边界实验—扩展分析”推进，扩展模块必须明确输入、输出和验证方式，且不改变CAWCC定义。能源与碳排放不作为CAWCC失效判据，仅将峰值电力约束纳入可行域，并在固定容量下并行核算（见3.5）；成本函数、经济优化和跨参数域精确比较不进入核心模型。水质过程也作为边界条件：浓缩倍数与再生水回用比例按工程可行区间外生给定并记录依据。因此模型回答给定水质可行区间内的水量问题，不处理水质—水量双向耦合。</w:t>
      </w:r>
    </w:p>
    <w:p w14:paraId="19BE5530">
      <w:pPr>
        <w:pStyle w:val="23"/>
        <w:ind w:firstLine="0" w:firstLineChars="0"/>
        <w:outlineLvl w:val="1"/>
      </w:pPr>
      <w:bookmarkStart w:id="59" w:name="_Toc25480"/>
      <w:bookmarkStart w:id="60" w:name="_Toc28250"/>
      <w:r>
        <w:rPr>
          <w:rFonts w:ascii="Times New Roman" w:hAnsi="Times New Roman" w:eastAsia="黑体" w:cs="Times New Roman"/>
          <w:b/>
          <w:bCs/>
          <w:sz w:val="28"/>
          <w:szCs w:val="28"/>
        </w:rPr>
        <w:t>8.2 证据等级与外推</w:t>
      </w:r>
      <w:bookmarkEnd w:id="59"/>
      <w:bookmarkEnd w:id="60"/>
    </w:p>
    <w:p w14:paraId="18517CC6">
      <w:pPr>
        <w:spacing w:before="0" w:after="0" w:line="360" w:lineRule="auto"/>
        <w:ind w:firstLine="420"/>
      </w:pPr>
      <w:r>
        <w:rPr>
          <w:rFonts w:ascii="Times New Roman" w:hAnsi="Times New Roman" w:eastAsia="宋体" w:cs="Times New Roman"/>
          <w:sz w:val="24"/>
          <w:szCs w:val="24"/>
        </w:rPr>
        <w:t>参数来自标准、工程文献、公开统计和情景设定，证据强度不同。研究为每个参数记录来源、年份、适用工况、上下界和是否参与主要结论；结果分别标记为工程基准支持、参数域条件规律或机制方向性结论，不把抽象系统结果直接等同于任一真实城市容量。</w:t>
      </w:r>
    </w:p>
    <w:p w14:paraId="2C3E4561">
      <w:pPr>
        <w:pStyle w:val="23"/>
        <w:ind w:firstLine="0" w:firstLineChars="0"/>
        <w:outlineLvl w:val="1"/>
      </w:pPr>
      <w:bookmarkStart w:id="61" w:name="_Toc4657"/>
      <w:bookmarkStart w:id="62" w:name="_Toc6120"/>
      <w:r>
        <w:rPr>
          <w:rFonts w:ascii="Times New Roman" w:hAnsi="Times New Roman" w:eastAsia="黑体" w:cs="Times New Roman"/>
          <w:b/>
          <w:bCs/>
          <w:sz w:val="28"/>
          <w:szCs w:val="28"/>
        </w:rPr>
        <w:t>8.3 结果稳定性与质量保证</w:t>
      </w:r>
      <w:bookmarkEnd w:id="61"/>
      <w:bookmarkEnd w:id="62"/>
    </w:p>
    <w:p w14:paraId="42CECE59">
      <w:pPr>
        <w:spacing w:before="0" w:after="0" w:line="360" w:lineRule="auto"/>
        <w:ind w:firstLine="420"/>
      </w:pPr>
      <w:r>
        <w:rPr>
          <w:rFonts w:ascii="Times New Roman" w:hAnsi="Times New Roman" w:eastAsia="宋体" w:cs="Times New Roman"/>
          <w:sz w:val="24"/>
          <w:szCs w:val="24"/>
        </w:rPr>
        <w:t>对核心结论开展三类稳定性检验：改变参数分布和相关结构，改变高温—干旱—需求峰值的时间排列，替换冷却方程和约束优先级。结论方向在多数扰动下一致则进入主要结论，只在狭窄参数区间成立则以适用域和边界条件表述。质量保证贯穿模型、数据和写作三个层面：模型层面实行单元测试、守恒测试、回归测试和版本标签；数据层面实行来源登记、单位统一、异常值说明和证据等级；写作层面实行研究问题—假设—方法—结果—限制逐项对应。</w:t>
      </w:r>
    </w:p>
    <w:p w14:paraId="0BE3BC36">
      <w:pPr>
        <w:pStyle w:val="22"/>
        <w:pageBreakBefore/>
        <w:ind w:firstLine="0" w:firstLineChars="0"/>
        <w:outlineLvl w:val="0"/>
      </w:pPr>
      <w:bookmarkStart w:id="63" w:name="_Toc29258"/>
      <w:bookmarkStart w:id="64" w:name="_Toc18255"/>
      <w:r>
        <w:rPr>
          <w:rFonts w:hint="eastAsia" w:cs="Times New Roman"/>
          <w:b/>
          <w:bCs/>
          <w:color w:val="000000"/>
          <w:sz w:val="30"/>
          <w:szCs w:val="30"/>
          <w:lang w:val="en-US" w:eastAsia="zh-CN"/>
        </w:rPr>
        <w:t>九、</w:t>
      </w:r>
      <w:r>
        <w:rPr>
          <w:rFonts w:ascii="Times New Roman" w:hAnsi="Times New Roman" w:eastAsia="黑体" w:cs="Times New Roman"/>
          <w:b/>
          <w:bCs/>
          <w:color w:val="000000"/>
          <w:sz w:val="30"/>
          <w:szCs w:val="30"/>
        </w:rPr>
        <w:t xml:space="preserve"> 参考文献</w:t>
      </w:r>
      <w:bookmarkEnd w:id="63"/>
      <w:bookmarkEnd w:id="64"/>
    </w:p>
    <w:p w14:paraId="2DA2B94E">
      <w:pPr>
        <w:spacing w:before="0" w:after="0" w:line="240" w:lineRule="auto"/>
        <w:ind w:left="420" w:hanging="420"/>
      </w:pPr>
      <w:r>
        <w:rPr>
          <w:rFonts w:ascii="Times New Roman" w:hAnsi="Times New Roman" w:eastAsia="宋体" w:cs="Times New Roman"/>
          <w:b w:val="0"/>
          <w:color w:val="000000"/>
          <w:sz w:val="24"/>
        </w:rPr>
        <w:t>[1] 国家发展改革委, 工业和信息化部, 国家能源局, 国家数据局. 数据中心绿色低碳发展专项行动计划[Z]. 发改环资〔2024〕970号, 2024.</w:t>
      </w:r>
    </w:p>
    <w:p w14:paraId="683D3B88">
      <w:pPr>
        <w:spacing w:before="0" w:after="0" w:line="240" w:lineRule="auto"/>
        <w:ind w:left="420" w:hanging="420"/>
      </w:pPr>
      <w:r>
        <w:rPr>
          <w:rFonts w:ascii="Times New Roman" w:hAnsi="Times New Roman" w:eastAsia="宋体" w:cs="Times New Roman"/>
          <w:b w:val="0"/>
          <w:color w:val="000000"/>
          <w:sz w:val="24"/>
        </w:rPr>
        <w:t>[2] International Energy Agency. Key Questions on Energy and AI[R]. Paris: IEA, 2026.</w:t>
      </w:r>
    </w:p>
    <w:p w14:paraId="079E8635">
      <w:pPr>
        <w:spacing w:before="0" w:after="0" w:line="240" w:lineRule="auto"/>
        <w:ind w:left="420" w:hanging="420"/>
      </w:pPr>
      <w:r>
        <w:rPr>
          <w:rFonts w:ascii="Times New Roman" w:hAnsi="Times New Roman" w:eastAsia="宋体" w:cs="Times New Roman"/>
          <w:b w:val="0"/>
          <w:color w:val="000000"/>
          <w:sz w:val="24"/>
        </w:rPr>
        <w:t>[3] International Energy Agency. Energy and AI[R]. Paris: IEA, 2025.</w:t>
      </w:r>
    </w:p>
    <w:p w14:paraId="331827A7">
      <w:pPr>
        <w:spacing w:before="0" w:after="0" w:line="240" w:lineRule="auto"/>
        <w:ind w:left="420" w:hanging="420"/>
      </w:pPr>
      <w:r>
        <w:rPr>
          <w:rFonts w:ascii="Times New Roman" w:hAnsi="Times New Roman" w:eastAsia="宋体" w:cs="Times New Roman"/>
          <w:b w:val="0"/>
          <w:color w:val="000000"/>
          <w:sz w:val="24"/>
        </w:rPr>
        <w:t>[4] Shehabi A, Smith S J, Hubbard A, Newkirk A, Lei N, Siddik M A B, et al. 2024 United States Data Center Energy Usage Report[R]. Berkeley: Lawrence Berkeley National Laboratory, 2024. DOI: 10.71468/P1WC7Q.</w:t>
      </w:r>
    </w:p>
    <w:p w14:paraId="6D51A629">
      <w:pPr>
        <w:spacing w:before="0" w:after="0" w:line="240" w:lineRule="auto"/>
        <w:ind w:left="420" w:hanging="420"/>
      </w:pPr>
      <w:r>
        <w:rPr>
          <w:rFonts w:ascii="Times New Roman" w:hAnsi="Times New Roman" w:eastAsia="宋体" w:cs="Times New Roman"/>
          <w:b w:val="0"/>
          <w:color w:val="000000"/>
          <w:sz w:val="24"/>
        </w:rPr>
        <w:t>[5] Masanet E, Shehabi A, Lei N, Smith S, Koomey J. Recalibrating global data center energy-use estimates[J]. Science, 2020, 367(6481): 984-986. DOI: 10.1126/science.aba3758.</w:t>
      </w:r>
    </w:p>
    <w:p w14:paraId="3666576E">
      <w:pPr>
        <w:spacing w:before="0" w:after="0" w:line="240" w:lineRule="auto"/>
        <w:ind w:left="420" w:hanging="420"/>
      </w:pPr>
      <w:r>
        <w:rPr>
          <w:rFonts w:ascii="Times New Roman" w:hAnsi="Times New Roman" w:eastAsia="宋体" w:cs="Times New Roman"/>
          <w:b w:val="0"/>
          <w:color w:val="000000"/>
          <w:sz w:val="24"/>
        </w:rPr>
        <w:t>[6] de Vries A. The growing energy footprint of artificial intelligence[J]. Joule, 2023, 7(10): 2191-2194. DOI: 10.1016/j.joule.2023.09.004.</w:t>
      </w:r>
    </w:p>
    <w:p w14:paraId="5F18F378">
      <w:pPr>
        <w:spacing w:before="0" w:after="0" w:line="240" w:lineRule="auto"/>
        <w:ind w:left="420" w:hanging="420"/>
      </w:pPr>
      <w:r>
        <w:rPr>
          <w:rFonts w:ascii="Times New Roman" w:hAnsi="Times New Roman" w:eastAsia="宋体" w:cs="Times New Roman"/>
          <w:b w:val="0"/>
          <w:color w:val="000000"/>
          <w:sz w:val="24"/>
        </w:rPr>
        <w:t>[7] Mytton D. Data centre water consumption[J]. npj Clean Water, 2021, 4: 11. DOI: 10.1038/s41545-021-00101-w.</w:t>
      </w:r>
    </w:p>
    <w:p w14:paraId="1CD19AFB">
      <w:pPr>
        <w:spacing w:before="0" w:after="0" w:line="240" w:lineRule="auto"/>
        <w:ind w:left="420" w:hanging="420"/>
      </w:pPr>
      <w:r>
        <w:rPr>
          <w:rFonts w:ascii="Times New Roman" w:hAnsi="Times New Roman" w:eastAsia="宋体" w:cs="Times New Roman"/>
          <w:b w:val="0"/>
          <w:color w:val="000000"/>
          <w:sz w:val="24"/>
        </w:rPr>
        <w:t>[8] Lei N, Lu J, Shehabi A, Masanet E R. The water use of data center workloads: A review and assessment of key determinants[J]. Resources, Conservation and Recycling, 2025, 219: 108310. DOI: 10.1016/j.resconrec.2025.108310.</w:t>
      </w:r>
    </w:p>
    <w:p w14:paraId="5A46F6EF">
      <w:pPr>
        <w:spacing w:before="0" w:after="0" w:line="240" w:lineRule="auto"/>
        <w:ind w:left="420" w:hanging="420"/>
      </w:pPr>
      <w:r>
        <w:rPr>
          <w:rFonts w:ascii="Times New Roman" w:hAnsi="Times New Roman" w:eastAsia="宋体" w:cs="Times New Roman"/>
          <w:b w:val="0"/>
          <w:color w:val="000000"/>
          <w:sz w:val="24"/>
        </w:rPr>
        <w:t>[9] Xiao T, Fuso Nerini F, Matthews H D, Tavoni M, You F. Environmental impact and net-zero pathways for sustainable artificial intelligence servers in the USA[J]. Nature Sustainability, 2025, 8: 1541-1553. DOI: 10.1038/s41893-025-01681-y.</w:t>
      </w:r>
    </w:p>
    <w:p w14:paraId="2A220B8A">
      <w:pPr>
        <w:spacing w:before="0" w:after="0" w:line="240" w:lineRule="auto"/>
        <w:ind w:left="420" w:hanging="420"/>
      </w:pPr>
      <w:r>
        <w:rPr>
          <w:rFonts w:ascii="Times New Roman" w:hAnsi="Times New Roman" w:eastAsia="宋体" w:cs="Times New Roman"/>
          <w:b w:val="0"/>
          <w:color w:val="000000"/>
          <w:sz w:val="24"/>
        </w:rPr>
        <w:t>[10] Jiang F, Duan C, Chen B. Facility-level energy-driven water footprint and scarcity implications of Chinese data centers: A bottom-up analysis and scenario-based projection[J]. Applied Energy, 2025, 399: 126522. DOI: 10.1016/j.apenergy.2025.126522.</w:t>
      </w:r>
    </w:p>
    <w:p w14:paraId="248272F1">
      <w:pPr>
        <w:spacing w:before="0" w:after="0" w:line="240" w:lineRule="auto"/>
        <w:ind w:left="420" w:hanging="420"/>
      </w:pPr>
      <w:r>
        <w:rPr>
          <w:rFonts w:ascii="Times New Roman" w:hAnsi="Times New Roman" w:eastAsia="宋体" w:cs="Times New Roman"/>
          <w:b w:val="0"/>
          <w:color w:val="000000"/>
          <w:sz w:val="24"/>
        </w:rPr>
        <w:t>[11] 北京市水务局. 北京市水资源公报（2024年度）[R]. 2025. https://swj.beijing.gov.cn/zwgk/szygb/</w:t>
      </w:r>
    </w:p>
    <w:p w14:paraId="1F92EC81">
      <w:pPr>
        <w:spacing w:before="0" w:after="0" w:line="240" w:lineRule="auto"/>
        <w:ind w:left="420" w:hanging="420"/>
      </w:pPr>
      <w:r>
        <w:rPr>
          <w:rFonts w:ascii="Times New Roman" w:hAnsi="Times New Roman" w:eastAsia="宋体" w:cs="Times New Roman"/>
          <w:b w:val="0"/>
          <w:color w:val="000000"/>
          <w:sz w:val="24"/>
        </w:rPr>
        <w:t>[12] 北京市水务局. 2024年北京市水务工作报告[R]. 2024. https://swj.beijing.gov.cn/zwgk/ghjhzj/202405/t20240521_3690638.html</w:t>
      </w:r>
    </w:p>
    <w:p w14:paraId="13B8CDF8">
      <w:pPr>
        <w:spacing w:before="0" w:after="0" w:line="240" w:lineRule="auto"/>
        <w:ind w:left="420" w:hanging="420"/>
      </w:pPr>
      <w:r>
        <w:rPr>
          <w:rFonts w:ascii="Times New Roman" w:hAnsi="Times New Roman" w:eastAsia="宋体" w:cs="Times New Roman"/>
          <w:b w:val="0"/>
          <w:color w:val="000000"/>
          <w:sz w:val="24"/>
        </w:rPr>
        <w:t>[13] 天津水文水资源. 2024年天津市水资源公报[R]. 2025. https://www.tjwater.net.cn/nd.jsp?fromColId=2&amp;id=1063</w:t>
      </w:r>
    </w:p>
    <w:p w14:paraId="480CA44C">
      <w:pPr>
        <w:spacing w:before="0" w:after="0" w:line="240" w:lineRule="auto"/>
        <w:ind w:left="420" w:hanging="420"/>
      </w:pPr>
      <w:r>
        <w:rPr>
          <w:rFonts w:ascii="Times New Roman" w:hAnsi="Times New Roman" w:eastAsia="宋体" w:cs="Times New Roman"/>
          <w:b w:val="0"/>
          <w:color w:val="000000"/>
          <w:sz w:val="24"/>
        </w:rPr>
        <w:t>[14] 贵州省水利厅. 2024年贵州省水资源公报[R]. 2026. https://gzswj.guizhou.gov.cn/swyw/szy/</w:t>
      </w:r>
    </w:p>
    <w:p w14:paraId="4D0D1697">
      <w:pPr>
        <w:spacing w:before="0" w:after="0" w:line="240" w:lineRule="auto"/>
        <w:ind w:left="420" w:hanging="420"/>
      </w:pPr>
      <w:r>
        <w:rPr>
          <w:rFonts w:ascii="Times New Roman" w:hAnsi="Times New Roman" w:eastAsia="宋体" w:cs="Times New Roman"/>
          <w:b w:val="0"/>
          <w:color w:val="000000"/>
          <w:sz w:val="24"/>
        </w:rPr>
        <w:t>[15] 北京市水务局. 本市去年用量达12.77亿立方米：再生水已成稳定的“第二水源”[EB/OL]. 2024. https://swj.beijing.gov.cn/swdt/swyw/202403/t20240325_3600506.html</w:t>
      </w:r>
    </w:p>
    <w:p w14:paraId="02547DF4">
      <w:pPr>
        <w:spacing w:before="0" w:after="0" w:line="240" w:lineRule="auto"/>
        <w:ind w:left="420" w:hanging="420"/>
      </w:pPr>
      <w:r>
        <w:rPr>
          <w:rFonts w:ascii="Times New Roman" w:hAnsi="Times New Roman" w:eastAsia="宋体" w:cs="Times New Roman"/>
          <w:b w:val="0"/>
          <w:color w:val="000000"/>
          <w:sz w:val="24"/>
        </w:rPr>
        <w:t>[16] Wolman A. The metabolism of cities[J]. Scientific American, 1965, 213(3): 178-190. DOI: 10.1038/scientificamerican0965-178.</w:t>
      </w:r>
    </w:p>
    <w:p w14:paraId="116DE03F">
      <w:pPr>
        <w:spacing w:before="0" w:after="0" w:line="240" w:lineRule="auto"/>
        <w:ind w:left="420" w:hanging="420"/>
      </w:pPr>
      <w:r>
        <w:rPr>
          <w:rFonts w:ascii="Times New Roman" w:hAnsi="Times New Roman" w:eastAsia="宋体" w:cs="Times New Roman"/>
          <w:b w:val="0"/>
          <w:color w:val="000000"/>
          <w:sz w:val="24"/>
        </w:rPr>
        <w:t>[17] Kennedy C, Cuddihy J, Engel-Yan J. The changing metabolism of cities[J]. Journal of Industrial Ecology, 2007, 11(2): 43-59. DOI: 10.1162/jie.2007.1107.</w:t>
      </w:r>
    </w:p>
    <w:p w14:paraId="021228AE">
      <w:pPr>
        <w:spacing w:before="0" w:after="0" w:line="240" w:lineRule="auto"/>
        <w:ind w:left="420" w:hanging="420"/>
      </w:pPr>
      <w:r>
        <w:rPr>
          <w:rFonts w:ascii="Times New Roman" w:hAnsi="Times New Roman" w:eastAsia="宋体" w:cs="Times New Roman"/>
          <w:b w:val="0"/>
          <w:color w:val="000000"/>
          <w:sz w:val="24"/>
        </w:rPr>
        <w:t>[18] Kennedy C, Pincetl S, Bunje P. The study of urban metabolism and its applications to urban planning and design[J]. Environmental Pollution, 2011, 159(8-9): 1965-1973. DOI: 10.1016/j.envpol.2010.10.022.</w:t>
      </w:r>
    </w:p>
    <w:p w14:paraId="376A4FEC">
      <w:pPr>
        <w:spacing w:before="0" w:after="0" w:line="240" w:lineRule="auto"/>
        <w:ind w:left="420" w:hanging="420"/>
      </w:pPr>
      <w:r>
        <w:rPr>
          <w:rFonts w:ascii="Times New Roman" w:hAnsi="Times New Roman" w:eastAsia="宋体" w:cs="Times New Roman"/>
          <w:b w:val="0"/>
          <w:color w:val="000000"/>
          <w:sz w:val="24"/>
        </w:rPr>
        <w:t>[19] Castán Broto V, Allen A, Rapoport E. Interdisciplinary perspectives on urban metabolism[J]. Journal of Industrial Ecology, 2012, 16(6): 851-861. DOI: 10.1111/j.1530-9290.2012.00556.x.</w:t>
      </w:r>
    </w:p>
    <w:p w14:paraId="0D51438A">
      <w:pPr>
        <w:spacing w:before="0" w:after="0" w:line="240" w:lineRule="auto"/>
        <w:ind w:left="420" w:hanging="420"/>
      </w:pPr>
      <w:r>
        <w:rPr>
          <w:rFonts w:ascii="Times New Roman" w:hAnsi="Times New Roman" w:eastAsia="宋体" w:cs="Times New Roman"/>
          <w:b w:val="0"/>
          <w:color w:val="000000"/>
          <w:sz w:val="24"/>
        </w:rPr>
        <w:t>[20] Behzadian K, Kapelan Z, Venkatesh G, Brattebø H, Sægrov S. WaterMet²: a tool for integrated analysis of sustainability-based performance of urban water systems[J]. Drinking Water Engineering and Science, 2014, 7: 63-72. DOI: 10.5194/dwes-7-63-2014.</w:t>
      </w:r>
    </w:p>
    <w:p w14:paraId="6B8C3891">
      <w:pPr>
        <w:spacing w:before="0" w:after="0" w:line="240" w:lineRule="auto"/>
        <w:ind w:left="420" w:hanging="420"/>
      </w:pPr>
      <w:r>
        <w:rPr>
          <w:rFonts w:ascii="Times New Roman" w:hAnsi="Times New Roman" w:eastAsia="宋体" w:cs="Times New Roman"/>
          <w:b w:val="0"/>
          <w:color w:val="000000"/>
          <w:sz w:val="24"/>
        </w:rPr>
        <w:t>[21] Behzadian K, Kapelan Z. Modelling metabolism based performance of an urban water system using WaterMet²[J]. Resources, Conservation and Recycling, 2015, 99: 84-99. DOI: 10.1016/j.resconrec.2015.03.015.</w:t>
      </w:r>
    </w:p>
    <w:p w14:paraId="47E48550">
      <w:pPr>
        <w:spacing w:before="0" w:after="0" w:line="240" w:lineRule="auto"/>
        <w:ind w:left="420" w:hanging="420"/>
      </w:pPr>
      <w:r>
        <w:rPr>
          <w:rFonts w:ascii="Times New Roman" w:hAnsi="Times New Roman" w:eastAsia="宋体" w:cs="Times New Roman"/>
          <w:b w:val="0"/>
          <w:color w:val="000000"/>
          <w:sz w:val="24"/>
        </w:rPr>
        <w:t>[22] Urich C, Rauch W. Modelling the urban water cycle as an integrated part of the city: a review[J]. Water Science and Technology, 2014, 70(11): 1857-1872. DOI: 10.2166/wst.2014.363.</w:t>
      </w:r>
    </w:p>
    <w:p w14:paraId="3F270E76">
      <w:pPr>
        <w:spacing w:before="0" w:after="0" w:line="240" w:lineRule="auto"/>
        <w:ind w:left="420" w:hanging="420"/>
      </w:pPr>
      <w:r>
        <w:rPr>
          <w:rFonts w:ascii="Times New Roman" w:hAnsi="Times New Roman" w:eastAsia="宋体" w:cs="Times New Roman"/>
          <w:b w:val="0"/>
          <w:color w:val="000000"/>
          <w:sz w:val="24"/>
        </w:rPr>
        <w:t>[23] Bach P M, Rauch W, Mikkelsen P S, McCarthy D T, Deletic A. A critical review of integrated urban water modelling—Urban drainage and beyond[J]. Environmental Modelling &amp; Software, 2014, 54: 88-107. DOI: 10.1016/j.envsoft.2013.12.018.</w:t>
      </w:r>
    </w:p>
    <w:p w14:paraId="6A3EF402">
      <w:pPr>
        <w:spacing w:before="0" w:after="0" w:line="240" w:lineRule="auto"/>
        <w:ind w:left="420" w:hanging="420"/>
      </w:pPr>
      <w:r>
        <w:rPr>
          <w:rFonts w:ascii="Times New Roman" w:hAnsi="Times New Roman" w:eastAsia="宋体" w:cs="Times New Roman"/>
          <w:b w:val="0"/>
          <w:color w:val="000000"/>
          <w:sz w:val="24"/>
        </w:rPr>
        <w:t>[24] Dobson B, Liu L, Mijic A. Modelling water quantity and quality for integrated water cycle management with the Water Systems Integrated Modelling framework (WSIMOD) software[J]. Geoscientific Model Development, 2024, 17: 4495-4513. DOI: 10.5194/gmd-17-4495-2024.</w:t>
      </w:r>
    </w:p>
    <w:p w14:paraId="48DA998E">
      <w:pPr>
        <w:spacing w:before="0" w:after="0" w:line="240" w:lineRule="auto"/>
        <w:ind w:left="420" w:hanging="420"/>
      </w:pPr>
      <w:r>
        <w:rPr>
          <w:rFonts w:ascii="Times New Roman" w:hAnsi="Times New Roman" w:eastAsia="宋体" w:cs="Times New Roman"/>
          <w:b w:val="0"/>
          <w:color w:val="000000"/>
          <w:sz w:val="24"/>
        </w:rPr>
        <w:t>[25] Nezami N, Zarghami M, Tizghadam M, Abbasi M. A novel hybrid systemic modeling into sustainable dynamic urban water metabolism management: Case study[J]. Sustainable Cities and Society, 2022, 85: 104065. DOI: 10.1016/j.scs.2022.104065.</w:t>
      </w:r>
    </w:p>
    <w:p w14:paraId="7D3E1D9A">
      <w:pPr>
        <w:spacing w:before="0" w:after="0" w:line="240" w:lineRule="auto"/>
        <w:ind w:left="420" w:hanging="420"/>
      </w:pPr>
      <w:r>
        <w:rPr>
          <w:rFonts w:ascii="Times New Roman" w:hAnsi="Times New Roman" w:eastAsia="宋体" w:cs="Times New Roman"/>
          <w:b w:val="0"/>
          <w:color w:val="000000"/>
          <w:sz w:val="24"/>
        </w:rPr>
        <w:t>[26] Emamjomehzadeh O, Kerachian R, Emami-Skardi M J, Momeni M. Combining urban metabolism and reinforcement learning concepts for sustainable water resources management: A nexus approach[J]. Journal of Environmental Management, 2023, 329: 117046. DOI: 10.1016/j.jenvman.2022.117046.</w:t>
      </w:r>
    </w:p>
    <w:p w14:paraId="088C6125">
      <w:pPr>
        <w:spacing w:before="0" w:after="0" w:line="240" w:lineRule="auto"/>
        <w:ind w:left="420" w:hanging="420"/>
      </w:pPr>
      <w:r>
        <w:rPr>
          <w:rFonts w:ascii="Times New Roman" w:hAnsi="Times New Roman" w:eastAsia="宋体" w:cs="Times New Roman"/>
          <w:b w:val="0"/>
          <w:color w:val="000000"/>
          <w:sz w:val="24"/>
        </w:rPr>
        <w:t>[27] House-Peters L A, Chang H. Urban water demand modeling: Review of concepts, methods, and organizing principles[J]. Water Resources Research, 2011, 47(5): W05401. DOI: 10.1029/2010WR009624.</w:t>
      </w:r>
    </w:p>
    <w:p w14:paraId="51442F3A">
      <w:pPr>
        <w:spacing w:before="0" w:after="0" w:line="240" w:lineRule="auto"/>
        <w:ind w:left="420" w:hanging="420"/>
      </w:pPr>
      <w:r>
        <w:rPr>
          <w:rFonts w:ascii="Times New Roman" w:hAnsi="Times New Roman" w:eastAsia="宋体" w:cs="Times New Roman"/>
          <w:b w:val="0"/>
          <w:color w:val="000000"/>
          <w:sz w:val="24"/>
        </w:rPr>
        <w:t>[28] Kenway S J, Lant P A, Priestley A, Daniels P. The connection between water and energy in cities: a review[J]. Water Science and Technology, 2011, 63(9): 1983-1990. DOI: 10.2166/wst.2011.070.</w:t>
      </w:r>
    </w:p>
    <w:p w14:paraId="0FE2A12E">
      <w:pPr>
        <w:spacing w:before="0" w:after="0" w:line="240" w:lineRule="auto"/>
        <w:ind w:left="420" w:hanging="420"/>
      </w:pPr>
      <w:r>
        <w:rPr>
          <w:rFonts w:ascii="Times New Roman" w:hAnsi="Times New Roman" w:eastAsia="宋体" w:cs="Times New Roman"/>
          <w:b w:val="0"/>
          <w:color w:val="000000"/>
          <w:sz w:val="24"/>
        </w:rPr>
        <w:t>[29] Kenway S J, Binks A, Lane J, Lant P A, Lam K L, Simms A. A systemic framework and analysis of urban water energy[J]. Environmental Modelling &amp; Software, 2015, 73: 272-285. DOI: 10.1016/j.envsoft.2015.08.009.</w:t>
      </w:r>
    </w:p>
    <w:p w14:paraId="7A0AA2D6">
      <w:pPr>
        <w:spacing w:before="0" w:after="0" w:line="240" w:lineRule="auto"/>
        <w:ind w:left="420" w:hanging="420"/>
      </w:pPr>
      <w:r>
        <w:rPr>
          <w:rFonts w:ascii="Times New Roman" w:hAnsi="Times New Roman" w:eastAsia="宋体" w:cs="Times New Roman"/>
          <w:b w:val="0"/>
          <w:color w:val="000000"/>
          <w:sz w:val="24"/>
        </w:rPr>
        <w:t>[30] Nair S, George B, Malano H M, Arora M, Nawarathna B. Water–energy–greenhouse gas nexus of urban water systems: Review of concepts, state-of-art and methods[J]. Resources, Conservation and Recycling, 2014, 89: 1-10. DOI: 10.1016/j.resconrec.2014.05.007.</w:t>
      </w:r>
    </w:p>
    <w:p w14:paraId="204C6022">
      <w:pPr>
        <w:spacing w:before="0" w:after="0" w:line="240" w:lineRule="auto"/>
        <w:ind w:left="420" w:hanging="420"/>
      </w:pPr>
      <w:r>
        <w:rPr>
          <w:rFonts w:ascii="Times New Roman" w:hAnsi="Times New Roman" w:eastAsia="宋体" w:cs="Times New Roman"/>
          <w:b w:val="0"/>
          <w:color w:val="000000"/>
          <w:sz w:val="24"/>
        </w:rPr>
        <w:t>[31] Lee M, Keller A A, Chiang P C, Den W, Wang H, Hou C H, et al. Water-energy nexus for urban water systems: A comparative review on energy intensity and environmental impacts in relation to global water risks[J]. Applied Energy, 2017, 205: 589-601. DOI: 10.1016/j.apenergy.2017.08.002.</w:t>
      </w:r>
    </w:p>
    <w:p w14:paraId="223FFE3F">
      <w:pPr>
        <w:spacing w:before="0" w:after="0" w:line="240" w:lineRule="auto"/>
        <w:ind w:left="420" w:hanging="420"/>
      </w:pPr>
      <w:r>
        <w:rPr>
          <w:rFonts w:ascii="Times New Roman" w:hAnsi="Times New Roman" w:eastAsia="宋体" w:cs="Times New Roman"/>
          <w:b w:val="0"/>
          <w:color w:val="000000"/>
          <w:sz w:val="24"/>
        </w:rPr>
        <w:t>[32] Stokes J R, Horvath A. Energy and air emission effects of water supply[J]. Environmental Science &amp; Technology, 2009, 43(8): 2680-2687. DOI: 10.1021/es801802h.</w:t>
      </w:r>
    </w:p>
    <w:p w14:paraId="1B8B3004">
      <w:pPr>
        <w:spacing w:before="0" w:after="0" w:line="240" w:lineRule="auto"/>
        <w:ind w:left="420" w:hanging="420"/>
      </w:pPr>
      <w:r>
        <w:rPr>
          <w:rFonts w:ascii="Times New Roman" w:hAnsi="Times New Roman" w:eastAsia="宋体" w:cs="Times New Roman"/>
          <w:b w:val="0"/>
          <w:color w:val="000000"/>
          <w:sz w:val="24"/>
        </w:rPr>
        <w:t>[33] Alissa H, Nick T, Raniwala A, et al. Using life cycle assessment to drive innovation for sustainable cool clouds[J]. Nature, 2025, 641: 331-338. DOI: 10.1038/s41586-025-08832-3.</w:t>
      </w:r>
    </w:p>
    <w:p w14:paraId="1721DFEE">
      <w:pPr>
        <w:spacing w:before="0" w:after="0" w:line="240" w:lineRule="auto"/>
        <w:ind w:left="420" w:hanging="420"/>
      </w:pPr>
      <w:r>
        <w:rPr>
          <w:rFonts w:ascii="Times New Roman" w:hAnsi="Times New Roman" w:eastAsia="宋体" w:cs="Times New Roman"/>
          <w:b w:val="0"/>
          <w:color w:val="000000"/>
          <w:sz w:val="24"/>
        </w:rPr>
        <w:t>[34] Strubell E, Ganesh A, McCallum A. Energy and policy considerations for deep learning in NLP[C]//Proceedings of the 57th Annual Meeting of the Association for Computational Linguistics. Florence: ACL, 2019: 3645-3650. DOI: 10.18653/v1/P19-1355.</w:t>
      </w:r>
    </w:p>
    <w:p w14:paraId="60F8EE6E">
      <w:pPr>
        <w:spacing w:before="0" w:after="0" w:line="240" w:lineRule="auto"/>
        <w:ind w:left="420" w:hanging="420"/>
      </w:pPr>
      <w:r>
        <w:rPr>
          <w:rFonts w:ascii="Times New Roman" w:hAnsi="Times New Roman" w:eastAsia="宋体" w:cs="Times New Roman"/>
          <w:b w:val="0"/>
          <w:color w:val="000000"/>
          <w:sz w:val="24"/>
        </w:rPr>
        <w:t>[35] Henderson P, Hu J, Romoff J, Brunskill E, Jurafsky D, Pineau J. Towards the systematic reporting of the energy and carbon footprints of machine learning[J]. Journal of Machine Learning Research, 2020, 21(248): 1-43.</w:t>
      </w:r>
    </w:p>
    <w:p w14:paraId="3B863CF5">
      <w:pPr>
        <w:spacing w:before="0" w:after="0" w:line="240" w:lineRule="auto"/>
        <w:ind w:left="420" w:hanging="420"/>
      </w:pPr>
      <w:r>
        <w:rPr>
          <w:rFonts w:ascii="Times New Roman" w:hAnsi="Times New Roman" w:eastAsia="宋体" w:cs="Times New Roman"/>
          <w:b w:val="0"/>
          <w:color w:val="000000"/>
          <w:sz w:val="24"/>
        </w:rPr>
        <w:t>[36] Lannelongue L, Grealey J, Inouye M. Green Algorithms: Quantifying the carbon footprint of computation[J]. Advanced Science, 2021, 8(12): 2100707. DOI: 10.1002/advs.202100707.</w:t>
      </w:r>
    </w:p>
    <w:p w14:paraId="6A44D311">
      <w:pPr>
        <w:spacing w:before="0" w:after="0" w:line="240" w:lineRule="auto"/>
        <w:ind w:left="420" w:hanging="420"/>
      </w:pPr>
      <w:r>
        <w:rPr>
          <w:rFonts w:ascii="Times New Roman" w:hAnsi="Times New Roman" w:eastAsia="宋体" w:cs="Times New Roman"/>
          <w:b w:val="0"/>
          <w:color w:val="000000"/>
          <w:sz w:val="24"/>
        </w:rPr>
        <w:t>[37] Schwartz R, Dodge J, Smith N A, Etzioni O. Green AI[J]. Communications of the ACM, 2020, 63(12): 54-63. DOI: 10.1145/3381831.</w:t>
      </w:r>
    </w:p>
    <w:p w14:paraId="521316E9">
      <w:pPr>
        <w:spacing w:before="0" w:after="0" w:line="240" w:lineRule="auto"/>
        <w:ind w:left="420" w:hanging="420"/>
      </w:pPr>
      <w:r>
        <w:rPr>
          <w:rFonts w:ascii="Times New Roman" w:hAnsi="Times New Roman" w:eastAsia="宋体" w:cs="Times New Roman"/>
          <w:b w:val="0"/>
          <w:color w:val="000000"/>
          <w:sz w:val="24"/>
        </w:rPr>
        <w:t>[38] Patterson D, Gonzalez J, Hölzle U, Le Q, Liang C, Munguia L M, et al. The carbon footprint of machine learning training will plateau, then shrink[J]. Computer, 2022, 55(7): 18-28. DOI: 10.1109/MC.2022.3148714.</w:t>
      </w:r>
    </w:p>
    <w:p w14:paraId="493021B9">
      <w:pPr>
        <w:spacing w:before="0" w:after="0" w:line="240" w:lineRule="auto"/>
        <w:ind w:left="420" w:hanging="420"/>
      </w:pPr>
      <w:r>
        <w:rPr>
          <w:rFonts w:ascii="Times New Roman" w:hAnsi="Times New Roman" w:eastAsia="宋体" w:cs="Times New Roman"/>
          <w:b w:val="0"/>
          <w:color w:val="000000"/>
          <w:sz w:val="24"/>
        </w:rPr>
        <w:t>[39] Luccioni A S, Viguier S, Ligozat A L. Estimating the carbon footprint of BLOOM, a 176B parameter language model[J]. Journal of Machine Learning Research, 2023, 24(253): 1-15.</w:t>
      </w:r>
    </w:p>
    <w:p w14:paraId="762A545D">
      <w:pPr>
        <w:spacing w:before="0" w:after="0" w:line="240" w:lineRule="auto"/>
        <w:ind w:left="420" w:hanging="420"/>
      </w:pPr>
      <w:r>
        <w:rPr>
          <w:rFonts w:ascii="Times New Roman" w:hAnsi="Times New Roman" w:eastAsia="宋体" w:cs="Times New Roman"/>
          <w:b w:val="0"/>
          <w:color w:val="000000"/>
          <w:sz w:val="24"/>
        </w:rPr>
        <w:t>[40] Luccioni A S, Jernite Y, Strubell E. Power hungry processing: Watts driving the cost of AI deployment?[C]//Proceedings of the 2024 ACM Conference on Fairness, Accountability, and Transparency. New York: ACM, 2024: 85-99. DOI: 10.1145/3630106.3658542.</w:t>
      </w:r>
    </w:p>
    <w:p w14:paraId="3CD32609">
      <w:pPr>
        <w:spacing w:before="0" w:after="0" w:line="240" w:lineRule="auto"/>
        <w:ind w:left="420" w:hanging="420"/>
      </w:pPr>
      <w:r>
        <w:rPr>
          <w:rFonts w:ascii="Times New Roman" w:hAnsi="Times New Roman" w:eastAsia="宋体" w:cs="Times New Roman"/>
          <w:b w:val="0"/>
          <w:color w:val="000000"/>
          <w:sz w:val="24"/>
        </w:rPr>
        <w:t>[41] Wang P, Zhang L Y, Tzachor A, Chen W Q. E-waste challenges of generative artificial intelligence[J]. Nature Computational Science, 2024, 4: 818-823. DOI: 10.1038/s43588-024-00712-6.</w:t>
      </w:r>
    </w:p>
    <w:p w14:paraId="423BF03C">
      <w:pPr>
        <w:spacing w:before="0" w:after="0" w:line="240" w:lineRule="auto"/>
        <w:ind w:left="420" w:hanging="420"/>
      </w:pPr>
      <w:r>
        <w:rPr>
          <w:rFonts w:ascii="Times New Roman" w:hAnsi="Times New Roman" w:eastAsia="宋体" w:cs="Times New Roman"/>
          <w:b w:val="0"/>
          <w:color w:val="000000"/>
          <w:sz w:val="24"/>
        </w:rPr>
        <w:t>[42] Li P, Yang J, Islam M A, Ren S. Making AI Less “Thirsty”: Uncovering and addressing the secret water footprint of AI models[J]. Communications of the ACM, 2025, 68(7): 54-61. DOI: 10.1145/3724499.</w:t>
      </w:r>
    </w:p>
    <w:p w14:paraId="0CF24410">
      <w:pPr>
        <w:spacing w:before="0" w:after="0" w:line="240" w:lineRule="auto"/>
        <w:ind w:left="420" w:hanging="420"/>
      </w:pPr>
      <w:r>
        <w:rPr>
          <w:rFonts w:ascii="Times New Roman" w:hAnsi="Times New Roman" w:eastAsia="宋体" w:cs="Times New Roman"/>
          <w:b w:val="0"/>
          <w:color w:val="000000"/>
          <w:sz w:val="24"/>
        </w:rPr>
        <w:t>[43] Herrera M, Xie X, Menapace A, Zanfei A, Brentan B M. Sustainable AI infrastructure: A scenario-based forecast of water footprint under uncertainty[J]. Journal of Cleaner Production, 2025, 526: 146528. DOI: 10.1016/j.jclepro.2025.146528.</w:t>
      </w:r>
    </w:p>
    <w:p w14:paraId="04F3AA22">
      <w:pPr>
        <w:spacing w:before="0" w:after="0" w:line="240" w:lineRule="auto"/>
        <w:ind w:left="420" w:hanging="420"/>
      </w:pPr>
      <w:r>
        <w:rPr>
          <w:rFonts w:ascii="Times New Roman" w:hAnsi="Times New Roman" w:eastAsia="宋体" w:cs="Times New Roman"/>
          <w:b w:val="0"/>
          <w:color w:val="000000"/>
          <w:sz w:val="24"/>
        </w:rPr>
        <w:t>[44] Han Y, Li P, Wierman A, Ren S. Small Bottle, Big Pipe: Quantifying and Addressing the Impact of Data Centers on Public Water Systems[EB/OL]. arXiv:2603.02705, 2026. DOI: 10.48550/arXiv.2603.02705. （预印本）</w:t>
      </w:r>
    </w:p>
    <w:p w14:paraId="68AA9A0B">
      <w:pPr>
        <w:spacing w:before="0" w:after="0" w:line="240" w:lineRule="auto"/>
        <w:ind w:left="420" w:hanging="420"/>
      </w:pPr>
      <w:r>
        <w:rPr>
          <w:rFonts w:ascii="Times New Roman" w:hAnsi="Times New Roman" w:eastAsia="宋体" w:cs="Times New Roman"/>
          <w:b w:val="0"/>
          <w:color w:val="000000"/>
          <w:sz w:val="24"/>
        </w:rPr>
        <w:t>[45] Akinade B A, Amanambu A C, Frame J M, Ren S. AI Data Centers and the Water Use Feedback Loop[EB/OL]. arXiv:2606.21760, 2026. DOI: 10.48550/arXiv.2606.21760. （预印本）</w:t>
      </w:r>
    </w:p>
    <w:p w14:paraId="3DFB3676">
      <w:pPr>
        <w:spacing w:before="0" w:after="0" w:line="240" w:lineRule="auto"/>
        <w:ind w:left="420" w:hanging="420"/>
      </w:pPr>
      <w:r>
        <w:rPr>
          <w:rFonts w:ascii="Times New Roman" w:hAnsi="Times New Roman" w:eastAsia="宋体" w:cs="Times New Roman"/>
          <w:b w:val="0"/>
          <w:color w:val="000000"/>
          <w:sz w:val="24"/>
        </w:rPr>
        <w:t>[46] Wang A, Zhang C, Xu T, Savić D, Jiang J, Xiao P, et al. Global data–water symbiosis reduces AI infrastructure’s carbon and water footprint[J]. Environmental Science and Ecotechnology, 2026, 31: 100702. DOI: 10.1016/j.ese.2026.100702.</w:t>
      </w:r>
    </w:p>
    <w:p w14:paraId="7AAACFC0">
      <w:pPr>
        <w:spacing w:before="0" w:after="0" w:line="240" w:lineRule="auto"/>
        <w:ind w:left="420" w:hanging="420"/>
      </w:pPr>
      <w:r>
        <w:rPr>
          <w:rFonts w:ascii="Times New Roman" w:hAnsi="Times New Roman" w:eastAsia="宋体" w:cs="Times New Roman"/>
          <w:b w:val="0"/>
          <w:color w:val="000000"/>
          <w:sz w:val="24"/>
        </w:rPr>
        <w:t>[47] Ebrahimi K, Jones G F, Fleischer A S. A review of data center cooling technology, operating conditions and the corresponding low-grade waste heat recovery opportunities[J]. Renewable and Sustainable Energy Reviews, 2014, 31: 622-638. DOI: 10.1016/j.rser.2013.12.007.</w:t>
      </w:r>
    </w:p>
    <w:p w14:paraId="024EC905">
      <w:pPr>
        <w:spacing w:before="0" w:after="0" w:line="240" w:lineRule="auto"/>
        <w:ind w:left="420" w:hanging="420"/>
      </w:pPr>
      <w:r>
        <w:rPr>
          <w:rFonts w:ascii="Times New Roman" w:hAnsi="Times New Roman" w:eastAsia="宋体" w:cs="Times New Roman"/>
          <w:b w:val="0"/>
          <w:color w:val="000000"/>
          <w:sz w:val="24"/>
        </w:rPr>
        <w:t>[48] Zhang H, Shao S, Xu H, Zou H, Tian C. Free cooling of data centers: A review[J]. Renewable and Sustainable Energy Reviews, 2014, 35: 171-182. DOI: 10.1016/j.rser.2014.04.017.</w:t>
      </w:r>
    </w:p>
    <w:p w14:paraId="2F86C596">
      <w:pPr>
        <w:spacing w:before="0" w:after="0" w:line="240" w:lineRule="auto"/>
        <w:ind w:left="420" w:hanging="420"/>
      </w:pPr>
      <w:r>
        <w:rPr>
          <w:rFonts w:ascii="Times New Roman" w:hAnsi="Times New Roman" w:eastAsia="宋体" w:cs="Times New Roman"/>
          <w:b w:val="0"/>
          <w:color w:val="000000"/>
          <w:sz w:val="24"/>
        </w:rPr>
        <w:t>[49] Daraghmeh H M, Wang C C. A review of current status of free cooling in datacenters[J]. Applied Thermal Engineering, 2017, 114: 1224-1239. DOI: 10.1016/j.applthermaleng.2016.10.093.</w:t>
      </w:r>
    </w:p>
    <w:p w14:paraId="0D45DAF9">
      <w:pPr>
        <w:spacing w:before="0" w:after="0" w:line="240" w:lineRule="auto"/>
        <w:ind w:left="420" w:hanging="420"/>
      </w:pPr>
      <w:r>
        <w:rPr>
          <w:rFonts w:ascii="Times New Roman" w:hAnsi="Times New Roman" w:eastAsia="宋体" w:cs="Times New Roman"/>
          <w:b w:val="0"/>
          <w:color w:val="000000"/>
          <w:sz w:val="24"/>
        </w:rPr>
        <w:t>[50] Yuan X, Zhou X, Pan Y, Kosonen R, Cai H, Gao Y, Wang Y. Phase change cooling in data centers: A review[J]. Energy and Buildings, 2021, 236: 110764. DOI: 10.1016/j.enbuild.2021.110764.</w:t>
      </w:r>
    </w:p>
    <w:p w14:paraId="7B7A559F">
      <w:pPr>
        <w:spacing w:before="0" w:after="0" w:line="240" w:lineRule="auto"/>
        <w:ind w:left="420" w:hanging="420"/>
      </w:pPr>
      <w:r>
        <w:rPr>
          <w:rFonts w:ascii="Times New Roman" w:hAnsi="Times New Roman" w:eastAsia="宋体" w:cs="Times New Roman"/>
          <w:b w:val="0"/>
          <w:color w:val="000000"/>
          <w:sz w:val="24"/>
        </w:rPr>
        <w:t>[51] Zhang Y, Zhao Y, Dai S, Nie B, Ma H, Li J, et al. Cooling technologies for data centres and telecommunication base stations—A comprehensive review[J]. Journal of Cleaner Production, 2022, 334: 130280. DOI: 10.1016/j.jclepro.2021.130280.</w:t>
      </w:r>
    </w:p>
    <w:p w14:paraId="72F714B0">
      <w:pPr>
        <w:spacing w:before="0" w:after="0" w:line="240" w:lineRule="auto"/>
        <w:ind w:left="420" w:hanging="420"/>
      </w:pPr>
      <w:r>
        <w:rPr>
          <w:rFonts w:ascii="Times New Roman" w:hAnsi="Times New Roman" w:eastAsia="宋体" w:cs="Times New Roman"/>
          <w:b w:val="0"/>
          <w:color w:val="000000"/>
          <w:sz w:val="24"/>
        </w:rPr>
        <w:t>[52] Chen H, Li D. Current status and challenges for liquid-cooled data centers[J]. Frontiers in Energy Research, 2022, 10: 952680. DOI: 10.3389/fenrg.2022.952680.</w:t>
      </w:r>
    </w:p>
    <w:p w14:paraId="407BA92F">
      <w:pPr>
        <w:spacing w:before="0" w:after="0" w:line="240" w:lineRule="auto"/>
        <w:ind w:left="420" w:hanging="420"/>
      </w:pPr>
      <w:r>
        <w:rPr>
          <w:rFonts w:ascii="Times New Roman" w:hAnsi="Times New Roman" w:eastAsia="宋体" w:cs="Times New Roman"/>
          <w:b w:val="0"/>
          <w:color w:val="000000"/>
          <w:sz w:val="24"/>
        </w:rPr>
        <w:t>[53] Hashimoto T, Stedinger J R, Loucks D P. Reliability, resiliency, and vulnerability criteria for water resource system performance evaluation[J]. Water Resources Research, 1982, 18(1): 14-20. DOI: 10.1029/WR018i001p00014.</w:t>
      </w:r>
    </w:p>
    <w:p w14:paraId="2CD28000">
      <w:pPr>
        <w:spacing w:before="0" w:after="0" w:line="240" w:lineRule="auto"/>
        <w:ind w:left="420" w:hanging="420"/>
      </w:pPr>
      <w:r>
        <w:rPr>
          <w:rFonts w:ascii="Times New Roman" w:hAnsi="Times New Roman" w:eastAsia="宋体" w:cs="Times New Roman"/>
          <w:b w:val="0"/>
          <w:color w:val="000000"/>
          <w:sz w:val="24"/>
        </w:rPr>
        <w:t>[54] Mortazavi-Naeini M, Kuczera G, Kiem A S, Cui L, Henley B, Berghout B, Turner E. Robust optimization to secure urban bulk water supply against extreme drought and uncertain climate change[J]. Environmental Modelling &amp; Software, 2015, 69: 437-451. DOI: 10.1016/j.envsoft.2015.02.021.</w:t>
      </w:r>
    </w:p>
    <w:p w14:paraId="731EF9AB">
      <w:pPr>
        <w:spacing w:before="0" w:after="0" w:line="240" w:lineRule="auto"/>
        <w:ind w:left="420" w:hanging="420"/>
      </w:pPr>
      <w:r>
        <w:rPr>
          <w:rFonts w:ascii="Times New Roman" w:hAnsi="Times New Roman" w:eastAsia="宋体" w:cs="Times New Roman"/>
          <w:b w:val="0"/>
          <w:color w:val="000000"/>
          <w:sz w:val="24"/>
        </w:rPr>
        <w:t>[55] Lempert R J, Groves D G. Identifying and evaluating robust adaptive policy responses to climate change for water management agencies in the American West[J]. Technological Forecasting and Social Change, 2010, 77(6): 960-974. DOI: 10.1016/j.techfore.2010.04.007.</w:t>
      </w:r>
    </w:p>
    <w:p w14:paraId="59E75948">
      <w:pPr>
        <w:spacing w:before="0" w:after="0" w:line="240" w:lineRule="auto"/>
        <w:ind w:left="420" w:hanging="420"/>
      </w:pPr>
      <w:r>
        <w:rPr>
          <w:rFonts w:ascii="Times New Roman" w:hAnsi="Times New Roman" w:eastAsia="宋体" w:cs="Times New Roman"/>
          <w:b w:val="0"/>
          <w:color w:val="000000"/>
          <w:sz w:val="24"/>
        </w:rPr>
        <w:t>[56] Haasnoot M, Kwakkel J H, Walker W E, ter Maat J. Dynamic adaptive policy pathways: A method for crafting robust decisions for a deeply uncertain world[J]. Global Environmental Change, 2013, 23(2): 485-498. DOI: 10.1016/j.gloenvcha.2012.12.006.</w:t>
      </w:r>
    </w:p>
    <w:p w14:paraId="7A388BC2">
      <w:pPr>
        <w:spacing w:before="0" w:after="0" w:line="240" w:lineRule="auto"/>
        <w:ind w:left="420" w:hanging="420"/>
      </w:pPr>
      <w:r>
        <w:rPr>
          <w:rFonts w:ascii="Times New Roman" w:hAnsi="Times New Roman" w:eastAsia="宋体" w:cs="Times New Roman"/>
          <w:b w:val="0"/>
          <w:color w:val="000000"/>
          <w:sz w:val="24"/>
        </w:rPr>
        <w:t>[57] Kwakkel J H, Haasnoot M, Walker W E. Developing dynamic adaptive policy pathways: A computer-assisted approach for developing adaptive strategies for a deeply uncertain world[J]. Climatic Change, 2015, 132(3): 373-386. DOI: 10.1007/s10584-014-1210-4.</w:t>
      </w:r>
    </w:p>
    <w:p w14:paraId="54F19AF2">
      <w:pPr>
        <w:spacing w:before="0" w:after="0" w:line="240" w:lineRule="auto"/>
        <w:ind w:left="420" w:hanging="420"/>
      </w:pPr>
      <w:r>
        <w:rPr>
          <w:rFonts w:ascii="Times New Roman" w:hAnsi="Times New Roman" w:eastAsia="宋体" w:cs="Times New Roman"/>
          <w:b w:val="0"/>
          <w:color w:val="000000"/>
          <w:sz w:val="24"/>
        </w:rPr>
        <w:t>[58] Sadr S M K, Casal-Campos A, Fu G, Farmani R, Ward S, Butler D. Strategic planning of the integrated urban wastewater system using adaptation pathways[J]. Water Research, 2020, 182: 116013. DOI: 10.1016/j.watres.2020.116013.</w:t>
      </w:r>
    </w:p>
    <w:p w14:paraId="4718391B">
      <w:pPr>
        <w:spacing w:before="0" w:after="0" w:line="240" w:lineRule="auto"/>
        <w:ind w:left="420" w:hanging="420"/>
      </w:pPr>
      <w:r>
        <w:rPr>
          <w:rFonts w:ascii="Times New Roman" w:hAnsi="Times New Roman" w:eastAsia="宋体" w:cs="Times New Roman"/>
          <w:b w:val="0"/>
          <w:color w:val="000000"/>
          <w:sz w:val="24"/>
        </w:rPr>
        <w:t>[59] Deb K, Pratap A, Agarwal S, Meyarivan T. A fast and elitist multiobjective genetic algorithm: NSGA-II[J]. IEEE Transactions on Evolutionary Computation, 2002, 6(2): 182-197. DOI: 10.1109/4235.996017.</w:t>
      </w:r>
    </w:p>
    <w:p w14:paraId="2E78E4D2">
      <w:pPr>
        <w:spacing w:before="0" w:after="0" w:line="240" w:lineRule="auto"/>
        <w:ind w:left="420" w:hanging="420"/>
      </w:pPr>
      <w:r>
        <w:rPr>
          <w:rFonts w:ascii="Times New Roman" w:hAnsi="Times New Roman" w:eastAsia="宋体" w:cs="Times New Roman"/>
          <w:b w:val="0"/>
          <w:color w:val="000000"/>
          <w:sz w:val="24"/>
        </w:rPr>
        <w:t>[60] 段春青, 刘昌明, 陈晓楠, 柳文华, 郑红星. 区域水资源承载力概念及研究方法的探讨[J]. 地理学报, 2010, 65(1): 82-90. DOI: 10.11821/xb201001009.</w:t>
      </w:r>
    </w:p>
    <w:p w14:paraId="15D091A8">
      <w:pPr>
        <w:spacing w:before="0" w:after="0" w:line="240" w:lineRule="auto"/>
        <w:ind w:left="420" w:hanging="420"/>
      </w:pPr>
      <w:r>
        <w:rPr>
          <w:rFonts w:ascii="Times New Roman" w:hAnsi="Times New Roman" w:eastAsia="宋体" w:cs="Times New Roman"/>
          <w:b w:val="0"/>
          <w:color w:val="000000"/>
          <w:sz w:val="24"/>
        </w:rPr>
        <w:t>[61] Qin G, Li H, Wang X, Ding J. Research on water resources design carrying capacity[J]. Water, 2016, 8(4): 157. DOI: 10.3390/w8040157.</w:t>
      </w:r>
    </w:p>
    <w:p w14:paraId="4E3804AA">
      <w:pPr>
        <w:spacing w:before="0" w:after="0" w:line="240" w:lineRule="auto"/>
        <w:ind w:left="420" w:hanging="420"/>
      </w:pPr>
      <w:r>
        <w:rPr>
          <w:rFonts w:ascii="Times New Roman" w:hAnsi="Times New Roman" w:eastAsia="宋体" w:cs="Times New Roman"/>
          <w:b w:val="0"/>
          <w:color w:val="000000"/>
          <w:sz w:val="24"/>
        </w:rPr>
        <w:t>[62] Feng L H, Zhang X C, Luo G Y. Application of system dynamics in analyzing the carrying capacity of water resources in Yiwu City, China[J]. Mathematics and Computers in Simulation, 2008, 79(3): 269-278. DOI: 10.1016/j.matcom.2007.11.018.</w:t>
      </w:r>
    </w:p>
    <w:p w14:paraId="4F167466">
      <w:pPr>
        <w:spacing w:before="0" w:after="0" w:line="240" w:lineRule="auto"/>
        <w:ind w:left="420" w:hanging="420"/>
      </w:pPr>
      <w:r>
        <w:rPr>
          <w:rFonts w:ascii="Times New Roman" w:hAnsi="Times New Roman" w:eastAsia="宋体" w:cs="Times New Roman"/>
          <w:b w:val="0"/>
          <w:color w:val="000000"/>
          <w:sz w:val="24"/>
        </w:rPr>
        <w:t>[63] Wang X J, Zhang J Y, Liu J F, Wang G Q, He R M, Elmahdi A, Elsawah S. Water resources planning and management based on system dynamics: A case study of Yulin city[J]. Environment, Development and Sustainability, 2011, 13(2): 331-351. DOI: 10.1007/s10668-010-9264-6.</w:t>
      </w:r>
    </w:p>
    <w:p w14:paraId="28D91A73">
      <w:pPr>
        <w:spacing w:before="0" w:after="0" w:line="240" w:lineRule="auto"/>
        <w:ind w:left="420" w:hanging="420"/>
      </w:pPr>
      <w:r>
        <w:rPr>
          <w:rFonts w:ascii="Times New Roman" w:hAnsi="Times New Roman" w:eastAsia="宋体" w:cs="Times New Roman"/>
          <w:b w:val="0"/>
          <w:color w:val="000000"/>
          <w:sz w:val="24"/>
        </w:rPr>
        <w:t>[64] Wang G, Xiao C, Qi Z, Meng F, Liang X. Development tendency analysis for the water resource carrying capacity based on system dynamics model and the improved fuzzy comprehensive evaluation method in Changchun City, China[J]. Ecological Indicators, 2021, 122: 107232. DOI: 10.1016/j.ecolind.2020.107232.</w:t>
      </w:r>
    </w:p>
    <w:p w14:paraId="062C4F1A">
      <w:pPr>
        <w:spacing w:before="0" w:after="0" w:line="240" w:lineRule="auto"/>
        <w:ind w:left="420" w:hanging="420"/>
      </w:pPr>
      <w:r>
        <w:rPr>
          <w:rFonts w:ascii="Times New Roman" w:hAnsi="Times New Roman" w:eastAsia="宋体" w:cs="Times New Roman"/>
          <w:b w:val="0"/>
          <w:color w:val="000000"/>
          <w:sz w:val="24"/>
        </w:rPr>
        <w:t>[65] Wang X, Liu L, Zhang S, Gao C. Dynamic simulation and comprehensive evaluation of the water resources carrying capacity in Guangzhou City, China[J]. Ecological Indicators, 2022, 135: 108528. DOI: 10.1016/j.ecolind.2021.108528.</w:t>
      </w:r>
    </w:p>
    <w:p w14:paraId="61132F48">
      <w:pPr>
        <w:spacing w:before="0" w:after="0" w:line="240" w:lineRule="auto"/>
        <w:ind w:left="420" w:hanging="420"/>
      </w:pPr>
      <w:r>
        <w:rPr>
          <w:rFonts w:ascii="Times New Roman" w:hAnsi="Times New Roman" w:eastAsia="宋体" w:cs="Times New Roman"/>
          <w:b w:val="0"/>
          <w:color w:val="000000"/>
          <w:sz w:val="24"/>
        </w:rPr>
        <w:t>[66] Jia Z, Cai Y, Chen Y, Zeng W. Regionalization of water environmental carrying capacity for supporting the sustainable water resources management and development in China[J]. Resources, Conservation and Recycling, 2018, 134: 282-293. DOI: 10.1016/j.resconrec.2018.03.030.</w:t>
      </w:r>
    </w:p>
    <w:p w14:paraId="3659F0B1">
      <w:pPr>
        <w:spacing w:before="0" w:after="0" w:line="240" w:lineRule="auto"/>
        <w:ind w:left="420" w:hanging="420"/>
      </w:pPr>
      <w:r>
        <w:rPr>
          <w:rFonts w:ascii="Times New Roman" w:hAnsi="Times New Roman" w:eastAsia="宋体" w:cs="Times New Roman"/>
          <w:b w:val="0"/>
          <w:color w:val="000000"/>
          <w:sz w:val="24"/>
        </w:rPr>
        <w:t>[67] Zhou X Y, Zheng B, Khu S T. Validation of the hypothesis on carrying capacity limits using the water environment carrying capacity[J]. Science of the Total Environment, 2019, 665: 774-784. DOI: 10.1016/j.scitotenv.2019.02.146.</w:t>
      </w:r>
    </w:p>
    <w:p w14:paraId="390BE598">
      <w:pPr>
        <w:spacing w:before="0" w:after="0" w:line="240" w:lineRule="auto"/>
        <w:ind w:left="420" w:hanging="420"/>
      </w:pPr>
      <w:r>
        <w:rPr>
          <w:rFonts w:ascii="Times New Roman" w:hAnsi="Times New Roman" w:eastAsia="宋体" w:cs="Times New Roman"/>
          <w:b w:val="0"/>
          <w:color w:val="000000"/>
          <w:sz w:val="24"/>
        </w:rPr>
        <w:t>[68] Cui D, Zeng W, Ma B, Zhuo Y, Xie Y. Ecological network analysis of an urban water metabolic system: Integrated metabolic processes of physical and virtual water[J]. Science of the Total Environment, 2021, 787: 147432. DOI: 10.1016/j.scitotenv.2021.147432.</w:t>
      </w:r>
    </w:p>
    <w:p w14:paraId="41FA0227">
      <w:pPr>
        <w:spacing w:before="0" w:after="0" w:line="240" w:lineRule="auto"/>
        <w:ind w:left="420" w:hanging="420"/>
      </w:pPr>
      <w:r>
        <w:rPr>
          <w:rFonts w:ascii="Times New Roman" w:hAnsi="Times New Roman" w:eastAsia="宋体" w:cs="Times New Roman"/>
          <w:b w:val="0"/>
          <w:color w:val="000000"/>
          <w:sz w:val="24"/>
        </w:rPr>
        <w:t>[69] Fan J L, Kong L S, Wang H, Zhang X. A water-energy nexus review from the perspective of urban metabolism[J]. Ecological Modelling, 2019, 392: 128-136. DOI: 10.1016/j.ecolmodel.2018.11.019.</w:t>
      </w:r>
    </w:p>
    <w:p w14:paraId="7A3E99E9">
      <w:pPr>
        <w:spacing w:before="0" w:after="0" w:line="240" w:lineRule="auto"/>
        <w:ind w:left="420" w:hanging="420"/>
      </w:pPr>
      <w:r>
        <w:rPr>
          <w:rFonts w:ascii="Times New Roman" w:hAnsi="Times New Roman" w:eastAsia="宋体" w:cs="Times New Roman"/>
          <w:b w:val="0"/>
          <w:color w:val="000000"/>
          <w:sz w:val="24"/>
        </w:rPr>
        <w:t>[70] He C, Liu Z, Wu J, Pan X, Fang Z, Li J, Bryan B A. Future global urban water scarcity and potential solutions[J]. Nature Communications, 2021, 12: 4667. DOI: 10.1038/s41467-021-25026-3.</w:t>
      </w:r>
    </w:p>
    <w:p w14:paraId="40320417">
      <w:pPr>
        <w:spacing w:before="0" w:after="0" w:line="240" w:lineRule="auto"/>
        <w:ind w:left="420" w:hanging="420"/>
      </w:pPr>
      <w:r>
        <w:rPr>
          <w:rFonts w:ascii="Times New Roman" w:hAnsi="Times New Roman" w:eastAsia="宋体" w:cs="Times New Roman"/>
          <w:b w:val="0"/>
          <w:color w:val="000000"/>
          <w:sz w:val="24"/>
        </w:rPr>
        <w:t>[71] Li R, Zhang D, Dong X, Gong D, Mo L. How can urban wastewater and reclaimed water systems tackle an uncertain future without regret?—Solutions based on adaptive pathway planning[J]. Journal of Environmental Management, 2026, 410: 130062. DOI: 10.1016/j.jenvman.2026.130062.</w:t>
      </w:r>
    </w:p>
    <w:p w14:paraId="790108C1">
      <w:pPr>
        <w:spacing w:before="0" w:after="0" w:line="240" w:lineRule="auto"/>
        <w:ind w:left="420" w:hanging="420"/>
      </w:pPr>
      <w:r>
        <w:rPr>
          <w:rFonts w:ascii="Times New Roman" w:hAnsi="Times New Roman" w:eastAsia="宋体" w:cs="Times New Roman"/>
          <w:b w:val="0"/>
          <w:color w:val="000000"/>
          <w:sz w:val="24"/>
        </w:rPr>
        <w:t>[72] 国家市场监督管理总局, 国家标准化管理委员会. 数据中心资源利用第6部分：水资源使用效率: GB/T 32910.6-2025[S]. 2025.</w:t>
      </w:r>
    </w:p>
    <w:p w14:paraId="1D1BB0C4">
      <w:pPr>
        <w:spacing w:before="0" w:after="0" w:line="240" w:lineRule="auto"/>
        <w:ind w:left="420" w:hanging="420"/>
      </w:pPr>
      <w:r>
        <w:rPr>
          <w:rFonts w:ascii="Times New Roman" w:hAnsi="Times New Roman" w:eastAsia="宋体" w:cs="Times New Roman"/>
          <w:b w:val="0"/>
          <w:color w:val="000000"/>
          <w:sz w:val="24"/>
        </w:rPr>
        <w:t>[73] 中华人民共和国住房和城乡建设部. 室外给水设计标准: GB 50013-2018[S]. 北京: 中国计划出版社, 2018.</w:t>
      </w:r>
    </w:p>
    <w:p w14:paraId="3A56C6C6">
      <w:pPr>
        <w:spacing w:before="0" w:after="0" w:line="240" w:lineRule="auto"/>
        <w:ind w:left="420" w:hanging="420"/>
      </w:pPr>
      <w:r>
        <w:rPr>
          <w:rFonts w:ascii="Times New Roman" w:hAnsi="Times New Roman" w:eastAsia="宋体" w:cs="Times New Roman"/>
          <w:b w:val="0"/>
          <w:color w:val="000000"/>
          <w:sz w:val="24"/>
        </w:rPr>
        <w:t>[74] 中华人民共和国住房和城乡建设部. 室外排水设计标准: GB 50014-2021[S]. 北京: 中国计划出版社, 2021.</w:t>
      </w:r>
    </w:p>
    <w:p w14:paraId="2E88881D">
      <w:pPr>
        <w:spacing w:before="0" w:after="0" w:line="240" w:lineRule="auto"/>
        <w:ind w:left="420" w:hanging="420"/>
      </w:pPr>
      <w:r>
        <w:rPr>
          <w:rFonts w:ascii="Times New Roman" w:hAnsi="Times New Roman" w:eastAsia="宋体" w:cs="Times New Roman"/>
          <w:b w:val="0"/>
          <w:color w:val="000000"/>
          <w:sz w:val="24"/>
        </w:rPr>
        <w:t>[75] Siddik M A B, Shehabi A, Marston L. The environmental footprint of data centers in the United States[J]. Environmental Research Letters, 2021, 16(6): 064017. DOI: 10.1088/1748-9326/abfba1.</w:t>
      </w:r>
    </w:p>
    <w:p w14:paraId="21FD9FF1">
      <w:pPr>
        <w:spacing w:before="0" w:after="0" w:line="240" w:lineRule="auto"/>
        <w:ind w:left="420" w:hanging="420"/>
      </w:pPr>
      <w:r>
        <w:rPr>
          <w:rFonts w:ascii="Times New Roman" w:hAnsi="Times New Roman" w:eastAsia="宋体" w:cs="Times New Roman"/>
          <w:b w:val="0"/>
          <w:color w:val="000000"/>
          <w:sz w:val="24"/>
        </w:rPr>
        <w:t>[76] Fu G, Butler D, Khu S T. Multiple objective modelling of urban water systems: A review[J]. Water Research, 2019, 150: 1-14. DOI: 10.1016/j.watres.2018.11.046.</w:t>
      </w:r>
    </w:p>
    <w:p w14:paraId="4D58F28A">
      <w:pPr>
        <w:spacing w:before="0" w:after="0" w:line="240" w:lineRule="auto"/>
        <w:ind w:left="420" w:hanging="420"/>
      </w:pPr>
      <w:r>
        <w:rPr>
          <w:rFonts w:ascii="Times New Roman" w:hAnsi="Times New Roman" w:eastAsia="宋体" w:cs="Times New Roman"/>
          <w:b w:val="0"/>
          <w:color w:val="000000"/>
          <w:sz w:val="24"/>
        </w:rPr>
        <w:t>[77] Behzadian K, Kapelan Z. Advantages of integrated and system dynamics approaches for urban water management[J]. Journal of Environmental Management, 2015, 150: 110-122. DOI: 10.1016/j.jenvman.2015.02.009.</w:t>
      </w:r>
    </w:p>
    <w:p w14:paraId="5C60A6DD">
      <w:pPr>
        <w:spacing w:before="0" w:after="0" w:line="240" w:lineRule="auto"/>
        <w:ind w:left="420" w:hanging="420"/>
      </w:pPr>
      <w:r>
        <w:rPr>
          <w:rFonts w:ascii="Times New Roman" w:hAnsi="Times New Roman" w:eastAsia="宋体" w:cs="Times New Roman"/>
          <w:b w:val="0"/>
          <w:color w:val="000000"/>
          <w:sz w:val="24"/>
        </w:rPr>
        <w:t>[78] Wang Z, Yang Y, Sun Y, et al. Water reuse and recycling in industrial systems: A review of technologies and applications[J]. Journal of Cleaner Production, 2020, 258: 120789. DOI: 10.1016/j.jclepro.2020.120789.</w:t>
      </w:r>
    </w:p>
    <w:p w14:paraId="60F6A5C2">
      <w:pPr>
        <w:spacing w:before="0" w:after="0" w:line="240" w:lineRule="auto"/>
        <w:ind w:left="420" w:hanging="420"/>
      </w:pPr>
      <w:r>
        <w:rPr>
          <w:rFonts w:ascii="Times New Roman" w:hAnsi="Times New Roman" w:eastAsia="宋体" w:cs="Times New Roman"/>
          <w:b w:val="0"/>
          <w:color w:val="000000"/>
          <w:sz w:val="24"/>
        </w:rPr>
        <w:t>[79] Dhar P. The carbon impact of artificial intelligence[J]. Nature Machine Intelligence, 2020, 2: 423-425. DOI: 10.1038/s42256-020-0219-9.</w:t>
      </w:r>
    </w:p>
    <w:p w14:paraId="176F08C4">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[80] Lucertini G, Musco F. Circular Urban Metabolism Framework[J]. One Earth, 2020, 2:138-142. DOI:10.1016/j.oneear.2020.02.004.</w:t>
      </w:r>
    </w:p>
    <w:p w14:paraId="24502A41">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[81] Landa-Cansigno O, Behzadian K, Davila-Cano D, Campos L C. Performance assessment of water reuse strategies using integrated framework of urban water metabolism and water-energy-pollution nexus[J]. Environmental Science and Pollution Research, 2020, 27:4582-4597. DOI:10.1007/s11356-019-05465-8.</w:t>
      </w:r>
    </w:p>
    <w:p w14:paraId="46CC0CE5">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[82] Liu Z, Huang Q, He C, et al. Water-energy nexus within urban agglomeration[J]. Resources, Conservation and Recycling, 2021, 164:105113. DOI:10.1016/j.resconrec.2020.105113.</w:t>
      </w:r>
    </w:p>
    <w:p w14:paraId="69034641">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[83] Cao X, Su M, Liu Y, et al. Is the Water System Healthy in Urban Agglomerations?[J]. Environmental Science &amp; Technology, 2021, 55:6430-6439. DOI:10.1021/acs.est.1c01202.</w:t>
      </w:r>
    </w:p>
    <w:p w14:paraId="069238DF">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[84] Radini S, Marinelli E, Akyol Ç, et al. Urban water-energy-food-climate nexus in integrated wastewater and reuse systems[J]. Applied Energy, 2021, 298:117268. DOI:10.1016/j.apenergy.2021.117268.</w:t>
      </w:r>
    </w:p>
    <w:p w14:paraId="2DE397FF">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[85] Hu G, Zeng W, Yao R, et al. An integrated assessment system for the carrying capacity of the water environment based on system dynamics[J]. Journal of Environmental Management, 2021, 295:113045. DOI:10.1016/j.jenvman.2021.113045.</w:t>
      </w:r>
    </w:p>
    <w:p w14:paraId="70866309">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[86] Lei N, Masanet E. Climate- and technology-specific PUE and WUE estimations for U.S. data centers[J]. Resources, Conservation and Recycling, 2022, 182:106323. DOI:10.1016/j.resconrec.2022.106323.</w:t>
      </w:r>
    </w:p>
    <w:p w14:paraId="0C0E9B27">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[87] Karimi L, Yacuel L, Degraft-Johnson J, et al. Water-energy tradeoffs in data centers: A case study in hot-arid climates[J]. Resources, Conservation and Recycling, 2022, 181:106194. DOI:10.1016/j.resconrec.2022.106194.</w:t>
      </w:r>
    </w:p>
    <w:p w14:paraId="71420A43">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[88] Puchol-Salort P, Boskovic S, Dobson B, et al. Water neutrality framework for systemic design of new urban developments[J]. Water Research, 2022, 219:118583. DOI:10.1016/j.watres.2022.118583.</w:t>
      </w:r>
    </w:p>
    <w:p w14:paraId="576927E8">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[89] Wang T, Jian S, Wang J, Yan D. Research on water resources carrying capacity evaluation based on innovative RCC method[J]. Ecological Indicators, 2022, 139:108876. DOI:10.1016/j.ecolind.2022.108876.</w:t>
      </w:r>
    </w:p>
    <w:p w14:paraId="6DF27478">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[90] Chen S, He Y, Tan Q, et al. Comprehensive assessment of water environmental carrying capacity for sustainable watershed development[J]. Journal of Environmental Management, 2022, 303:114065. DOI:10.1016/j.jenvman.2021.114065.</w:t>
      </w:r>
    </w:p>
    <w:p w14:paraId="37AF6B3C">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[91] Wang T, Jian S, Wang J, Yan D. Dynamic interaction of water-economic-social-ecological environment complex system[J]. Journal of Cleaner Production, 2022, 368:133132. DOI:10.1016/j.jclepro.2022.133132.</w:t>
      </w:r>
    </w:p>
    <w:p w14:paraId="15B1FC58">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[92] Li Y, Zhang J, Song Y. Comprehensive comparison and assessment of three models evaluating water resource carrying capacity in Beijing[J]. Ecological Indicators, 2022, 143:109305. DOI:10.1016/j.ecolind.2022.109305.</w:t>
      </w:r>
    </w:p>
    <w:p w14:paraId="6EEDC304">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[93] Chen L, Wemhoff A P. The sustainability benefits of economization in data centers containing chilled water systems[J]. Resources, Conservation and Recycling, 2023, 196:107053. DOI:10.1016/j.resconrec.2023.107053.</w:t>
      </w:r>
    </w:p>
    <w:p w14:paraId="698A90CE">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[94] Yuan X, Liang Y, Hu X, et al. Waste heat recoveries in data centers: A review[J]. Renewable and Sustainable Energy Reviews, 2023, 188:113777. DOI:10.1016/j.rser.2023.113777.</w:t>
      </w:r>
    </w:p>
    <w:p w14:paraId="4235ABC7">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[95] Mi R, Bai X, Xu X, Ren F. Energy performance evaluation in a data center with water-side free cooling[J]. Energy and Buildings, 2023, 295:113278. DOI:10.1016/j.enbuild.2023.113278.</w:t>
      </w:r>
    </w:p>
    <w:p w14:paraId="3B85FFBA">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[96] Lassiter A, Leonard N. A systematic review of municipal smart water for climate adaptation and mitigation[J]. Environment and Planning B, 2022, 49:1406-1430. DOI:10.1177/23998083211072864.</w:t>
      </w:r>
    </w:p>
    <w:p w14:paraId="31E1A356">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[97] Ma X, Zeng C, Zhu Z, et al. Real life test of a novel super performance dew point cooling system in operational live data centre[J]. Applied Energy, 2023, 348:121483. DOI:10.1016/j.apenergy.2023.121483.</w:t>
      </w:r>
    </w:p>
    <w:p w14:paraId="4462D534">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[98] Lu L, Lei Y, Wu T, Chen K. Evaluating water resources carrying capacity: The empirical analysis of Hubei Province, China 2008-2020[J]. Ecological Indicators, 2022, 144:109454. DOI:10.1016/j.ecolind.2022.109454.</w:t>
      </w:r>
    </w:p>
    <w:p w14:paraId="1B71F73B">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[99] Dai D, Sun M, Lv X, et al. Comprehensive assessment of the water environment carrying capacity based on the spatial system dynamics model[J]. Journal of Cleaner Production, 2022, 344:131137. DOI:10.1016/j.jclepro.2022.131137.</w:t>
      </w:r>
    </w:p>
    <w:p w14:paraId="41C04B82">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[100] Cai Q, Fang D, Chen B. Ecological network analysis for urban physical-virtual water cycle: A case study of Beijing[J]. Ecological Modelling, 2025, 501:110972. DOI:10.1016/j.ecolmodel.2024.110972.</w:t>
      </w:r>
    </w:p>
    <w:p w14:paraId="6E682BAE">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[101] Zou J, Chen B, Wang S. Ecological network analysis and optimization of urban water metabolic system in context of energy nexus[J]. Applied Energy, 2025, 388:125700. DOI:10.1016/j.apenergy.2025.125700.</w:t>
      </w:r>
    </w:p>
    <w:sectPr>
      <w:headerReference r:id="rId5" w:type="default"/>
      <w:footerReference r:id="rId6" w:type="default"/>
      <w:pgSz w:w="11909" w:h="16834"/>
      <w:pgMar w:top="1417" w:right="1417" w:bottom="1247" w:left="1417" w:header="850" w:footer="850"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Roman PS">
    <w:altName w:val="Times New Roman"/>
    <w:panose1 w:val="00000000000000000000"/>
    <w:charset w:val="00"/>
    <w:family w:val="roman"/>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A9761">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EA1C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692E"/>
    <w:rsid w:val="0000711F"/>
    <w:rsid w:val="000151F5"/>
    <w:rsid w:val="001253D1"/>
    <w:rsid w:val="00176BD3"/>
    <w:rsid w:val="002F3D90"/>
    <w:rsid w:val="00413951"/>
    <w:rsid w:val="004C692E"/>
    <w:rsid w:val="005942BD"/>
    <w:rsid w:val="005E44D3"/>
    <w:rsid w:val="0074647F"/>
    <w:rsid w:val="007952D9"/>
    <w:rsid w:val="00863BEF"/>
    <w:rsid w:val="00A632F1"/>
    <w:rsid w:val="00AD222D"/>
    <w:rsid w:val="00C01852"/>
    <w:rsid w:val="00C3244B"/>
    <w:rsid w:val="00C85F00"/>
    <w:rsid w:val="00D61F58"/>
    <w:rsid w:val="00ED26A8"/>
    <w:rsid w:val="03D30E8F"/>
    <w:rsid w:val="1C3B6C70"/>
    <w:rsid w:val="24245A28"/>
    <w:rsid w:val="25732BA9"/>
    <w:rsid w:val="2A370E04"/>
    <w:rsid w:val="3A4F678F"/>
    <w:rsid w:val="3FDE13A9"/>
    <w:rsid w:val="40D53766"/>
    <w:rsid w:val="412169AB"/>
    <w:rsid w:val="41F51365"/>
    <w:rsid w:val="45BA0A93"/>
    <w:rsid w:val="4D1063BF"/>
    <w:rsid w:val="4E883679"/>
    <w:rsid w:val="52D42491"/>
    <w:rsid w:val="5E011E53"/>
    <w:rsid w:val="61947D36"/>
    <w:rsid w:val="62587C28"/>
    <w:rsid w:val="65E83D08"/>
    <w:rsid w:val="68C414B8"/>
    <w:rsid w:val="68DB147D"/>
    <w:rsid w:val="6CBE13CE"/>
    <w:rsid w:val="72122DAC"/>
    <w:rsid w:val="73AD622A"/>
    <w:rsid w:val="77E45A61"/>
    <w:rsid w:val="7C154B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widowControl/>
      <w:spacing w:before="0" w:after="0" w:line="360" w:lineRule="auto"/>
      <w:ind w:firstLine="480"/>
      <w:jc w:val="both"/>
    </w:pPr>
    <w:rPr>
      <w:rFonts w:ascii="Times New Roman" w:hAnsi="Times New Roman" w:eastAsia="宋体" w:cs="Times New Roman"/>
      <w:color w:val="000000"/>
      <w:kern w:val="2"/>
      <w:sz w:val="24"/>
      <w:szCs w:val="24"/>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Times New Roman" w:hAnsi="Times New Roman" w:eastAsia="黑体" w:cs="Times New Roman"/>
      <w:b/>
      <w:bCs/>
      <w:kern w:val="0"/>
      <w:sz w:val="24"/>
      <w:szCs w:val="24"/>
      <w:lang w:val="en-US" w:eastAsia="zh-CN" w:bidi="ar"/>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semiHidden/>
    <w:unhideWhenUsed/>
    <w:qFormat/>
    <w:uiPriority w:val="99"/>
    <w:pPr>
      <w:jc w:val="left"/>
    </w:pPr>
  </w:style>
  <w:style w:type="paragraph" w:styleId="4">
    <w:name w:val="Body Text Indent"/>
    <w:basedOn w:val="1"/>
    <w:link w:val="18"/>
    <w:qFormat/>
    <w:uiPriority w:val="0"/>
    <w:pPr>
      <w:ind w:left="360" w:hanging="360"/>
    </w:pPr>
  </w:style>
  <w:style w:type="paragraph" w:styleId="5">
    <w:name w:val="toc 3"/>
    <w:basedOn w:val="1"/>
    <w:next w:val="1"/>
    <w:semiHidden/>
    <w:unhideWhenUsed/>
    <w:qFormat/>
    <w:uiPriority w:val="39"/>
    <w:pPr>
      <w:ind w:left="840" w:leftChars="400"/>
    </w:pPr>
  </w:style>
  <w:style w:type="paragraph" w:styleId="6">
    <w:name w:val="Plain Text"/>
    <w:basedOn w:val="1"/>
    <w:link w:val="20"/>
    <w:qFormat/>
    <w:uiPriority w:val="0"/>
    <w:rPr>
      <w:rFonts w:ascii="宋体" w:hAnsi="Courier New"/>
    </w:rPr>
  </w:style>
  <w:style w:type="paragraph" w:styleId="7">
    <w:name w:val="Body Text Indent 2"/>
    <w:basedOn w:val="1"/>
    <w:link w:val="19"/>
    <w:qFormat/>
    <w:uiPriority w:val="0"/>
    <w:pPr>
      <w:ind w:left="420" w:hanging="420"/>
    </w:pPr>
  </w:style>
  <w:style w:type="paragraph" w:styleId="8">
    <w:name w:val="Balloon Text"/>
    <w:basedOn w:val="1"/>
    <w:link w:val="21"/>
    <w:semiHidden/>
    <w:unhideWhenUsed/>
    <w:qFormat/>
    <w:uiPriority w:val="99"/>
    <w:rPr>
      <w:sz w:val="18"/>
      <w:szCs w:val="18"/>
    </w:rPr>
  </w:style>
  <w:style w:type="paragraph" w:styleId="9">
    <w:name w:val="footer"/>
    <w:basedOn w:val="1"/>
    <w:link w:val="17"/>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0">
    <w:name w:val="header"/>
    <w:basedOn w:val="1"/>
    <w:link w:val="16"/>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11">
    <w:name w:val="toc 1"/>
    <w:basedOn w:val="1"/>
    <w:next w:val="1"/>
    <w:semiHidden/>
    <w:unhideWhenUsed/>
    <w:qFormat/>
    <w:uiPriority w:val="39"/>
  </w:style>
  <w:style w:type="paragraph" w:styleId="12">
    <w:name w:val="toc 2"/>
    <w:basedOn w:val="1"/>
    <w:next w:val="1"/>
    <w:semiHidden/>
    <w:unhideWhenUsed/>
    <w:qFormat/>
    <w:uiPriority w:val="39"/>
    <w:pPr>
      <w:ind w:left="420" w:leftChars="200"/>
    </w:pPr>
  </w:style>
  <w:style w:type="paragraph" w:styleId="1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customStyle="1" w:styleId="16">
    <w:name w:val="页眉 字符"/>
    <w:basedOn w:val="15"/>
    <w:link w:val="10"/>
    <w:qFormat/>
    <w:uiPriority w:val="99"/>
    <w:rPr>
      <w:sz w:val="18"/>
      <w:szCs w:val="18"/>
    </w:rPr>
  </w:style>
  <w:style w:type="character" w:customStyle="1" w:styleId="17">
    <w:name w:val="页脚 字符"/>
    <w:basedOn w:val="15"/>
    <w:link w:val="9"/>
    <w:qFormat/>
    <w:uiPriority w:val="99"/>
    <w:rPr>
      <w:sz w:val="18"/>
      <w:szCs w:val="18"/>
    </w:rPr>
  </w:style>
  <w:style w:type="character" w:customStyle="1" w:styleId="18">
    <w:name w:val="正文文本缩进 字符"/>
    <w:basedOn w:val="15"/>
    <w:link w:val="4"/>
    <w:qFormat/>
    <w:uiPriority w:val="0"/>
    <w:rPr>
      <w:rFonts w:ascii="Times New Roman" w:hAnsi="Times New Roman" w:eastAsia="宋体" w:cs="Times New Roman"/>
      <w:szCs w:val="20"/>
    </w:rPr>
  </w:style>
  <w:style w:type="character" w:customStyle="1" w:styleId="19">
    <w:name w:val="正文文本缩进 2 字符"/>
    <w:basedOn w:val="15"/>
    <w:link w:val="7"/>
    <w:qFormat/>
    <w:uiPriority w:val="0"/>
    <w:rPr>
      <w:rFonts w:ascii="Times New Roman" w:hAnsi="Times New Roman" w:eastAsia="宋体" w:cs="Times New Roman"/>
      <w:szCs w:val="20"/>
    </w:rPr>
  </w:style>
  <w:style w:type="character" w:customStyle="1" w:styleId="20">
    <w:name w:val="纯文本 字符"/>
    <w:basedOn w:val="15"/>
    <w:link w:val="6"/>
    <w:qFormat/>
    <w:uiPriority w:val="0"/>
    <w:rPr>
      <w:rFonts w:ascii="宋体" w:hAnsi="Courier New" w:eastAsia="宋体" w:cs="Times New Roman"/>
      <w:szCs w:val="20"/>
    </w:rPr>
  </w:style>
  <w:style w:type="character" w:customStyle="1" w:styleId="21">
    <w:name w:val="批注框文本 字符"/>
    <w:basedOn w:val="15"/>
    <w:link w:val="8"/>
    <w:semiHidden/>
    <w:qFormat/>
    <w:uiPriority w:val="99"/>
    <w:rPr>
      <w:rFonts w:ascii="Times New Roman" w:hAnsi="Times New Roman" w:eastAsia="宋体" w:cs="Times New Roman"/>
      <w:sz w:val="18"/>
      <w:szCs w:val="18"/>
    </w:rPr>
  </w:style>
  <w:style w:type="paragraph" w:customStyle="1" w:styleId="22">
    <w:name w:val="heading 1"/>
    <w:qFormat/>
    <w:uiPriority w:val="0"/>
    <w:pPr>
      <w:keepNext/>
      <w:pageBreakBefore w:val="0"/>
      <w:widowControl/>
      <w:spacing w:before="210" w:after="210" w:line="360" w:lineRule="auto"/>
      <w:ind w:firstLine="0"/>
      <w:jc w:val="left"/>
    </w:pPr>
    <w:rPr>
      <w:rFonts w:ascii="Times New Roman" w:hAnsi="Times New Roman" w:eastAsia="黑体" w:cstheme="minorBidi"/>
      <w:b/>
      <w:color w:val="000000"/>
      <w:sz w:val="30"/>
      <w:szCs w:val="30"/>
    </w:rPr>
  </w:style>
  <w:style w:type="paragraph" w:customStyle="1" w:styleId="23">
    <w:name w:val="heading 2"/>
    <w:qFormat/>
    <w:uiPriority w:val="0"/>
    <w:pPr>
      <w:keepNext/>
      <w:pageBreakBefore w:val="0"/>
      <w:widowControl/>
      <w:spacing w:before="210" w:after="210" w:line="360" w:lineRule="auto"/>
      <w:ind w:firstLine="0"/>
      <w:jc w:val="left"/>
    </w:pPr>
    <w:rPr>
      <w:rFonts w:ascii="Times New Roman" w:hAnsi="Times New Roman" w:eastAsia="黑体" w:cstheme="minorBidi"/>
      <w:b/>
      <w:color w:val="000000"/>
      <w:sz w:val="28"/>
      <w:szCs w:val="28"/>
    </w:rPr>
  </w:style>
  <w:style w:type="paragraph" w:customStyle="1" w:styleId="24">
    <w:name w:val="heading 3"/>
    <w:qFormat/>
    <w:uiPriority w:val="0"/>
    <w:pPr>
      <w:keepNext/>
      <w:pageBreakBefore w:val="0"/>
      <w:widowControl/>
      <w:spacing w:before="0" w:after="0" w:line="360" w:lineRule="auto"/>
      <w:ind w:firstLine="0"/>
      <w:jc w:val="left"/>
    </w:pPr>
    <w:rPr>
      <w:rFonts w:ascii="黑体" w:hAnsi="黑体" w:eastAsia="黑体" w:cstheme="minorBidi"/>
      <w:b/>
      <w:color w:val="000000"/>
      <w:sz w:val="24"/>
    </w:rPr>
  </w:style>
  <w:style w:type="paragraph" w:customStyle="1" w:styleId="25">
    <w:name w:val="Reference"/>
    <w:qFormat/>
    <w:uiPriority w:val="0"/>
    <w:pPr>
      <w:keepNext w:val="0"/>
      <w:keepLines/>
      <w:widowControl/>
      <w:spacing w:before="0" w:after="40" w:line="240" w:lineRule="auto"/>
      <w:ind w:left="510" w:hanging="510"/>
      <w:jc w:val="left"/>
    </w:pPr>
    <w:rPr>
      <w:rFonts w:ascii="Times New Roman" w:hAnsi="Times New Roman" w:eastAsia="宋体" w:cstheme="minorBidi"/>
      <w:color w:val="000000"/>
      <w:sz w:val="24"/>
    </w:rPr>
  </w:style>
  <w:style w:type="paragraph" w:customStyle="1" w:styleId="26">
    <w:name w:val="caption"/>
    <w:qFormat/>
    <w:uiPriority w:val="0"/>
    <w:pPr>
      <w:keepNext/>
      <w:widowControl/>
      <w:spacing w:before="0" w:after="0" w:line="430" w:lineRule="exact"/>
      <w:ind w:firstLine="0"/>
      <w:jc w:val="center"/>
    </w:pPr>
    <w:rPr>
      <w:rFonts w:ascii="Times New Roman" w:hAnsi="Times New Roman" w:eastAsia="宋体" w:cstheme="minorBidi"/>
      <w:color w:val="000000"/>
      <w:sz w:val="24"/>
    </w:rPr>
  </w:style>
  <w:style w:type="paragraph" w:customStyle="1" w:styleId="27">
    <w:name w:val="ContentsEntry"/>
    <w:qFormat/>
    <w:uiPriority w:val="0"/>
    <w:pPr>
      <w:keepNext w:val="0"/>
      <w:widowControl/>
      <w:tabs>
        <w:tab w:val="right" w:leader="dot" w:pos="9071"/>
      </w:tabs>
      <w:spacing w:before="0" w:after="0" w:line="600" w:lineRule="exact"/>
      <w:ind w:firstLine="0"/>
      <w:jc w:val="left"/>
    </w:pPr>
    <w:rPr>
      <w:rFonts w:ascii="Times New Roman" w:hAnsi="Times New Roman" w:eastAsia="宋体" w:cstheme="minorBidi"/>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16969</Words>
  <Characters>32356</Characters>
  <Lines>11</Lines>
  <Paragraphs>3</Paragraphs>
  <TotalTime>0</TotalTime>
  <ScaleCrop>false</ScaleCrop>
  <LinksUpToDate>false</LinksUpToDate>
  <CharactersWithSpaces>35230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2018-03-30T02:09:00Z</dcterms:created>
  <dc:creator>lenovo</dc:creator>
  <dc:description>Academic-humanizer pass: varied sentence openings, removed boilerplate transitions and inflated verbs; numbers and citations preserved.</dc:description>
  <cp:lastModifiedBy>邵敬哲</cp:lastModifiedBy>
  <dcterms:modified xsi:type="dcterms:W3CDTF">2026-09-09T08:14:42Z</dcterms:modified>
  <dc:subject>开题报告：引用与模板规范</dc:subject>
  <dc:title>Master thesis proposal: AI-UWM parameterized virtual-city mechanistic experiments</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75D59639A93C4264A7FD610B43266492_13</vt:lpwstr>
  </property>
  <property fmtid="{D5CDD505-2E9C-101B-9397-08002B2CF9AE}" pid="4" name="KSOTemplateDocerSaveRecord">
    <vt:lpwstr>eyJoZGlkIjoiMTFhM2IzNWM3NjlkMzQ1M2QwMWYwMmIyMWUwMWQ5NzEiLCJ1c2VySWQiOiIxNzc3NTAzMzc5In0=</vt:lpwstr>
  </property>
</Properties>
</file>