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30407"/>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研究采用基于典型气候—水资源特征的原型系统（Archetype System）建模：以具有代表性的气候带、水资源禀赋与供排水设施水平的组合定义若干原型城市水系统，其结构关系取自城市水代谢模型的通用表示，参数量级由公开统计、标准规范与工程资料标定，从而在不依赖具体城市管网拓扑、项目选址与设施台账的条件下反映一类城市的共同特征。原型系统并非脱离实际的抽象构造，而是把一类城市的共性特征显式参数化，因此其结论按参数域适用，不以单一城市的名义容量呈现。</w:t>
      </w:r>
    </w:p>
    <w:p w14:paraId="2747444E">
      <w:pPr>
        <w:pStyle w:val="23"/>
        <w:pageBreakBefore w:val="0"/>
        <w:ind w:firstLine="0" w:firstLineChars="0"/>
        <w:outlineLvl w:val="1"/>
      </w:pPr>
      <w:bookmarkStart w:id="4" w:name="_Toc11778"/>
      <w:bookmarkStart w:id="5" w:name="_Toc31920"/>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[4,5,6]；面向可持续AI服务器的净零路径评估进一步把运行能耗与隐含影响纳入同一核算边界[7]。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[8,9]，也有研究对数据中心的环境足迹做了系统核算[10]，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[11,12]。AI节点增加冷却补水需求，并通过冷却方式影响取水、消耗和局部排放特征；其对再生水系统的影响主要体现为对城市再生水供给能力和替代水源配置的新增需求，而非AI自身产生的回流构成主要再生水来源，因而需建立连接AI负荷、冷却用水与城市供排水网络的模拟框架[13,14]。</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对数据中心建设与运营主体，可在原型系统参数域内比较不同冷却技术、水源配置与节水方案，避免单一指标优化导致能耗或环境负荷转移。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5333"/>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Wolman以资源输入和废弃物输出阐释城市代谢[15]；Kennedy等通过跨城市物质流比较将其用于规划评价[16,17]；Castán Broto等强调工程、生态与社会科学的整合[18]。这些研究奠定了“输入—转化—输出”的系统边界，为纳入AI设施节点提供了概念基础。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[19,20]；相关综述指出子系统连接、尺度转换、校准和不确定性处理的关键边界[13,21]。WSIMOD以节点—弧线结构实现水量水质守恒和模块复用[14]，系统动力学与强化学习则用于反馈分析和决策[22,23]；多目标建模与集成—系统动力学路径的适用边界也已被系统比较[24,25]。面向新建城区的水量中和（water neutrality）框架进一步把供水、污水与再生水配置纳入统一设计[26]。现有模型可统一描述过程节点与反馈，但尚未显式表示AI连续负荷的热—水转换。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12190"/>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多区域投入产出研究量化了城市间虚拟水与隐含能传递[33]，综合决策框架则纳入污水处理、再生水、能源和气候因素[34]。本课题据此把再生水处理和输配能耗纳入系统边界，并以AI冷却负荷作为时变驱动。</w:t>
      </w:r>
    </w:p>
    <w:p w14:paraId="28ACECCD">
      <w:pPr>
        <w:pStyle w:val="24"/>
        <w:pageBreakBefore w:val="0"/>
        <w:ind w:firstLine="0" w:firstLineChars="0"/>
        <w:outlineLvl w:val="2"/>
      </w:pPr>
      <w:bookmarkStart w:id="15" w:name="_Toc22370"/>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AI环境足迹研究已形成能源和碳核算基础：包括训练能耗量化[35]、机器学习能耗与碳足迹报告规范[36]、Green Algorithms工具[37]和Green AI理念[38]；后续工作讨论了训练碳足迹随效率改进趋于收敛的趋势[39]、大模型训练与推理部署的实测碳足迹[40,41]，并把足迹边界拓展到电子废弃物等物质流[42]，相关综述也专门讨论了人工智能的碳影响[43]。但这些工作对城市供排水系统反馈的描述仍不足。</w:t>
      </w:r>
    </w:p>
    <w:p w14:paraId="504B5840">
      <w:pPr>
        <w:spacing w:before="0" w:after="0" w:line="360" w:lineRule="auto"/>
        <w:ind w:firstLine="420"/>
      </w:pPr>
      <w:r>
        <w:t>数据中心用水研究已覆盖直接冷却用水、间接发电用水、水源与披露缺口[8]，并揭示服务器效率、电网水耗因子、利用率、冷却技术和气候区等对用水的影响[9]；分气候区与技术类型的PUE、WUE估算[44]与干旱气候区数据中心水—能权衡案例分析[45]进一步说明水耗随气候条件与冷却技术显著变化。AI模型水足迹具有显著时空差异[46]，其情景预测也存在多重不确定性[47]。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[48,49]。鉴于其尚未经同行评议，本文仅据此说明问题重要性，不采用其数值结论；参数仍取自正式文献、标准和工程资料。数据中心—污水厂协同研究则展示了数—水共生潜力[50]。</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[51]，其中自由冷却的适用条件与节能潜力已有专门综述[52,53]，水侧自由冷却的能效也在工程案例中实测[54]；比较相变冷却结构与工况[55]，综述冷却技术的能效和环境影响[56]，并指出液冷的高热流密度优势及集成控制挑战[57]；冷冻水系统节能器的运行收益[58]、实际运行数据中心的露点冷却实测[59]与余热回收路径[60]提供了进一步的工程证据，生命周期评价方法也被用于比较冷却方案的环境影响[61]。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[62]；稳健优化可处理极端干旱与气候不确定性[63]，稳健自适应策略的识别与评估方法也已在供水管理中应用[64]；动态适应路径把未来状态变化与分阶段决策相连[65,66]，并已用于综合城市污水系统规划[67]，近期还被拓展到污水处理与再生水系统的无悔规划[68]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[69]；设计承载容量进一步纳入工程供给能力[70]；义乌、榆林等城市的研究分别用系统动力学刻画了承载力动态与水资源规划管理[71,72]。长春、广州等案例的系统动力学和综合评价表明，人口、经济、供水和环境存在非线性反馈，承载状态随发展情景变化[73,74]；承载力极限的存在性已获得实证检验[75]，水环境承载力分区[76]、基于系统动力学的综合评价[77,78]、RCC方法[79]、水环境承载力综合评估[80]、多模型比较[81]与省级实证分析[82]共同构成了由指标评价向过程模拟拓展的方法谱系。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[83]，并从城市代谢视角总结水—能耦合和资源转移效应[84]；全球城市缺水预测也显示需求与资源禀赋具有区域异质性[85]；城市群尺度的水系统健康评价则提供了跨区域比较视角[86]。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[87]；国家标准也规定了水资源使用效率口径[88]。但现有工作仍以设施效率或区域足迹为主，尚未在同一模型中连接AI新增补水需求、再生水供给能力与城市供排水设施余量。</w:t>
      </w:r>
    </w:p>
    <w:p w14:paraId="3418481E">
      <w:r>
        <w:t>Dai等结合系统动力学、元胞自动机和GIS，模拟永定河流域2017—2035年社会经济、水量利用和污染负荷的时空变化，发现资源和水质约束造成空间不均衡，承载阈值随系统状态与压力变化[89]。这为条件化承载边界提供了直接依据。</w:t>
      </w:r>
    </w:p>
    <w:p w14:paraId="1D67D740">
      <w:r>
        <w:t>Cai等构建北京物理—虚拟水循环生态网络，连接多类水源与居民、生产和生态用水，识别了水配送、漏损、污水处理和再生水对系统韧性的作用[90]。本课题将在原型系统参数域中检验水源结构调整对AI承载边界和主导瓶颈的影响。</w:t>
      </w:r>
    </w:p>
    <w:p w14:paraId="7E14F926">
      <w:r>
        <w:t>Zou、Chen和Wang将生态网络分析与NSGA-II[91]双目标优化结合，在北京水代谢网络中同步优化能耗和韧性[92]。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25288"/>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据此，本研究凝练三条递进矛盾：设施补水增长不等于城市水流结构变化；相同年用水量可能对应不同峰值压力与可靠性；增加再生水或扩建设施还会改变主导约束。三者依次回答“发生了什么、为何边界不同、边界由何控制”。</w:t>
      </w:r>
    </w:p>
    <w:p w14:paraId="6A13A867">
      <w:pPr>
        <w:spacing w:before="0" w:after="0" w:line="360" w:lineRule="auto"/>
        <w:ind w:firstLine="420"/>
      </w:pPr>
      <w:r>
        <w:rPr>
          <w:rFonts w:ascii="Times New Roman" w:hAnsi="Times New Roman" w:eastAsia="宋体"/>
          <w:sz w:val="24"/>
        </w:rPr>
        <w:t>本文将AI边际响应分为规模响应（路径比例稳定、总量同步变化）、结构响应（水源配置比例、设施负荷分布或关键水流路径发生系统性变化）和约束状态转换（主导约束迁移）。只有结构指标系统变化且排除单一容量截断造成的机械折点，才判定为结构重构。</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将其组织为可检验因果链：先以水量守恒关系识别AI冷却过程中的取水、消耗和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结构重构与瓶颈迁移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配置比例、设施负荷分布或关键水流路径发生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首先出现在水源供给、给水处理与输配能力等一级约束环节之间；当供水侧余量充足而污水处理、再生水利用等二级约束环节的设施余量接近上限时，主导瓶颈才向二级约束环节迁移。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还需说明AI负荷的空间形态与模型空间分辨率之间的匹配关系。AI数据中心是空间上高度集中的超大型单体负荷：单一园区或集群的IT容量可达百兆瓦乃至吉瓦量级，其取水、排水与热排散集中于一个或少数几个地块，属于典型的点源负荷；而由WaterMet²、WSIMOD等综合城市水系统模型演化而来的AI-UWM，本质上仍是集总式（Lumped）或以功能区为单元的宏观分区节点网络，其内部不解析管网拓扑、管径与节点间的空间距离。由此产生两项需在方法上显式处理的问题：其一，AI新增需求在全市总量核算中只是一个增量项，若仅按总量评价，点源强度会被全市平均余量掩盖；其二，该需求能否被城市系统吸收，实际取决于局部接入管径、泵站能力、再生水输送距离等集总参数背后隐含的空间条件。为此本研究采取两项处理：一是在模型内部把AI表示为独立的高强度需求节点，并单独设置“局部接入”约束（见表3-2），使点源强度不被全市平均余量稀释；二是把局部接入能力、接入距离与厂内回用比例等空间相关参数列为外生参数，依据工程资料给定取值区间，在敏感性分析与证据分级中单独检验，并声明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而非以单位容量水耗系数换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需要强调的是，干式（空冷）排热并非可无限替代湿冷以规避水约束的通用手段：干式排热以空气显热换热取代水的蒸发潜热换热，换热温差与风机功耗大幅上升，可用逼近度随湿球温度升高而恶化，越是高温时段、越是系统需要削峰的时刻，单位排热的能耗代价越高。因此干式替代实质上把部分水约束转换为电力约束，其可行范围受峰值电力与接网容量限制（见表3-2扩展约束），并可能抬升电力间接水足迹与碳排放。模型据此把干湿混合比例设为外生方案参数而非自由优化变量，并单独核算其能耗代价，不预设“改干冷即可解除水系统承载约束”。设施能耗同样不以固定电能使用效率（Power Usage Effectiveness, PUE）换算，而以随负载率变化的效率曲线计算，避免以定值PUE低估低负载工况下的能耗与排热。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[93,94]，工业冷却再生水回用条件参见综述[95]，数据中心用水效率按水资源使用效率（Water Use Efficiency, WUE）标准统一口径[88]。</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与推理负载的日内曲线，通过改变两者的相位差检验“错峰”与“重合”两种情形，而非默认二者同步。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模型把“蒸发损失—回流量—再生水可利用源量”作为一条显式核算链条，用于描述不同冷却方式对城市水循环路径的影响；在城市尺度下，其主要作用表现为改变AI用水结构和水源配置需求，而非AI自身回流量决定城市再生水供给。在缺水情景下，缺水促使冷却系统提高浓缩倍数或改用干式排热，城市同时主动提高非传统水源配置比例；节水与再生水源量的联动作为敏感性情形单独报告，不预设其主导承载边界。</w:t>
      </w:r>
    </w:p>
    <w:p w14:paraId="7F9DB997">
      <w:pPr>
        <w:spacing w:before="0" w:after="0" w:line="360" w:lineRule="auto"/>
        <w:ind w:firstLine="420"/>
      </w:pPr>
      <w:r>
        <w:rPr>
          <w:rFonts w:ascii="Times New Roman" w:hAnsi="Times New Roman" w:eastAsia="宋体" w:cs="Times New Roman"/>
          <w:b w:val="0"/>
          <w:color w:val="000000"/>
          <w:sz w:val="24"/>
        </w:rPr>
        <w:t>该链条的影响还需结合量级判断。城市再生水的主要来源是居民、工业、商业与公共设施的综合污水，数据中心排水在城市污水总量中的占比通常较小</w:t>
      </w:r>
      <w:r>
        <w:rPr>
          <w:rFonts w:hint="eastAsia" w:cs="Times New Roman"/>
          <w:b w:val="0"/>
          <w:color w:val="000000"/>
          <w:sz w:val="24"/>
          <w:lang w:eastAsia="zh-CN"/>
        </w:rPr>
        <w:t>，</w:t>
      </w:r>
      <w:r>
        <w:rPr>
          <w:rFonts w:hint="eastAsia" w:cs="Times New Roman"/>
          <w:b w:val="0"/>
          <w:color w:val="000000"/>
          <w:sz w:val="24"/>
          <w:lang w:val="en-US" w:eastAsia="zh-CN"/>
        </w:rPr>
        <w:t>但数据中心规模正在飞速扩张，且AI数据中心是空间极度集中的超大单体“点源”</w:t>
      </w:r>
      <w:r>
        <w:rPr>
          <w:rFonts w:ascii="Times New Roman" w:hAnsi="Times New Roman" w:eastAsia="宋体" w:cs="Times New Roman"/>
          <w:b w:val="0"/>
          <w:color w:val="000000"/>
          <w:sz w:val="24"/>
        </w:rPr>
        <w:t>；该链条主要用于设施与局部尺度的影响路径核算与敏感性分析，城市尺度承载边界的变化主要由新增取水需求与峰值供水压力驱动。</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代谢响应分析沿用2.3定义的三个层次（规模响应、结构响应、约束状态转换）。只有结构指标出现系统性变化，且该变化在改变压力条件或解除单一容量约束后仍然存在时，才将其解释为结构重构。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在求解方向上，AI规模增加使各约束的剩余裕度下降，当某一约束最先达到失效条件时，即形成该条件下的承载边界。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r>
        <w:rPr>
          <w:rFonts w:hint="eastAsia" w:cs="Times New Roman"/>
          <w:sz w:val="24"/>
          <w:szCs w:val="24"/>
          <w:lang w:eastAsia="zh-CN"/>
        </w:rPr>
        <w:t>，</w:t>
      </w:r>
      <w:r>
        <w:rPr>
          <w:rFonts w:hint="eastAsia" w:cs="Times New Roman"/>
          <w:sz w:val="24"/>
          <w:szCs w:val="24"/>
          <w:lang w:val="en-US" w:eastAsia="zh-CN"/>
        </w:rPr>
        <w:t>如</w:t>
      </w:r>
      <w:r>
        <w:rPr>
          <w:rFonts w:ascii="Times New Roman" w:hAnsi="Times New Roman" w:eastAsia="宋体" w:cs="Times New Roman"/>
          <w:sz w:val="24"/>
          <w:szCs w:val="24"/>
        </w:rPr>
        <w:t>：</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而非固定的水资源总量阈值。</w:t>
      </w:r>
    </w:p>
    <w:p w14:paraId="7330F92D">
      <w:pPr>
        <w:spacing w:before="0" w:after="0" w:line="360" w:lineRule="auto"/>
        <w:ind w:firstLine="420"/>
      </w:pPr>
      <w:r>
        <w:rPr>
          <w:rFonts w:ascii="Times New Roman" w:hAnsi="Times New Roman" w:eastAsia="宋体"/>
          <w:sz w:val="24"/>
          <w:szCs w:val="24"/>
        </w:rPr>
        <w:t>还需说明尺度一致性：本研究区分设施尺度水循环影响与城市尺度承载约束。AI设施内部回用和排放过程用于描述水量路径，但城市尺度CAWCC主要由新增取水需求、峰值供水压力和公共设施能力决定。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防止承载边界只考虑水量峰值而忽略能耗峰值：AI节点及新增再生水深度处理环节的电力需求按能耗强度系数核算，峰值电力需求不超过情景设定的供电与接网容量即为可行。碳排放不作为失效判据，而是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据此，本研究将模型明确定位为以水系统物理承载力为主、能—碳效应作为外部环境影响后评估的分析框架，而非全耦合的水—能—碳综合规划模型。同理，冷却方式替换也不构成对水约束的规避：以干式排热替代湿冷是以显著提高的风机与制冷能耗换取补水削减，其能耗代价随湿球温度上升而增大，并受表3-2扩展约束中峰值电力与接网容量限制，因此该措施只能改变主导约束的相对位置（由水约束向能—电约束转移），而不能消除承载边界本身。</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居民及关键公共服务的未满足量受预设最低服务要求约束；AI节点在任一时间步出现正的未满足需求即判定该容量不可行。因此CAWCC是"不牺牲既定服务水平"前提下的可承载容量，而非"允许AI断供后仍可装机"的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对应原型系统在典型气候—水资源特征下的相对位置而非某一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在AI负荷达到城市尺度显著影响水平、且相关设施余量接近约束状态的假设前提下，主导瓶颈可先在水源、给水与输配等一级约束环节之间迁移；只有当供水侧余量充足而污水、再生水设施余量接近上限时，瓶颈才向污水处理与再生水利用等二级约束环节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仅指单位能力增量带来的承载边界增量，即物理有效性。</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其中干式替代的能耗与接网代价按3.5扩展约束核算，不作为无代价的节水选项）。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hint="eastAsia" w:ascii="Times New Roman" w:hAnsi="Times New Roman" w:eastAsia="宋体" w:cs="Times New Roman"/>
          <w:b w:val="0"/>
          <w:color w:val="000000"/>
          <w:sz w:val="24"/>
        </w:rPr>
        <w:t>总体技术路线紧扣前述四大核心研究内容，按照</w:t>
      </w:r>
      <w:bookmarkStart w:id="65" w:name="_GoBack"/>
      <w:bookmarkEnd w:id="65"/>
      <w:r>
        <w:rPr>
          <w:rFonts w:hint="eastAsia" w:ascii="Times New Roman" w:hAnsi="Times New Roman" w:eastAsia="宋体" w:cs="Times New Roman"/>
          <w:b w:val="0"/>
          <w:color w:val="000000"/>
          <w:sz w:val="24"/>
        </w:rPr>
        <w:t>‘模型构建—响应模拟—边界求解—机制识别’的逻辑主线推进（包含数据准备、核心模拟与成果应用 6 个实施步骤，见图 3-1）</w:t>
      </w:r>
      <w:r>
        <w:rPr>
          <w:rFonts w:hint="eastAsia" w:cs="Times New Roman"/>
          <w:b w:val="0"/>
          <w:color w:val="000000"/>
          <w:sz w:val="24"/>
          <w:lang w:eastAsia="zh-CN"/>
        </w:rPr>
        <w:t>。</w:t>
      </w:r>
      <w:r>
        <w:rPr>
          <w:rFonts w:ascii="Times New Roman" w:hAnsi="Times New Roman" w:eastAsia="宋体" w:cs="Times New Roman"/>
          <w:b w:val="0"/>
          <w:color w:val="000000"/>
          <w:sz w:val="24"/>
        </w:rPr>
        <w:t>首先建立AI—城市水系统耦合模型并完成参数与守恒校核；其次设置AI容量梯度、城市系统状态与外部压力情景，开展代谢响应模拟；再次在多个时间尺度下求解条件化承载边界；最后识别主导瓶颈并比较干预措施的效果。其中，水系统物理承载力为核心计算层，能—碳效应作为外部环境影响后评估，在固定AI容量下核算，不进入承载边界求解。</w:t>
      </w:r>
    </w:p>
    <w:p w14:paraId="1773A09F">
      <w:pPr>
        <w:spacing w:before="0" w:after="0" w:line="360" w:lineRule="auto"/>
        <w:ind w:firstLine="420"/>
      </w:pPr>
      <w:r>
        <w:t>参数来自公开统计、标准规范和工程文献。研究采用基于典型气候—水资源特征的原型系统（Archetype System）与参数域情景：原型城市水系统由典型气候带、水资源禀赋与供排水设施水平的组合定义，结构关系取自城市水代谢模型的通用表示，参数量级由公开统计、标准规范与工程资料标定，公开资料仅用于校核参数量级[96-100]。各参数域以工程化区间描述，其端点参照同类资料确定；模型输入为原型系统状态、气象序列和工程参数，不代入具体城市的管网拓扑、项目位置或设施台账，结论因而按参数域适用。</w:t>
      </w:r>
    </w:p>
    <w:p w14:paraId="0B72D791">
      <w:pPr>
        <w:spacing w:before="0" w:after="0" w:line="360" w:lineRule="auto"/>
        <w:ind w:firstLine="420"/>
      </w:pPr>
      <w:r>
        <w:t>外部校核按三类原型参数域组织：（1）缺水—高冷负荷型：水源余量低、夏季湿球温度高、再生水占比较高，且该情景下再生水占比提高源于城市在缺水条件下主动提高非传统水源配置比例，而非AI自身排污增加所致，用于检验最紧约束下的极值方向与量级上限；（2）气候凉爽型：湿球温度低、自然冷却时数长，用于检验低补水、低蒸发端点；（3）能源富集型：电力间接水足迹和碳强度较高，用于检验能—碳条件变化下水系统承载力结论的稳定性。三类参数域仅界定合理取值范围[96-100]，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三类参数域端点界定的区间，并以无量纲裕度表示；超出区间的外推需另行论证。参数端点、来源和适用工况均记入证据表，结果逐条标注适用域，避免以单一端点替代一般结论。模型通过工程参数校核、守恒验证和敏感性分析保证可靠性。</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7862"/>
      <w:bookmarkStart w:id="36" w:name="_Toc23871"/>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解释再生水扩容何时有效、何时受源量等条件限制，并以外部环境影响后评估的方式识别节水措施可能造成的能耗与碳排放转移。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识别不同冷却方式对AI取水、消耗比例及城市水源配置压力的影响，并在敏感性分析中检验节水与再生水源量的联动。</w:t>
      </w:r>
    </w:p>
    <w:p w14:paraId="6458820D">
      <w:pPr>
        <w:pStyle w:val="23"/>
        <w:pageBreakBefore w:val="0"/>
        <w:ind w:firstLine="0" w:firstLineChars="0"/>
        <w:outlineLvl w:val="1"/>
      </w:pPr>
      <w:bookmarkStart w:id="39" w:name="_Toc10751"/>
      <w:bookmarkStart w:id="40" w:name="_Toc30187"/>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0347"/>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转换。主要结论一律以条件化形式表述。</w:t>
      </w:r>
    </w:p>
    <w:p w14:paraId="5C893B0C">
      <w:pPr>
        <w:pStyle w:val="22"/>
        <w:pageBreakBefore w:val="0"/>
        <w:ind w:firstLine="0" w:firstLineChars="0"/>
        <w:outlineLvl w:val="0"/>
      </w:pPr>
      <w:bookmarkStart w:id="45" w:name="_Toc31438"/>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6592"/>
      <w:bookmarkStart w:id="48"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原型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25570"/>
      <w:bookmarkStart w:id="58" w:name="_Toc474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易在水量、水—能—碳、成本和跨城市比较之间扩张。研究按“核心闭合—边界实验—扩展分析”推进，扩展模块必须明确输入、输出和验证方式，且不改变CAWCC定义。能源与碳排放不作为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空间分辨率同样作为边界条件：AI-UWM为集总式节点网络，不解析管网拓扑与地块级接入条件，AI点源冲击通过局部接入能力与接入距离等外生参数表达（见3.3）。</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原型系统结果直接等同于任一具体城市的规划容量。</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Key Questions on Energy and AI[R]. Paris: IEA, 2026.</w:t>
      </w:r>
    </w:p>
    <w:p w14:paraId="6D51A629">
      <w:pPr>
        <w:spacing w:before="0" w:after="0" w:line="240" w:lineRule="auto"/>
        <w:ind w:left="420" w:hanging="420"/>
      </w:pPr>
      <w:r>
        <w:rPr>
          <w:rFonts w:ascii="Times New Roman" w:hAnsi="Times New Roman" w:eastAsia="宋体" w:cs="Times New Roman"/>
          <w:b w:val="0"/>
          <w:color w:val="000000"/>
          <w:sz w:val="24"/>
        </w:rPr>
        <w:t>[5] International Energy Agency. Energy and AI[R]. Paris: IEA, 2025.</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Xiao T, Fuso Nerini F, Matthews H D, et al. Environmental impact and net-zero pathways for sustainable artificial intelligence servers in the USA[J]. Nature Sustainability, 2025, 8: 1541-1553. DOI: 10.1038/s41893-025-01681-y.</w:t>
      </w:r>
    </w:p>
    <w:p w14:paraId="1CD19AFB">
      <w:pPr>
        <w:spacing w:before="0" w:after="0" w:line="240" w:lineRule="auto"/>
        <w:ind w:left="420" w:hanging="420"/>
      </w:pPr>
      <w:r>
        <w:rPr>
          <w:rFonts w:ascii="Times New Roman" w:hAnsi="Times New Roman" w:eastAsia="宋体" w:cs="Times New Roman"/>
          <w:b w:val="0"/>
          <w:color w:val="000000"/>
          <w:sz w:val="24"/>
        </w:rPr>
        <w:t>[8] Mytton D. Data centre water consumption[J]. npj Clean Water, 2021, 4: 11. DOI: 10.1038/s41545-021-00101-w.</w:t>
      </w:r>
    </w:p>
    <w:p w14:paraId="5A46F6EF">
      <w:pPr>
        <w:spacing w:before="0" w:after="0" w:line="240" w:lineRule="auto"/>
        <w:ind w:left="420" w:hanging="420"/>
      </w:pPr>
      <w:r>
        <w:rPr>
          <w:rFonts w:ascii="Times New Roman" w:hAnsi="Times New Roman" w:eastAsia="宋体" w:cs="Times New Roman"/>
          <w:b w:val="0"/>
          <w:color w:val="000000"/>
          <w:sz w:val="24"/>
        </w:rPr>
        <w:t>[9] Lei N, Lu J, Shehabi A, et al. The water use of data center workloads: A review and assessment of key determinants[J]. Resources, Conservation and Recycling, 2025, 219: 108310. DOI: 10.1016/j.resconrec.2025.108310.</w:t>
      </w:r>
    </w:p>
    <w:p w14:paraId="2A220B8A">
      <w:pPr>
        <w:spacing w:before="0" w:after="0" w:line="240" w:lineRule="auto"/>
        <w:ind w:left="420" w:hanging="420"/>
      </w:pPr>
      <w:r>
        <w:rPr>
          <w:rFonts w:ascii="Times New Roman" w:hAnsi="Times New Roman" w:eastAsia="宋体" w:cs="Times New Roman"/>
          <w:b w:val="0"/>
          <w:color w:val="000000"/>
          <w:sz w:val="24"/>
        </w:rPr>
        <w:t>[10] Siddik M A B, Shehabi A, Marston L. The environmental footprint of data centers in the United States[J]. Environmental Research Letters, 2021, 16(6): 064017. DOI: 10.1088/1748-9326/abfba1.</w:t>
      </w:r>
    </w:p>
    <w:p w14:paraId="248272F1">
      <w:pPr>
        <w:spacing w:before="0" w:after="0" w:line="240" w:lineRule="auto"/>
        <w:ind w:left="420" w:hanging="420"/>
      </w:pPr>
      <w:r>
        <w:rPr>
          <w:rFonts w:ascii="Times New Roman" w:hAnsi="Times New Roman" w:eastAsia="宋体" w:cs="Times New Roman"/>
          <w:b w:val="0"/>
          <w:color w:val="000000"/>
          <w:sz w:val="24"/>
        </w:rPr>
        <w:t>[11] Lucertini G, Musco F. Circular Urban Metabolism Framework[J]. One Earth, 2020, 2: 138-142. DOI: 10.1016/j.oneear.2020.02.004.</w:t>
      </w:r>
    </w:p>
    <w:p w14:paraId="1F92EC81">
      <w:pPr>
        <w:spacing w:before="0" w:after="0" w:line="240" w:lineRule="auto"/>
        <w:ind w:left="420" w:hanging="420"/>
      </w:pPr>
      <w:r>
        <w:rPr>
          <w:rFonts w:ascii="Times New Roman" w:hAnsi="Times New Roman" w:eastAsia="宋体" w:cs="Times New Roman"/>
          <w:b w:val="0"/>
          <w:color w:val="000000"/>
          <w:sz w:val="24"/>
        </w:rPr>
        <w:t>[12]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3B8CDF8">
      <w:pPr>
        <w:spacing w:before="0" w:after="0" w:line="240" w:lineRule="auto"/>
        <w:ind w:left="420" w:hanging="420"/>
      </w:pPr>
      <w:r>
        <w:rPr>
          <w:rFonts w:ascii="Times New Roman" w:hAnsi="Times New Roman" w:eastAsia="宋体" w:cs="Times New Roman"/>
          <w:b w:val="0"/>
          <w:color w:val="000000"/>
          <w:sz w:val="24"/>
        </w:rPr>
        <w:t>[13] Urich C, Rauch W. Modelling the urban water cycle as an integrated part of the city: a review[J]. Water Science and Technology, 2014, 70(11): 1857-1872. DOI: 10.2166/wst.2014.363.</w:t>
      </w:r>
    </w:p>
    <w:p w14:paraId="480CA44C">
      <w:pPr>
        <w:spacing w:before="0" w:after="0" w:line="240" w:lineRule="auto"/>
        <w:ind w:left="420" w:hanging="420"/>
      </w:pPr>
      <w:r>
        <w:rPr>
          <w:rFonts w:ascii="Times New Roman" w:hAnsi="Times New Roman" w:eastAsia="宋体" w:cs="Times New Roman"/>
          <w:b w:val="0"/>
          <w:color w:val="000000"/>
          <w:sz w:val="24"/>
        </w:rPr>
        <w:t>[14] Dobson B, Liu L, Mijic A. Modelling water quantity and quality for integrated water cycle management with the Water Systems Integrated Modelling framework (WSIMOD) software[J]. Geoscientific Model Development, 2024, 17: 4495-4513. DOI: 10.5194/gmd-17-4495-2024.</w:t>
      </w:r>
    </w:p>
    <w:p w14:paraId="4D0D1697">
      <w:pPr>
        <w:spacing w:before="0" w:after="0" w:line="240" w:lineRule="auto"/>
        <w:ind w:left="420" w:hanging="420"/>
      </w:pPr>
      <w:r>
        <w:rPr>
          <w:rFonts w:ascii="Times New Roman" w:hAnsi="Times New Roman" w:eastAsia="宋体" w:cs="Times New Roman"/>
          <w:b w:val="0"/>
          <w:color w:val="000000"/>
          <w:sz w:val="24"/>
        </w:rPr>
        <w:t>[15] Wolman A. The metabolism of cities[J]. Scientific American, 1965, 213(3): 178-190. DOI: 10.1038/scientificamerican0965-178.</w:t>
      </w:r>
    </w:p>
    <w:p w14:paraId="02547DF4">
      <w:pPr>
        <w:spacing w:before="0" w:after="0" w:line="240" w:lineRule="auto"/>
        <w:ind w:left="420" w:hanging="420"/>
      </w:pPr>
      <w:r>
        <w:rPr>
          <w:rFonts w:ascii="Times New Roman" w:hAnsi="Times New Roman" w:eastAsia="宋体" w:cs="Times New Roman"/>
          <w:b w:val="0"/>
          <w:color w:val="000000"/>
          <w:sz w:val="24"/>
        </w:rPr>
        <w:t>[16] Kennedy C, Cuddihy J, Engel-Yan J. The changing metabolism of cities[J]. Journal of Industrial Ecology, 2007, 11(2): 43-59. DOI: 10.1162/jie.2007.1107.</w:t>
      </w:r>
    </w:p>
    <w:p w14:paraId="116DE03F">
      <w:pPr>
        <w:spacing w:before="0" w:after="0" w:line="240" w:lineRule="auto"/>
        <w:ind w:left="420" w:hanging="420"/>
      </w:pPr>
      <w:r>
        <w:rPr>
          <w:rFonts w:ascii="Times New Roman" w:hAnsi="Times New Roman" w:eastAsia="宋体" w:cs="Times New Roman"/>
          <w:b w:val="0"/>
          <w:color w:val="000000"/>
          <w:sz w:val="24"/>
        </w:rPr>
        <w:t>[17] Kennedy C, Pincetl S, Bunje P. The study of urban metabolism and its applications to urban planning and design[J]. Environmental Pollution, 2011, 159(8-9): 1965-1973. DOI: 10.1016/j.envpol.2010.10.022.</w:t>
      </w:r>
    </w:p>
    <w:p w14:paraId="021228AE">
      <w:pPr>
        <w:spacing w:before="0" w:after="0" w:line="240" w:lineRule="auto"/>
        <w:ind w:left="420" w:hanging="420"/>
      </w:pPr>
      <w:r>
        <w:rPr>
          <w:rFonts w:ascii="Times New Roman" w:hAnsi="Times New Roman" w:eastAsia="宋体" w:cs="Times New Roman"/>
          <w:b w:val="0"/>
          <w:color w:val="000000"/>
          <w:sz w:val="24"/>
        </w:rPr>
        <w:t>[18] Castán Broto V, Allen A, Rapoport E. Interdisciplinary perspectives on urban metabolism[J]. Journal of Industrial Ecology, 2012, 16(6): 851-861. DOI: 10.1111/j.1530-9290.2012.00556.x.</w:t>
      </w:r>
    </w:p>
    <w:p w14:paraId="376A4FEC">
      <w:pPr>
        <w:spacing w:before="0" w:after="0" w:line="240" w:lineRule="auto"/>
        <w:ind w:left="420" w:hanging="420"/>
      </w:pPr>
      <w:r>
        <w:rPr>
          <w:rFonts w:ascii="Times New Roman" w:hAnsi="Times New Roman" w:eastAsia="宋体" w:cs="Times New Roman"/>
          <w:b w:val="0"/>
          <w:color w:val="000000"/>
          <w:sz w:val="24"/>
        </w:rPr>
        <w:t>[19] Behzadian K, Kapelan Z, Venkatesh G, et al. WaterMet²: a tool for integrated analysis of sustainability-based performance of urban water systems[J]. Drinking Water Engineering and Science, 2014, 7: 63-72. DOI: 10.5194/dwes-7-63-2014.</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Modelling metabolism based performance of an urban water system using WaterMet²[J]. Resources, Conservation and Recycling, 2015, 99: 84-99. DOI: 10.1016/j.resconrec.2015.03.015.</w:t>
      </w:r>
    </w:p>
    <w:p w14:paraId="6B8C3891">
      <w:pPr>
        <w:spacing w:before="0" w:after="0" w:line="240" w:lineRule="auto"/>
        <w:ind w:left="420" w:hanging="420"/>
      </w:pPr>
      <w:r>
        <w:rPr>
          <w:rFonts w:ascii="Times New Roman" w:hAnsi="Times New Roman" w:eastAsia="宋体" w:cs="Times New Roman"/>
          <w:b w:val="0"/>
          <w:color w:val="000000"/>
          <w:sz w:val="24"/>
        </w:rPr>
        <w:t>[21] Bach P M, Rauch W, Mikkelsen P S, et al. A critical review of integrated urban water modelling—Urban drainage and beyond[J]. Environmental Modelling &amp; Software, 2014, 54: 88-107. DOI: 10.1016/j.envsoft.2013.12.018.</w:t>
      </w:r>
    </w:p>
    <w:p w14:paraId="47E48550">
      <w:pPr>
        <w:spacing w:before="0" w:after="0" w:line="240" w:lineRule="auto"/>
        <w:ind w:left="420" w:hanging="420"/>
      </w:pPr>
      <w:r>
        <w:rPr>
          <w:rFonts w:ascii="Times New Roman" w:hAnsi="Times New Roman" w:eastAsia="宋体" w:cs="Times New Roman"/>
          <w:b w:val="0"/>
          <w:color w:val="000000"/>
          <w:sz w:val="24"/>
        </w:rPr>
        <w:t>[22] Nezami N, Zarghami M, Tizghadam M, et al. A novel hybrid systemic modeling into sustainable dynamic urban water metabolism management: Case study[J]. Sustainable Cities and Society, 2022, 85: 104065. DOI: 10.1016/j.scs.2022.104065.</w:t>
      </w:r>
    </w:p>
    <w:p w14:paraId="3F270E76">
      <w:pPr>
        <w:spacing w:before="0" w:after="0" w:line="240" w:lineRule="auto"/>
        <w:ind w:left="420" w:hanging="420"/>
      </w:pPr>
      <w:r>
        <w:rPr>
          <w:rFonts w:ascii="Times New Roman" w:hAnsi="Times New Roman" w:eastAsia="宋体" w:cs="Times New Roman"/>
          <w:b w:val="0"/>
          <w:color w:val="000000"/>
          <w:sz w:val="24"/>
        </w:rPr>
        <w:t>[23] Emamjomehzadeh O, Kerachian R, Emami-Skardi M J, et al. Combining urban metabolism and reinforcement learning concepts for sustainable water resources management: A nexus approach[J]. Journal of Environmental Management, 2023, 329: 117046. DOI: 10.1016/j.jenvman.2022.117046.</w:t>
      </w:r>
    </w:p>
    <w:p w14:paraId="6A3EF402">
      <w:pPr>
        <w:spacing w:before="0" w:after="0" w:line="240" w:lineRule="auto"/>
        <w:ind w:left="420" w:hanging="420"/>
      </w:pPr>
      <w:r>
        <w:rPr>
          <w:rFonts w:ascii="Times New Roman" w:hAnsi="Times New Roman" w:eastAsia="宋体" w:cs="Times New Roman"/>
          <w:b w:val="0"/>
          <w:color w:val="000000"/>
          <w:sz w:val="24"/>
        </w:rPr>
        <w:t>[24] Fu G, Butler D, Khu S T. Multiple objective modelling of urban water systems: A review[J]. Water Research, 2019, 150: 1-14. DOI: 10.1016/j.watres.2018.11.046.</w:t>
      </w:r>
    </w:p>
    <w:p w14:paraId="48DA998E">
      <w:pPr>
        <w:spacing w:before="0" w:after="0" w:line="240" w:lineRule="auto"/>
        <w:ind w:left="420" w:hanging="420"/>
      </w:pPr>
      <w:r>
        <w:rPr>
          <w:rFonts w:ascii="Times New Roman" w:hAnsi="Times New Roman" w:eastAsia="宋体" w:cs="Times New Roman"/>
          <w:b w:val="0"/>
          <w:color w:val="000000"/>
          <w:sz w:val="24"/>
        </w:rPr>
        <w:t>[25] Behzadian K, Kapelan Z. Advantages of integrated and system dynamics approaches for urban water management[J]. Journal of Environmental Management, 2015, 150: 110-122. DOI: 10.1016/j.jenvman.2015.02.009.</w:t>
      </w:r>
    </w:p>
    <w:p w14:paraId="7D3E1D9A">
      <w:pPr>
        <w:spacing w:before="0" w:after="0" w:line="240" w:lineRule="auto"/>
        <w:ind w:left="420" w:hanging="420"/>
      </w:pPr>
      <w:r>
        <w:rPr>
          <w:rFonts w:ascii="Times New Roman" w:hAnsi="Times New Roman" w:eastAsia="宋体" w:cs="Times New Roman"/>
          <w:b w:val="0"/>
          <w:color w:val="000000"/>
          <w:sz w:val="24"/>
        </w:rPr>
        <w:t>[26] Puchol-Salort P, Boskovic S, Dobson B, et al. Water neutrality framework for systemic design of new urban developments[J]. Water Research, 2022, 219: 118583. DOI: 10.1016/j.watres.2022.118583.</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et al.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et al.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et al.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Liu Z, Huang Q, He C, et al. Water-energy nexus within urban agglomeration[J]. Resources, Conservation and Recycling, 2021, 164: 105113. DOI: 10.1016/j.resconrec.2020.105113.</w:t>
      </w:r>
    </w:p>
    <w:p w14:paraId="1721DFEE">
      <w:pPr>
        <w:spacing w:before="0" w:after="0" w:line="240" w:lineRule="auto"/>
        <w:ind w:left="420" w:hanging="420"/>
      </w:pPr>
      <w:r>
        <w:rPr>
          <w:rFonts w:ascii="Times New Roman" w:hAnsi="Times New Roman" w:eastAsia="宋体" w:cs="Times New Roman"/>
          <w:b w:val="0"/>
          <w:color w:val="000000"/>
          <w:sz w:val="24"/>
        </w:rPr>
        <w:t>[34] Radini S, Marinelli E, Akyol Ç, et al. Urban water-energy-food-climate nexus in integrated wastewater and reuse systems[J]. Applied Energy, 2021, 298: 117268. DOI: 10.1016/j.apenergy.2021.117268.</w:t>
      </w:r>
    </w:p>
    <w:p w14:paraId="60F8EE6E">
      <w:pPr>
        <w:spacing w:before="0" w:after="0" w:line="240" w:lineRule="auto"/>
        <w:ind w:left="420" w:hanging="420"/>
      </w:pPr>
      <w:r>
        <w:rPr>
          <w:rFonts w:ascii="Times New Roman" w:hAnsi="Times New Roman" w:eastAsia="宋体" w:cs="Times New Roman"/>
          <w:b w:val="0"/>
          <w:color w:val="000000"/>
          <w:sz w:val="24"/>
        </w:rPr>
        <w:t>[35] Strubell E, Ganesh A, McCallum A. Energy and policy considerations for deep learning in NLP[C]//Proceedings of the 57th Annual Meeting of the Association for Computational Linguistics. Florence: ACL, 2019: 3645-3650. DOI: 10.18653/v1/P19-1355.</w:t>
      </w:r>
    </w:p>
    <w:p w14:paraId="3B863CF5">
      <w:pPr>
        <w:spacing w:before="0" w:after="0" w:line="240" w:lineRule="auto"/>
        <w:ind w:left="420" w:hanging="420"/>
      </w:pPr>
      <w:r>
        <w:rPr>
          <w:rFonts w:ascii="Times New Roman" w:hAnsi="Times New Roman" w:eastAsia="宋体" w:cs="Times New Roman"/>
          <w:b w:val="0"/>
          <w:color w:val="000000"/>
          <w:sz w:val="24"/>
        </w:rPr>
        <w:t>[36] Henderson P, Hu J, Romoff J, et al. Towards the systematic reporting of the energy and carbon footprints of machine learning[J]. Journal of Machine Learning Research, 2020, 21(248): 1-43.</w:t>
      </w:r>
    </w:p>
    <w:p w14:paraId="6A44D311">
      <w:pPr>
        <w:spacing w:before="0" w:after="0" w:line="240" w:lineRule="auto"/>
        <w:ind w:left="420" w:hanging="420"/>
      </w:pPr>
      <w:r>
        <w:rPr>
          <w:rFonts w:ascii="Times New Roman" w:hAnsi="Times New Roman" w:eastAsia="宋体" w:cs="Times New Roman"/>
          <w:b w:val="0"/>
          <w:color w:val="000000"/>
          <w:sz w:val="24"/>
        </w:rPr>
        <w:t>[37] Lannelongue L, Grealey J, Inouye M. Green Algorithms: Quantifying the carbon footprint of computation[J]. Advanced Science, 2021, 8(12): 2100707. DOI: 10.1002/advs.202100707.</w:t>
      </w:r>
    </w:p>
    <w:p w14:paraId="521316E9">
      <w:pPr>
        <w:spacing w:before="0" w:after="0" w:line="240" w:lineRule="auto"/>
        <w:ind w:left="420" w:hanging="420"/>
      </w:pPr>
      <w:r>
        <w:rPr>
          <w:rFonts w:ascii="Times New Roman" w:hAnsi="Times New Roman" w:eastAsia="宋体" w:cs="Times New Roman"/>
          <w:b w:val="0"/>
          <w:color w:val="000000"/>
          <w:sz w:val="24"/>
        </w:rPr>
        <w:t>[38] Schwartz R, Dodge J, Smith N A, et al. Green AI[J]. Communications of the ACM, 2020, 63(12): 54-63. DOI: 10.1145/3381831.</w:t>
      </w:r>
    </w:p>
    <w:p w14:paraId="493021B9">
      <w:pPr>
        <w:spacing w:before="0" w:after="0" w:line="240" w:lineRule="auto"/>
        <w:ind w:left="420" w:hanging="420"/>
      </w:pPr>
      <w:r>
        <w:rPr>
          <w:rFonts w:ascii="Times New Roman" w:hAnsi="Times New Roman" w:eastAsia="宋体" w:cs="Times New Roman"/>
          <w:b w:val="0"/>
          <w:color w:val="000000"/>
          <w:sz w:val="24"/>
        </w:rPr>
        <w:t>[39] Patterson D, Gonzalez J, Hölzle U, et al. The carbon footprint of machine learning training will plateau, then shrink[J]. Computer, 2022, 55(7): 18-28. DOI: 10.1109/MC.2022.3148714.</w:t>
      </w:r>
    </w:p>
    <w:p w14:paraId="762A545D">
      <w:pPr>
        <w:spacing w:before="0" w:after="0" w:line="240" w:lineRule="auto"/>
        <w:ind w:left="420" w:hanging="420"/>
      </w:pPr>
      <w:r>
        <w:rPr>
          <w:rFonts w:ascii="Times New Roman" w:hAnsi="Times New Roman" w:eastAsia="宋体" w:cs="Times New Roman"/>
          <w:b w:val="0"/>
          <w:color w:val="000000"/>
          <w:sz w:val="24"/>
        </w:rPr>
        <w:t>[40] Luccioni A S, Viguier S, Ligozat A L. Estimating the carbon footprint of BLOOM, a 176B parameter language model[J]. Journal of Machine Learning Research, 2023, 24(253): 1-15.</w:t>
      </w:r>
    </w:p>
    <w:p w14:paraId="3CD32609">
      <w:pPr>
        <w:spacing w:before="0" w:after="0" w:line="240" w:lineRule="auto"/>
        <w:ind w:left="420" w:hanging="420"/>
      </w:pPr>
      <w:r>
        <w:rPr>
          <w:rFonts w:ascii="Times New Roman" w:hAnsi="Times New Roman" w:eastAsia="宋体" w:cs="Times New Roman"/>
          <w:b w:val="0"/>
          <w:color w:val="000000"/>
          <w:sz w:val="24"/>
        </w:rPr>
        <w:t>[41] Luccioni A S, Jernite Y, Strubell E. Power hungry processing: Watts driving the cost of AI deployment?[C]//Proceedings of the 2024 ACM Conference on Fairness, Accountability, and Transparency. New York: ACM, 2024: 85-99. DOI: 10.1145/3630106.3658542.</w:t>
      </w:r>
    </w:p>
    <w:p w14:paraId="423BF03C">
      <w:pPr>
        <w:spacing w:before="0" w:after="0" w:line="240" w:lineRule="auto"/>
        <w:ind w:left="420" w:hanging="420"/>
      </w:pPr>
      <w:r>
        <w:rPr>
          <w:rFonts w:ascii="Times New Roman" w:hAnsi="Times New Roman" w:eastAsia="宋体" w:cs="Times New Roman"/>
          <w:b w:val="0"/>
          <w:color w:val="000000"/>
          <w:sz w:val="24"/>
        </w:rPr>
        <w:t>[42] Wang P, Zhang L Y, Tzachor A, et al. E-waste challenges of generative artificial intelligence[J]. Nature Computational Science, 2024, 4: 818-823. DOI: 10.1038/s43588-024-00712-6.</w:t>
      </w:r>
    </w:p>
    <w:p w14:paraId="0CF24410">
      <w:pPr>
        <w:spacing w:before="0" w:after="0" w:line="240" w:lineRule="auto"/>
        <w:ind w:left="420" w:hanging="420"/>
      </w:pPr>
      <w:r>
        <w:rPr>
          <w:rFonts w:ascii="Times New Roman" w:hAnsi="Times New Roman" w:eastAsia="宋体" w:cs="Times New Roman"/>
          <w:b w:val="0"/>
          <w:color w:val="000000"/>
          <w:sz w:val="24"/>
        </w:rPr>
        <w:t>[43] Dhar P. The carbon impact of artificial intelligence[J]. Nature Machine Intelligence, 2020, 2: 423-425. DOI: 10.1038/s42256-020-0219-9.</w:t>
      </w:r>
    </w:p>
    <w:p w14:paraId="04F3AA22">
      <w:pPr>
        <w:spacing w:before="0" w:after="0" w:line="240" w:lineRule="auto"/>
        <w:ind w:left="420" w:hanging="420"/>
      </w:pPr>
      <w:r>
        <w:rPr>
          <w:rFonts w:ascii="Times New Roman" w:hAnsi="Times New Roman" w:eastAsia="宋体" w:cs="Times New Roman"/>
          <w:b w:val="0"/>
          <w:color w:val="000000"/>
          <w:sz w:val="24"/>
        </w:rPr>
        <w:t>[44] Lei N, Masanet E. Climate- and technology-specific PUE and WUE estimations for U.S. data centers[J]. Resources, Conservation and Recycling, 2022, 182: 106323. DOI: 10.1016/j.resconrec.2022.106323.</w:t>
      </w:r>
    </w:p>
    <w:p w14:paraId="68AA9A0B">
      <w:pPr>
        <w:spacing w:before="0" w:after="0" w:line="240" w:lineRule="auto"/>
        <w:ind w:left="420" w:hanging="420"/>
      </w:pPr>
      <w:r>
        <w:rPr>
          <w:rFonts w:ascii="Times New Roman" w:hAnsi="Times New Roman" w:eastAsia="宋体" w:cs="Times New Roman"/>
          <w:b w:val="0"/>
          <w:color w:val="000000"/>
          <w:sz w:val="24"/>
        </w:rPr>
        <w:t>[45] Karimi L, Yacuel L, Degraft-Johnson J, et al. Water-energy tradeoffs in data centers: A case study in hot-arid climates[J]. Resources, Conservation and Recycling, 2022, 181: 106194. DOI: 10.1016/j.resconrec.2022.106194.</w:t>
      </w:r>
    </w:p>
    <w:p w14:paraId="3DFB3676">
      <w:pPr>
        <w:spacing w:before="0" w:after="0" w:line="240" w:lineRule="auto"/>
        <w:ind w:left="420" w:hanging="420"/>
      </w:pPr>
      <w:r>
        <w:rPr>
          <w:rFonts w:ascii="Times New Roman" w:hAnsi="Times New Roman" w:eastAsia="宋体" w:cs="Times New Roman"/>
          <w:b w:val="0"/>
          <w:color w:val="000000"/>
          <w:sz w:val="24"/>
        </w:rPr>
        <w:t>[46] Li P, Yang J, Islam M A, et al. Making AI Less “Thirsty”: Uncovering and addressing the secret water footprint of AI models[J]. Communications of the ACM, 2025, 68(7): 54-61. DOI: 10.1145/3724499.</w:t>
      </w:r>
    </w:p>
    <w:p w14:paraId="7AAACFC0">
      <w:pPr>
        <w:spacing w:before="0" w:after="0" w:line="240" w:lineRule="auto"/>
        <w:ind w:left="420" w:hanging="420"/>
      </w:pPr>
      <w:r>
        <w:rPr>
          <w:rFonts w:ascii="Times New Roman" w:hAnsi="Times New Roman" w:eastAsia="宋体" w:cs="Times New Roman"/>
          <w:b w:val="0"/>
          <w:color w:val="000000"/>
          <w:sz w:val="24"/>
        </w:rPr>
        <w:t>[47] Herrera M, Xie X, Menapace A, et al. Sustainable AI infrastructure: A scenario-based forecast of water footprint under uncertainty[J]. Journal of Cleaner Production, 2025, 526: 146528. DOI: 10.1016/j.jclepro.2025.146528.</w:t>
      </w:r>
    </w:p>
    <w:p w14:paraId="024EC905">
      <w:pPr>
        <w:spacing w:before="0" w:after="0" w:line="240" w:lineRule="auto"/>
        <w:ind w:left="420" w:hanging="420"/>
      </w:pPr>
      <w:r>
        <w:rPr>
          <w:rFonts w:ascii="Times New Roman" w:hAnsi="Times New Roman" w:eastAsia="宋体" w:cs="Times New Roman"/>
          <w:b w:val="0"/>
          <w:color w:val="000000"/>
          <w:sz w:val="24"/>
        </w:rPr>
        <w:t>[48] Han Y, Li P, Wierman A, et al. Small Bottle, Big Pipe: Quantifying and Addressing the Impact of Data Centers on Public Water Systems[EB/OL]. arXiv:2603.02705, 2026[2026-09-10]. https://arxiv.org/abs/2603.02705. DOI: 10.48550/arXiv.2603.02705.</w:t>
      </w:r>
    </w:p>
    <w:p w14:paraId="2F86C596">
      <w:pPr>
        <w:spacing w:before="0" w:after="0" w:line="240" w:lineRule="auto"/>
        <w:ind w:left="420" w:hanging="420"/>
      </w:pPr>
      <w:r>
        <w:rPr>
          <w:rFonts w:ascii="Times New Roman" w:hAnsi="Times New Roman" w:eastAsia="宋体" w:cs="Times New Roman"/>
          <w:b w:val="0"/>
          <w:color w:val="000000"/>
          <w:sz w:val="24"/>
        </w:rPr>
        <w:t>[49] Akinade B A, Amanambu A C, Frame J M, et al. AI Data Centers and the Water Use Feedback Loop[EB/OL]. arXiv:2606.21760, 2026[2026-09-10]. https://arxiv.org/abs/2606.21760. DOI: 10.48550/arXiv.2606.21760.</w:t>
      </w:r>
    </w:p>
    <w:p w14:paraId="0D45DAF9">
      <w:pPr>
        <w:spacing w:before="0" w:after="0" w:line="240" w:lineRule="auto"/>
        <w:ind w:left="420" w:hanging="420"/>
      </w:pPr>
      <w:r>
        <w:rPr>
          <w:rFonts w:ascii="Times New Roman" w:hAnsi="Times New Roman" w:eastAsia="宋体" w:cs="Times New Roman"/>
          <w:b w:val="0"/>
          <w:color w:val="000000"/>
          <w:sz w:val="24"/>
        </w:rPr>
        <w:t>[50] Wang A, Zhang C, Xu T, et al. Global data–water symbiosis reduces AI infrastructure’s carbon and water footprint[J]. Environmental Science and Ecotechnology, 2026, 31: 100702. DOI: 10.1016/j.ese.2026.100702.</w:t>
      </w:r>
    </w:p>
    <w:p w14:paraId="7B7A559F">
      <w:pPr>
        <w:spacing w:before="0" w:after="0" w:line="240" w:lineRule="auto"/>
        <w:ind w:left="420" w:hanging="420"/>
      </w:pPr>
      <w:r>
        <w:rPr>
          <w:rFonts w:ascii="Times New Roman" w:hAnsi="Times New Roman" w:eastAsia="宋体" w:cs="Times New Roman"/>
          <w:b w:val="0"/>
          <w:color w:val="000000"/>
          <w:sz w:val="24"/>
        </w:rPr>
        <w:t>[51] Ebrahimi K, Jones G F, Fleischer A S. A review of data center cooling technology, operating conditions and the corresponding low-grade waste heat recovery opportunities[J]. Renewable and Sustainable Energy Reviews, 2014, 31: 622-638. DOI: 10.1016/j.rser.2013.12.007.</w:t>
      </w:r>
    </w:p>
    <w:p w14:paraId="72F714B0">
      <w:pPr>
        <w:spacing w:before="0" w:after="0" w:line="240" w:lineRule="auto"/>
        <w:ind w:left="420" w:hanging="420"/>
      </w:pPr>
      <w:r>
        <w:rPr>
          <w:rFonts w:ascii="Times New Roman" w:hAnsi="Times New Roman" w:eastAsia="宋体" w:cs="Times New Roman"/>
          <w:b w:val="0"/>
          <w:color w:val="000000"/>
          <w:sz w:val="24"/>
        </w:rPr>
        <w:t>[52] Zhang H, Shao S, Xu H, et al. Free cooling of data centers: A review[J]. Renewable and Sustainable Energy Reviews, 2014, 35: 171-182. DOI: 10.1016/j.rser.2014.04.017.</w:t>
      </w:r>
    </w:p>
    <w:p w14:paraId="407BA92F">
      <w:pPr>
        <w:spacing w:before="0" w:after="0" w:line="240" w:lineRule="auto"/>
        <w:ind w:left="420" w:hanging="420"/>
      </w:pPr>
      <w:r>
        <w:rPr>
          <w:rFonts w:ascii="Times New Roman" w:hAnsi="Times New Roman" w:eastAsia="宋体" w:cs="Times New Roman"/>
          <w:b w:val="0"/>
          <w:color w:val="000000"/>
          <w:sz w:val="24"/>
        </w:rPr>
        <w:t>[53] Daraghmeh H M, Wang C C. A review of current status of free cooling in datacenters[J]. Applied Thermal Engineering, 2017, 114: 1224-1239. DOI: 10.1016/j.applthermaleng.2016.10.093.</w:t>
      </w:r>
    </w:p>
    <w:p w14:paraId="2CD28000">
      <w:pPr>
        <w:spacing w:before="0" w:after="0" w:line="240" w:lineRule="auto"/>
        <w:ind w:left="420" w:hanging="420"/>
      </w:pPr>
      <w:r>
        <w:rPr>
          <w:rFonts w:ascii="Times New Roman" w:hAnsi="Times New Roman" w:eastAsia="宋体" w:cs="Times New Roman"/>
          <w:b w:val="0"/>
          <w:color w:val="000000"/>
          <w:sz w:val="24"/>
        </w:rPr>
        <w:t>[54] Mi R, Bai X, Xu X, et al. Energy performance evaluation in a data center with water-side free cooling[J]. Energy and Buildings, 2023, 295: 113278. DOI: 10.1016/j.enbuild.2023.113278.</w:t>
      </w:r>
    </w:p>
    <w:p w14:paraId="731EF9AB">
      <w:pPr>
        <w:spacing w:before="0" w:after="0" w:line="240" w:lineRule="auto"/>
        <w:ind w:left="420" w:hanging="420"/>
      </w:pPr>
      <w:r>
        <w:rPr>
          <w:rFonts w:ascii="Times New Roman" w:hAnsi="Times New Roman" w:eastAsia="宋体" w:cs="Times New Roman"/>
          <w:b w:val="0"/>
          <w:color w:val="000000"/>
          <w:sz w:val="24"/>
        </w:rPr>
        <w:t>[55] Yuan X, Zhou X, Pan Y, et al. Phase change cooling in data centers: A review[J]. Energy and Buildings, 2021, 236: 110764. DOI: 10.1016/j.enbuild.2021.110764.</w:t>
      </w:r>
    </w:p>
    <w:p w14:paraId="59E75948">
      <w:pPr>
        <w:spacing w:before="0" w:after="0" w:line="240" w:lineRule="auto"/>
        <w:ind w:left="420" w:hanging="420"/>
      </w:pPr>
      <w:r>
        <w:rPr>
          <w:rFonts w:ascii="Times New Roman" w:hAnsi="Times New Roman" w:eastAsia="宋体" w:cs="Times New Roman"/>
          <w:b w:val="0"/>
          <w:color w:val="000000"/>
          <w:sz w:val="24"/>
        </w:rPr>
        <w:t>[56] Zhang Y, Zhao Y, Dai S, et al. Cooling technologies for data centres and telecommunication base stations—A comprehensive review[J]. Journal of Cleaner Production, 2022, 334: 130280. DOI: 10.1016/j.jclepro.2021.130280.</w:t>
      </w:r>
    </w:p>
    <w:p w14:paraId="7A388BC2">
      <w:pPr>
        <w:spacing w:before="0" w:after="0" w:line="240" w:lineRule="auto"/>
        <w:ind w:left="420" w:hanging="420"/>
      </w:pPr>
      <w:r>
        <w:rPr>
          <w:rFonts w:ascii="Times New Roman" w:hAnsi="Times New Roman" w:eastAsia="宋体" w:cs="Times New Roman"/>
          <w:b w:val="0"/>
          <w:color w:val="000000"/>
          <w:sz w:val="24"/>
        </w:rPr>
        <w:t>[57] Chen H, Li D. Current status and challenges for liquid-cooled data centers[J]. Frontiers in Energy Research, 2022, 10: 952680. DOI: 10.3389/fenrg.2022.952680.</w:t>
      </w:r>
    </w:p>
    <w:p w14:paraId="54F19AF2">
      <w:pPr>
        <w:spacing w:before="0" w:after="0" w:line="240" w:lineRule="auto"/>
        <w:ind w:left="420" w:hanging="420"/>
      </w:pPr>
      <w:r>
        <w:rPr>
          <w:rFonts w:ascii="Times New Roman" w:hAnsi="Times New Roman" w:eastAsia="宋体" w:cs="Times New Roman"/>
          <w:b w:val="0"/>
          <w:color w:val="000000"/>
          <w:sz w:val="24"/>
        </w:rPr>
        <w:t>[58] Chen L, Wemhoff A P. The sustainability benefits of economization in data centers containing chilled water systems[J]. Resources, Conservation and Recycling, 2023, 196: 107053. DOI: 10.1016/j.resconrec.2023.107053.</w:t>
      </w:r>
    </w:p>
    <w:p w14:paraId="4718391B">
      <w:pPr>
        <w:spacing w:before="0" w:after="0" w:line="240" w:lineRule="auto"/>
        <w:ind w:left="420" w:hanging="420"/>
      </w:pPr>
      <w:r>
        <w:rPr>
          <w:rFonts w:ascii="Times New Roman" w:hAnsi="Times New Roman" w:eastAsia="宋体" w:cs="Times New Roman"/>
          <w:b w:val="0"/>
          <w:color w:val="000000"/>
          <w:sz w:val="24"/>
        </w:rPr>
        <w:t>[59] Ma X, Zeng C, Zhu Z, et al. Real life test of a novel super performance dew point cooling system in operational live data centre[J]. Applied Energy, 2023, 348: 121483. DOI: 10.1016/j.apenergy.2023.121483.</w:t>
      </w:r>
    </w:p>
    <w:p w14:paraId="2E78E4D2">
      <w:pPr>
        <w:spacing w:before="0" w:after="0" w:line="240" w:lineRule="auto"/>
        <w:ind w:left="420" w:hanging="420"/>
      </w:pPr>
      <w:r>
        <w:rPr>
          <w:rFonts w:ascii="Times New Roman" w:hAnsi="Times New Roman" w:eastAsia="宋体" w:cs="Times New Roman"/>
          <w:b w:val="0"/>
          <w:color w:val="000000"/>
          <w:sz w:val="24"/>
        </w:rPr>
        <w:t>[60] Yuan X, Liang Y, Hu X, et al. Waste heat recoveries in data centers: A review[J]. Renewable and Sustainable Energy Reviews, 2023, 188: 113777. DOI: 10.1016/j.rser.2023.113777.</w:t>
      </w:r>
    </w:p>
    <w:p w14:paraId="15D091A8">
      <w:pPr>
        <w:spacing w:before="0" w:after="0" w:line="240" w:lineRule="auto"/>
        <w:ind w:left="420" w:hanging="420"/>
      </w:pPr>
      <w:r>
        <w:rPr>
          <w:rFonts w:ascii="Times New Roman" w:hAnsi="Times New Roman" w:eastAsia="宋体" w:cs="Times New Roman"/>
          <w:b w:val="0"/>
          <w:color w:val="000000"/>
          <w:sz w:val="24"/>
        </w:rPr>
        <w:t>[61] Alissa H, Nick T, Raniwala A, et al. Using life cycle assessment to drive innovation for sustainable cool clouds[J]. Nature, 2025, 641: 331-338. DOI: 10.1038/s41586-025-08832-3.</w:t>
      </w:r>
    </w:p>
    <w:p w14:paraId="4E3804AA">
      <w:pPr>
        <w:spacing w:before="0" w:after="0" w:line="240" w:lineRule="auto"/>
        <w:ind w:left="420" w:hanging="420"/>
      </w:pPr>
      <w:r>
        <w:rPr>
          <w:rFonts w:ascii="Times New Roman" w:hAnsi="Times New Roman" w:eastAsia="宋体" w:cs="Times New Roman"/>
          <w:b w:val="0"/>
          <w:color w:val="000000"/>
          <w:sz w:val="24"/>
        </w:rPr>
        <w:t>[62] Hashimoto T, Stedinger J R, Loucks D P. Reliability, resiliency, and vulnerability criteria for water resource system performance evaluation[J]. Water Resources Research, 1982, 18(1): 14-20. DOI: 10.1029/WR018i001p00014.</w:t>
      </w:r>
    </w:p>
    <w:p w14:paraId="4F167466">
      <w:pPr>
        <w:spacing w:before="0" w:after="0" w:line="240" w:lineRule="auto"/>
        <w:ind w:left="420" w:hanging="420"/>
      </w:pPr>
      <w:r>
        <w:rPr>
          <w:rFonts w:ascii="Times New Roman" w:hAnsi="Times New Roman" w:eastAsia="宋体" w:cs="Times New Roman"/>
          <w:b w:val="0"/>
          <w:color w:val="000000"/>
          <w:sz w:val="24"/>
        </w:rPr>
        <w:t>[63] Mortazavi-Naeini M, Kuczera G, Kiem A S, et al. Robust optimization to secure urban bulk water supply against extreme drought and uncertain climate change[J]. Environmental Modelling &amp; Software, 2015, 69: 437-451. DOI: 10.1016/j.envsoft.2015.02.021.</w:t>
      </w:r>
    </w:p>
    <w:p w14:paraId="28D91A73">
      <w:pPr>
        <w:spacing w:before="0" w:after="0" w:line="240" w:lineRule="auto"/>
        <w:ind w:left="420" w:hanging="420"/>
      </w:pPr>
      <w:r>
        <w:rPr>
          <w:rFonts w:ascii="Times New Roman" w:hAnsi="Times New Roman" w:eastAsia="宋体" w:cs="Times New Roman"/>
          <w:b w:val="0"/>
          <w:color w:val="000000"/>
          <w:sz w:val="24"/>
        </w:rPr>
        <w:t>[64] Lempert R J, Groves D G. Identifying and evaluating robust adaptive policy responses to climate change for water management agencies in the American West[J]. Technological Forecasting and Social Change, 2010, 77(6): 960-974. DOI: 10.1016/j.techfore.2010.04.007.</w:t>
      </w:r>
    </w:p>
    <w:p w14:paraId="062C4F1A">
      <w:pPr>
        <w:spacing w:before="0" w:after="0" w:line="240" w:lineRule="auto"/>
        <w:ind w:left="420" w:hanging="420"/>
      </w:pPr>
      <w:r>
        <w:rPr>
          <w:rFonts w:ascii="Times New Roman" w:hAnsi="Times New Roman" w:eastAsia="宋体" w:cs="Times New Roman"/>
          <w:b w:val="0"/>
          <w:color w:val="000000"/>
          <w:sz w:val="24"/>
        </w:rPr>
        <w:t>[65] Haasnoot M, Kwakkel J H, Walker W E, et al. Dynamic adaptive policy pathways: A method for crafting robust decisions for a deeply uncertain world[J]. Global Environmental Change, 2013, 23(2): 485-498. DOI: 10.1016/j.gloenvcha.2012.12.006.</w:t>
      </w:r>
    </w:p>
    <w:p w14:paraId="61132F48">
      <w:pPr>
        <w:spacing w:before="0" w:after="0" w:line="240" w:lineRule="auto"/>
        <w:ind w:left="420" w:hanging="420"/>
      </w:pPr>
      <w:r>
        <w:rPr>
          <w:rFonts w:ascii="Times New Roman" w:hAnsi="Times New Roman" w:eastAsia="宋体" w:cs="Times New Roman"/>
          <w:b w:val="0"/>
          <w:color w:val="000000"/>
          <w:sz w:val="24"/>
        </w:rPr>
        <w:t>[66] Kwakkel J H, Haasnoot M, Walker W E. Developing dynamic adaptive policy pathways: A computer-assisted approach for developing adaptive strategies for a deeply uncertain world[J]. Climatic Change, 2015, 132(3): 373-386. DOI: 10.1007/s10584-014-1210-4.</w:t>
      </w:r>
    </w:p>
    <w:p w14:paraId="3659F0B1">
      <w:pPr>
        <w:spacing w:before="0" w:after="0" w:line="240" w:lineRule="auto"/>
        <w:ind w:left="420" w:hanging="420"/>
      </w:pPr>
      <w:r>
        <w:rPr>
          <w:rFonts w:ascii="Times New Roman" w:hAnsi="Times New Roman" w:eastAsia="宋体" w:cs="Times New Roman"/>
          <w:b w:val="0"/>
          <w:color w:val="000000"/>
          <w:sz w:val="24"/>
        </w:rPr>
        <w:t>[67] Sadr S M K, Casal-Campos A, Fu G, et al. Strategic planning of the integrated urban wastewater system using adaptation pathways[J]. Water Research, 2020, 182: 116013. DOI: 10.1016/j.watres.2020.116013.</w:t>
      </w:r>
    </w:p>
    <w:p w14:paraId="390BE598">
      <w:pPr>
        <w:spacing w:before="0" w:after="0" w:line="240" w:lineRule="auto"/>
        <w:ind w:left="420" w:hanging="420"/>
      </w:pPr>
      <w:r>
        <w:rPr>
          <w:rFonts w:ascii="Times New Roman" w:hAnsi="Times New Roman" w:eastAsia="宋体" w:cs="Times New Roman"/>
          <w:b w:val="0"/>
          <w:color w:val="000000"/>
          <w:sz w:val="24"/>
        </w:rPr>
        <w:t>[68] Li R, Zhang D, Dong X, et al. How can urban wastewater and reclaimed water systems tackle an uncertain future without regret?—Solutions based on adaptive pathway planning[J]. Journal of Environmental Management, 2026, 410: 130062. DOI: 10.1016/j.jenvman.2026.130062.</w:t>
      </w:r>
    </w:p>
    <w:p w14:paraId="41FA0227">
      <w:pPr>
        <w:spacing w:before="0" w:after="0" w:line="240" w:lineRule="auto"/>
        <w:ind w:left="420" w:hanging="420"/>
      </w:pPr>
      <w:r>
        <w:rPr>
          <w:rFonts w:ascii="Times New Roman" w:hAnsi="Times New Roman" w:eastAsia="宋体" w:cs="Times New Roman"/>
          <w:b w:val="0"/>
          <w:color w:val="000000"/>
          <w:sz w:val="24"/>
        </w:rPr>
        <w:t>[69] 段春青, 刘昌明, 陈晓楠, 等. 区域水资源承载力概念及研究方法的探讨[J]. 地理学报, 2010, 65(1): 82-90. DOI: 10.11821/xb201001009.</w:t>
      </w:r>
    </w:p>
    <w:p w14:paraId="7A3E99E9">
      <w:pPr>
        <w:spacing w:before="0" w:after="0" w:line="240" w:lineRule="auto"/>
        <w:ind w:left="420" w:hanging="420"/>
      </w:pPr>
      <w:r>
        <w:rPr>
          <w:rFonts w:ascii="Times New Roman" w:hAnsi="Times New Roman" w:eastAsia="宋体" w:cs="Times New Roman"/>
          <w:b w:val="0"/>
          <w:color w:val="000000"/>
          <w:sz w:val="24"/>
        </w:rPr>
        <w:t>[70] Qin G, Li H, Wang X, et al. Research on water resources design carrying capacity[J]. Water, 2016, 8(4): 157. DOI: 10.3390/w8040157.</w:t>
      </w:r>
    </w:p>
    <w:p w14:paraId="40320417">
      <w:pPr>
        <w:spacing w:before="0" w:after="0" w:line="240" w:lineRule="auto"/>
        <w:ind w:left="420" w:hanging="420"/>
      </w:pPr>
      <w:r>
        <w:rPr>
          <w:rFonts w:ascii="Times New Roman" w:hAnsi="Times New Roman" w:eastAsia="宋体" w:cs="Times New Roman"/>
          <w:b w:val="0"/>
          <w:color w:val="000000"/>
          <w:sz w:val="24"/>
        </w:rPr>
        <w:t>[71] Feng L H, Zhang X C, Luo G Y. Application of system dynamics in analyzing the carrying capacity of water resources in Yiwu City, China[J]. Mathematics and Computers in Simulation, 2008, 79(3): 269-278. DOI: 10.1016/j.matcom.2007.11.018.</w:t>
      </w:r>
    </w:p>
    <w:p w14:paraId="790108C1">
      <w:pPr>
        <w:spacing w:before="0" w:after="0" w:line="240" w:lineRule="auto"/>
        <w:ind w:left="420" w:hanging="420"/>
      </w:pPr>
      <w:r>
        <w:rPr>
          <w:rFonts w:ascii="Times New Roman" w:hAnsi="Times New Roman" w:eastAsia="宋体" w:cs="Times New Roman"/>
          <w:b w:val="0"/>
          <w:color w:val="000000"/>
          <w:sz w:val="24"/>
        </w:rPr>
        <w:t>[72] Wang X J, Zhang J Y, Liu J F, et al. Water resources planning and management based on system dynamics: A case study of Yulin city[J]. Environment, Development and Sustainability, 2011, 13(2): 331-351. DOI: 10.1007/s10668-010-9264-6.</w:t>
      </w:r>
    </w:p>
    <w:p w14:paraId="1D1BB0C4">
      <w:pPr>
        <w:spacing w:before="0" w:after="0" w:line="240" w:lineRule="auto"/>
        <w:ind w:left="420" w:hanging="420"/>
      </w:pPr>
      <w:r>
        <w:rPr>
          <w:rFonts w:ascii="Times New Roman" w:hAnsi="Times New Roman" w:eastAsia="宋体" w:cs="Times New Roman"/>
          <w:b w:val="0"/>
          <w:color w:val="000000"/>
          <w:sz w:val="24"/>
        </w:rPr>
        <w:t>[73]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A56C6C6">
      <w:pPr>
        <w:spacing w:before="0" w:after="0" w:line="240" w:lineRule="auto"/>
        <w:ind w:left="420" w:hanging="420"/>
      </w:pPr>
      <w:r>
        <w:rPr>
          <w:rFonts w:ascii="Times New Roman" w:hAnsi="Times New Roman" w:eastAsia="宋体" w:cs="Times New Roman"/>
          <w:b w:val="0"/>
          <w:color w:val="000000"/>
          <w:sz w:val="24"/>
        </w:rPr>
        <w:t>[74] Wang X, Liu L, Zhang S, et al. Dynamic simulation and comprehensive evaluation of the water resources carrying capacity in Guangzhou City, China[J]. Ecological Indicators, 2022, 135: 108528. DOI: 10.1016/j.ecolind.2021.108528.</w:t>
      </w:r>
    </w:p>
    <w:p w14:paraId="2E88881D">
      <w:pPr>
        <w:spacing w:before="0" w:after="0" w:line="240" w:lineRule="auto"/>
        <w:ind w:left="420" w:hanging="420"/>
      </w:pPr>
      <w:r>
        <w:rPr>
          <w:rFonts w:ascii="Times New Roman" w:hAnsi="Times New Roman" w:eastAsia="宋体" w:cs="Times New Roman"/>
          <w:b w:val="0"/>
          <w:color w:val="000000"/>
          <w:sz w:val="24"/>
        </w:rPr>
        <w:t>[75] Zhou X Y, Zheng B, Khu S T. Validation of the hypothesis on carrying capacity limits using the water environment carrying capacity[J]. Science of the Total Environment, 2019, 665: 774-784. DOI: 10.1016/j.scitotenv.2019.02.146.</w:t>
      </w:r>
    </w:p>
    <w:p w14:paraId="21FD9FF1">
      <w:pPr>
        <w:spacing w:before="0" w:after="0" w:line="240" w:lineRule="auto"/>
        <w:ind w:left="420" w:hanging="420"/>
      </w:pPr>
      <w:r>
        <w:rPr>
          <w:rFonts w:ascii="Times New Roman" w:hAnsi="Times New Roman" w:eastAsia="宋体" w:cs="Times New Roman"/>
          <w:b w:val="0"/>
          <w:color w:val="000000"/>
          <w:sz w:val="24"/>
        </w:rPr>
        <w:t>[76] Jia Z, Cai Y, Chen Y, et al. Regionalization of water environmental carrying capacity for supporting the sustainable water resources management and development in China[J]. Resources, Conservation and Recycling, 2018, 134: 282-293. DOI: 10.1016/j.resconrec.2018.03.030.</w:t>
      </w:r>
    </w:p>
    <w:p w14:paraId="4D58F28A">
      <w:pPr>
        <w:spacing w:before="0" w:after="0" w:line="240" w:lineRule="auto"/>
        <w:ind w:left="420" w:hanging="420"/>
      </w:pPr>
      <w:r>
        <w:rPr>
          <w:rFonts w:ascii="Times New Roman" w:hAnsi="Times New Roman" w:eastAsia="宋体" w:cs="Times New Roman"/>
          <w:b w:val="0"/>
          <w:color w:val="000000"/>
          <w:sz w:val="24"/>
        </w:rPr>
        <w:t>[77] Hu G, Zeng W, Yao R, et al. An integrated assessment system for the carrying capacity of the water environment based on system dynamics[J]. Journal of Environmental Management, 2021, 295: 113045. DOI: 10.1016/j.jenvman.2021.113045.</w:t>
      </w:r>
    </w:p>
    <w:p w14:paraId="5C60A6DD">
      <w:pPr>
        <w:spacing w:before="0" w:after="0" w:line="240" w:lineRule="auto"/>
        <w:ind w:left="420" w:hanging="420"/>
      </w:pPr>
      <w:r>
        <w:rPr>
          <w:rFonts w:ascii="Times New Roman" w:hAnsi="Times New Roman" w:eastAsia="宋体" w:cs="Times New Roman"/>
          <w:b w:val="0"/>
          <w:color w:val="000000"/>
          <w:sz w:val="24"/>
        </w:rPr>
        <w:t>[78] Wang T, Jian S, Wang J, et al. Dynamic interaction of water-economic-social-ecological environment complex system[J]. Journal of Cleaner Production, 2022, 368: 133132. DOI: 10.1016/j.jclepro.2022.133132.</w:t>
      </w:r>
    </w:p>
    <w:p w14:paraId="60F6A5C2">
      <w:pPr>
        <w:spacing w:before="0" w:after="0" w:line="240" w:lineRule="auto"/>
        <w:ind w:left="420" w:hanging="420"/>
      </w:pPr>
      <w:r>
        <w:rPr>
          <w:rFonts w:ascii="Times New Roman" w:hAnsi="Times New Roman" w:eastAsia="宋体" w:cs="Times New Roman"/>
          <w:b w:val="0"/>
          <w:color w:val="000000"/>
          <w:sz w:val="24"/>
        </w:rPr>
        <w:t>[79] Wang T, Jian S, Wang J, et al. Research on water resources carrying capacity evaluation based on innovative RCC method[J]. Ecological Indicators, 2022, 139: 108876. DOI: 10.1016/j.ecolind.2022.108876.</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Chen S, He Y, Tan Q, et al. Comprehensive assessment of water environmental carrying capacity for sustainable watershed development[J]. Journal of Environmental Management, 2022, 303: 114065. DOI: 10.1016/j.jenvman.2021.114065.</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Li Y, Zhang J, Song Y. Comprehensive comparison and assessment of three models evaluating water resource carrying capacity in Beijing[J]. Ecological Indicators, 2022, 143: 109305. DOI: 10.1016/j.ecolind.2022.109305.</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Lu L, Lei Y, Wu T, et al. Evaluating water resources carrying capacity: The empirical analysis of Hubei Province, China 2008-2020[J]. Ecological Indicators, 2022, 144: 109454. DOI: 10.1016/j.ecolind.2022.109454.</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Cui D, Zeng W, Ma B, et al. Ecological network analysis of an urban water metabolic system: Integrated metabolic processes of physical and virtual water[J]. Science of the Total Environment, 2021, 787: 147432. DOI: 10.1016/j.scitotenv.2021.147432.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Fan J L, Kong L S, Wang H, et al. A water-energy nexus review from the perspective of urban metabolism[J]. Ecological Modelling, 2019, 392: 128-136. DOI: 10.1016/j.ecolmodel.2018.11.019.</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He C, Liu Z, Wu J, et al. Future global urban water scarcity and potential solutions[J]. Nature Communications, 2021, 12: 4667. DOI: 10.1038/s41467-021-25026-3.</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Cao X, Su M, Liu Y, et al. Is the Water System Healthy in Urban Agglomerations?[J]. Environmental Science &amp; Technology, 2021, 55: 6430-6439. DOI: 10.1021/acs.est.1c01202.</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Jiang F, Duan C, Chen B. Facility-level energy-driven water footprint and scarcity implications of Chinese data centers: A bottom-up analysis and scenario-based projection[J]. Applied Energy, 2025, 399: 126522. DOI: 10.1016/j.apenergy.2025.126522.</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国家市场监督管理总局, 国家标准化管理委员会. 数据中心资源利用第6部分：水资源使用效率: GB/T 32910.6-2025[S]. 北京: 中国标准出版社, 2025.</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Dai D, Sun M, Lv X, et al. Comprehensive assessment of the water environment carrying capacity based on the spatial system dynamics model[J]. Journal of Cleaner Production, 2022, 344: 131137. DOI: 10.1016/j.jclepro.2022.131137.</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Cai Q, Fang D, Chen B. Ecological network analysis for urban physical-virtual water cycle: A case study of Beijing[J]. Ecological Modelling, 2025, 501: 110972. DOI: 10.1016/j.ecolmodel.2024.110972.</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Deb K, Pratap A, Agarwal S, et al. A fast and elitist multiobjective genetic algorithm: NSGA-II[J]. IEEE Transactions on Evolutionary Computation, 2002, 6(2): 182-197. DOI: 10.1109/4235.996017.</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Zou J, Chen B, Wang S. Ecological network analysis and optimization of urban water metabolic system in context of energy nexus[J]. Applied Energy, 2025, 388: 125700. DOI: 10.1016/j.apenergy.2025.125700.</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中华人民共和国住房和城乡建设部. 室外给水设计标准: GB 50013-2018[S]. 北京: 中国计划出版社, 2018.</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中华人民共和国住房和城乡建设部. 室外排水设计标准: GB 50014-2021[S]. 北京: 中国计划出版社, 2021.</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Wang Z, Yang Y, Sun Y, et al. Water reuse and recycling in industrial systems: A review of technologies and applications[J]. Journal of Cleaner Production, 2020, 258: 120789. DOI: 10.1016/j.jclepro.2020.120789.</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北京市水务局. 北京市水资源公报（2024年度）[R/OL]. 2025[2026-09-10]. https://swj.beijing.gov.cn/zwgk/szygb/</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北京市水务局. 2024年北京市水务工作报告[R/OL]. (2024-05-21)[2026-09-10]. https://swj.beijing.gov.cn/zwgk/ghjhzj/202405/t20240521_3690638.html</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天津水文水资源. 2024年天津市水资源公报[R/OL]. 2025[2026-09-10]. https://www.tjwater.net.cn/nd.jsp?fromColId=2&amp;id=1063</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贵州省水利厅. 2024年贵州省水资源公报[R/OL]. 2026[2026-09-10]. https://gzswj.guizhou.gov.cn/swyw/szy/</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ACB6FAE"/>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18390</Words>
  <Characters>29749</Characters>
  <Lines>11</Lines>
  <Paragraphs>3</Paragraphs>
  <TotalTime>57</TotalTime>
  <ScaleCrop>false</ScaleCrop>
  <LinksUpToDate>false</LinksUpToDate>
  <CharactersWithSpaces>31963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2026-09-10T04:14:46Z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