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after="560"/>
        <w:ind w:firstLine="0"/>
        <w:jc w:val="center"/>
      </w:pPr>
      <w:r>
        <w:rPr>
          <w:rFonts w:ascii="Times New Roman" w:hAnsi="Times New Roman" w:eastAsia="黑体"/>
          <w:b/>
          <w:sz w:val="40"/>
        </w:rPr>
        <w:t xml:space="preserve">AI算力扩张下城市水代谢响应与条件化水资源承载边界研究</w:t>
      </w:r>
    </w:p>
    <w:p>
      <w:pPr>
        <w:pStyle w:val="Subtitle"/>
        <w:spacing w:after="720"/>
        <w:ind w:firstLine="0"/>
        <w:jc w:val="center"/>
      </w:pPr>
      <w:r>
        <w:rPr>
          <w:rFonts w:ascii="Times New Roman" w:hAnsi="Times New Roman" w:eastAsia="宋体"/>
          <w:sz w:val="28"/>
        </w:rPr>
        <w:t xml:space="preserve">——面向2035年的水—能—碳协同与适应性规划</w:t>
      </w:r>
    </w:p>
    <w:p>
      <w:pPr>
        <w:pStyle w:val="Author"/>
        <w:spacing w:before="360"/>
        <w:ind w:firstLine="0"/>
        <w:jc w:val="center"/>
      </w:pPr>
      <w:r>
        <w:rPr>
          <w:rFonts w:ascii="Times New Roman" w:hAnsi="Times New Roman" w:eastAsia="宋体"/>
          <w:sz w:val="28"/>
        </w:rPr>
        <w:t xml:space="preserve">博士学位论文开题报告</w:t>
      </w:r>
    </w:p>
    <w:bookmarkStart w:id="20" w:name="摘要"/>
    <w:p>
      <w:pPr>
        <w:pStyle w:val="Heading1"/>
        <w:keepNext/>
        <w:keepLines/>
        <w:pageBreakBefore/>
        <w:ind w:firstLine="0"/>
        <w:jc w:val="center"/>
      </w:pPr>
      <w:r>
        <w:t xml:space="preserve">摘要</w:t>
      </w:r>
    </w:p>
    <w:p>
      <w:pPr>
        <w:pStyle w:val="FirstParagraph"/>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pPr>
        <w:pStyle w:val="BodyText"/>
      </w:pPr>
      <w:r>
        <w:rPr>
          <w:rFonts w:ascii="Times New Roman" w:hAnsi="Times New Roman" w:eastAsia="宋体"/>
          <w:sz w:val="21"/>
        </w:rP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w:t>
      </w:r>
      <w:r>
        <w:rPr>
          <w:rFonts w:ascii="Times New Roman" w:hAnsi="Times New Roman" w:eastAsia="宋体"/>
          <w:sz w:val="17"/>
          <w:vertAlign w:val="superscript"/>
        </w:rPr>
        <w:t>[6–9,30–41]</w:t>
      </w:r>
      <w:r>
        <w:rPr>
          <w:rFonts w:ascii="Times New Roman" w:hAnsi="Times New Roman" w:eastAsia="宋体"/>
          <w:sz w:val="21"/>
        </w:rPr>
        <w:t>。然而，现有研究主要回答“AI基础设施需要消耗多少资源”，对于AI算力中心作为新增高密度、连续运行且具有气候敏感性的工业节点进入城市后，如何改变“外部取水—给水处理—终端用水—消耗—排水—污水处理—再生利用—环境排放”的完整城市人工水系统代谢过程，以及何时使水源、给水、污水处理或再生水系统由具有剩余能力转变为系统瓶颈，仍缺乏统一的动态分析框架。</w:t>
      </w:r>
    </w:p>
    <w:p>
      <w:pPr>
        <w:pStyle w:val="BodyText"/>
      </w:pPr>
      <w:r>
        <w:rPr>
          <w:rFonts w:ascii="Times New Roman" w:hAnsi="Times New Roman" w:eastAsia="宋体"/>
          <w:sz w:val="21"/>
        </w:rPr>
        <w:t>本研究拟综合借鉴城市代谢、综合城市水系统模拟、物质流分析、数据中心能源与水资源核算、水—能—碳耦合评价、水资源承载能力以及深度不确定性决策等已有方法</w:t>
      </w:r>
      <w:r>
        <w:rPr>
          <w:rFonts w:ascii="Times New Roman" w:hAnsi="Times New Roman" w:eastAsia="宋体"/>
          <w:sz w:val="17"/>
          <w:vertAlign w:val="superscript"/>
        </w:rPr>
        <w:t>[11–29,53–77]</w:t>
      </w:r>
      <w:r>
        <w:rPr>
          <w:rFonts w:ascii="Times New Roman" w:hAnsi="Times New Roman" w:eastAsia="宋体"/>
          <w:sz w:val="21"/>
        </w:rPr>
        <w:t>，构建AI–Urban Water Metabolism（AI-UWM）动态模拟与决策框架。研究核心边界聚焦“城市人工管理水系统”，以日尺度水量守恒为基础，将AI算力中心设置为独立代谢节点，建立“AI IT安装容量—实际负载—IT能源需求—设施辅助能耗—热排散—湿/干冷却—取水—蒸发消耗—排污回流”的连续物理过程，并通过污水处理和再生水系统实现AI算力中心与城市内部水循环的闭环耦合。针对最新方法学批评，本研究不将未显式建模的降水径流过程纳入核心质量守恒；配水漏损、污水溢流、再生水供需缺口和设施超负荷均设置明确去向或状态变量，避免水量在模型中被“截断后消失”。</w:t>
      </w:r>
    </w:p>
    <w:p>
      <w:pPr>
        <w:pStyle w:val="BodyText"/>
      </w:pPr>
      <w:r>
        <w:t xml:space="preserve">考虑到真实AI算力中心IT负载、逐日冷却补水、冷却工况及相关城市基础设施运行数据具有较强商业敏感性，本研究不依赖单一现实城市，而构建参数化城市原型与连续参数空间。通过公开统计、同行评议研究、国际机构报告、企业正式环境披露及工程参数确定城市水资源禀赋、气候热环境、供排水基础设施裕度、再生水能力和数据中心技术参数的合理范围。研究时间边界设定至2035年，以0—3 GW IT容量连续扫描为主要实验方式，并设置冷却技术、水源结构、高温—干旱复合压力、基础设施扩容等多维情景。</w:t>
      </w:r>
    </w:p>
    <w:p>
      <w:pPr>
        <w:pStyle w:val="BodyText"/>
      </w:pPr>
      <w:r>
        <w:t xml:space="preserve">在此基础上，本研究将传统水资源承载能力“操作化”为条件化AI水资源承载边界（Conditional AI Water Carrying Capacity, CAWCC）：即在给定城市状态、冷却技术、水源配置、气候压力和基础设施条件下，在不违反外部水资源供给、给水设施潜在负荷、污水处理潜在负荷、再生水供给、峰值服务及基本供水可靠性等约束时能够支持的最大AI IT安装容量。研究重点并非证明“存在阈值”这一由容量约束结构天然产生的现象，而是检验：日尺度峰值是否相对于年均评价显著提前容量边界；不同城市和技术条件下主导瓶颈如何在水源、给水、污水、再生水与峰值能力之间转换；再生水的边际收益转折点由何种机制控制；以及不同不利因素之间能否相互补偿。</w:t>
      </w:r>
    </w:p>
    <w:p>
      <w:pPr>
        <w:pStyle w:val="BodyText"/>
      </w:pPr>
      <w:r>
        <w:rPr>
          <w:rFonts w:ascii="Times New Roman" w:hAnsi="Times New Roman" w:eastAsia="宋体"/>
          <w:sz w:val="21"/>
        </w:rPr>
        <w:t>不确定性处理将严格区分三层：PUE、CoC、负载率等参数不确定性采用概率分布、Monte Carlo与Morris/Sobol分析</w:t>
      </w:r>
      <w:r>
        <w:rPr>
          <w:rFonts w:ascii="Times New Roman" w:hAnsi="Times New Roman" w:eastAsia="宋体"/>
          <w:sz w:val="17"/>
          <w:vertAlign w:val="superscript"/>
        </w:rPr>
        <w:t>[62–68]</w:t>
      </w:r>
      <w:r>
        <w:rPr>
          <w:rFonts w:ascii="Times New Roman" w:hAnsi="Times New Roman" w:eastAsia="宋体"/>
          <w:sz w:val="21"/>
        </w:rPr>
        <w:t>；机理冷却模型与经验WUE模型之间采用结构比较；AI增长、气候路径、政策和扩容时点等深度未来不确定性采用非概率的多情景与适应性路径方法</w:t>
      </w:r>
      <w:r>
        <w:rPr>
          <w:rFonts w:ascii="Times New Roman" w:hAnsi="Times New Roman" w:eastAsia="宋体"/>
          <w:sz w:val="17"/>
          <w:vertAlign w:val="superscript"/>
        </w:rPr>
        <w:t>[69–77]</w:t>
      </w:r>
      <w:r>
        <w:rPr>
          <w:rFonts w:ascii="Times New Roman" w:hAnsi="Times New Roman" w:eastAsia="宋体"/>
          <w:sz w:val="21"/>
        </w:rPr>
        <w:t>，避免把“未知概率的未来”强行转化为概率分布。主模型采用日尺度以服务战略容量分析，并针对代表性极端周增加小时尺度压力校核，以评估日尺度对峰值CAWCC可能产生的偏差。</w:t>
      </w:r>
    </w:p>
    <w:p>
      <w:pPr>
        <w:pStyle w:val="BodyText"/>
      </w:pPr>
      <w:r>
        <w:t xml:space="preserve">水—能—碳协同作为核心水研究的应用扩展，而非与CAWCC并列的第二主线。本研究将分别求解“固定AI容量下技术配置的水—能—碳—成本优化”和“给定资源、可靠性与预算约束下最大化安全AI容量”两类问题，避免将规模效应误判为技术权衡。最终形成AI容量—城市水代谢响应面、概率化CAWCC图谱、主导约束转换规律，以及面向2035年的状态触发式适应性规划路径。</w:t>
      </w:r>
    </w:p>
    <w:p>
      <w:pPr>
        <w:pStyle w:val="BodyText"/>
      </w:pPr>
      <w:r>
        <w:rPr>
          <w:b/>
          <w:bCs/>
        </w:rPr>
        <w:t xml:space="preserve">关键词：</w:t>
      </w:r>
      <w:r>
        <w:t xml:space="preserve"> </w:t>
      </w:r>
      <w:r>
        <w:t xml:space="preserve">AI算力中心；城市水代谢；数据中心；再生水；条件化承载边界；峰值压力；水—能—碳；不确定性分析</w:t>
      </w:r>
    </w:p>
    <w:bookmarkEnd w:id="20"/>
    <w:bookmarkStart w:id="28" w:name="第1章-绪论"/>
    <w:p>
      <w:pPr>
        <w:pStyle w:val="Heading1"/>
        <w:keepNext/>
        <w:keepLines/>
        <w:ind w:firstLine="0"/>
      </w:pPr>
      <w:r>
        <w:t xml:space="preserve">第1章 绪论</w:t>
      </w:r>
    </w:p>
    <w:bookmarkStart w:id="24" w:name="研究背景"/>
    <w:p>
      <w:pPr>
        <w:pStyle w:val="Heading2"/>
        <w:keepNext/>
        <w:keepLines/>
        <w:ind w:firstLine="0"/>
      </w:pPr>
      <w:r>
        <w:t xml:space="preserve">1.1 研究背景</w:t>
      </w:r>
    </w:p>
    <w:bookmarkStart w:id="21" w:name="ai发展正在由算法竞争转向基础设施竞争"/>
    <w:p>
      <w:pPr>
        <w:pStyle w:val="Heading3"/>
        <w:keepNext/>
        <w:keepLines/>
        <w:ind w:firstLine="0"/>
      </w:pPr>
      <w:r>
        <w:t xml:space="preserve">1.1.1 AI发展正在由算法竞争转向基础设施竞争</w:t>
      </w:r>
    </w:p>
    <w:p>
      <w:pPr>
        <w:pStyle w:val="FirstParagraph"/>
      </w:pPr>
      <w:r>
        <w:t xml:space="preserve">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pPr>
        <w:pStyle w:val="BodyText"/>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21"/>
    <w:bookmarkStart w:id="22" w:name="水资源具有比全球平均足迹更强的局地约束意义"/>
    <w:p>
      <w:pPr>
        <w:pStyle w:val="Heading3"/>
        <w:keepNext/>
        <w:keepLines/>
        <w:ind w:firstLine="0"/>
      </w:pPr>
      <w:r>
        <w:t xml:space="preserve">1.1.2 水资源具有比全球平均足迹更强的局地约束意义</w:t>
      </w:r>
    </w:p>
    <w:p>
      <w:pPr>
        <w:pStyle w:val="FirstParagraph"/>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pPr>
        <w:pStyle w:val="BodyText"/>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pPr>
        <w:pStyle w:val="BodyText"/>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22"/>
    <w:bookmarkStart w:id="23" w:name="从ai耗多少水转向ai如何改变城市人工水系统"/>
    <w:p>
      <w:pPr>
        <w:pStyle w:val="Heading3"/>
        <w:keepNext/>
        <w:keepLines/>
        <w:ind w:firstLine="0"/>
      </w:pPr>
      <w:r>
        <w:t xml:space="preserve">1.1.3 从“AI耗多少水”转向“AI如何改变城市人工水系统”</w:t>
      </w:r>
    </w:p>
    <w:p>
      <w:pPr>
        <w:pStyle w:val="FirstParagraph"/>
      </w:pPr>
      <w:r>
        <w:t xml:space="preserve">现有AI环境评价通常沿“AI需求—服务器/数据中心—能源—水足迹/碳足迹”展开。这一范式非常适合回答AI的资源环境规模，却不能完整描述新增负荷进入城市以后如何在供水、消耗、污水和再生水路径中传播。</w:t>
      </w:r>
    </w:p>
    <w:p>
      <w:pPr>
        <w:pStyle w:val="BodyText"/>
      </w:pPr>
      <w:r>
        <w:t xml:space="preserve">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pPr>
        <w:pStyle w:val="BodyText"/>
      </w:pPr>
      <w:r>
        <w:t xml:space="preserve">因此，本研究把核心科学问题由“AI数据中心一年用多少水”推进为：</w:t>
      </w:r>
      <w:r>
        <w:t xml:space="preserve">“</w:t>
      </w:r>
      <w:r>
        <w:t xml:space="preserve">AI算力作为持续增长的城市高密度工业负荷时，如何重构城市人工水系统代谢；日均、峰值和复合压力下的容量边界分别在哪里；主导瓶颈如何随城市状态和技术路径发生转换？</w:t>
      </w:r>
      <w:r>
        <w:t xml:space="preserve">”</w:t>
      </w:r>
    </w:p>
    <w:bookmarkEnd w:id="23"/>
    <w:bookmarkEnd w:id="24"/>
    <w:bookmarkStart w:id="25" w:name="理论意义"/>
    <w:p>
      <w:pPr>
        <w:pStyle w:val="Heading2"/>
        <w:keepNext/>
        <w:keepLines/>
        <w:ind w:firstLine="0"/>
      </w:pPr>
      <w:r>
        <w:t xml:space="preserve">1.2 理论意义</w:t>
      </w:r>
    </w:p>
    <w:p>
      <w:pPr>
        <w:pStyle w:val="FirstParagraph"/>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pPr>
        <w:pStyle w:val="BodyText"/>
      </w:pPr>
      <w:r>
        <w:t xml:space="preserve">本研究所谓“城市水代谢”并非对普通水量平衡的概念包装，而至少包含四层含义：一是显式的外部输入—内部节点—最终输出网络；二是区分Withdrawal、Consumption与Return Flow而非只计算终端用水；三是污水—再生水—AI之间的内部循环反馈；四是以路径流量份额、循环指标和设施反馈共同识别系统结构变化。由此，研究重点既包括“增加多少水”，也包括“水如何重新流动”。</w:t>
      </w:r>
    </w:p>
    <w:bookmarkEnd w:id="25"/>
    <w:bookmarkStart w:id="26" w:name="实际意义"/>
    <w:p>
      <w:pPr>
        <w:pStyle w:val="Heading2"/>
        <w:keepNext/>
        <w:keepLines/>
        <w:ind w:firstLine="0"/>
      </w:pPr>
      <w:r>
        <w:t xml:space="preserve">1.3 实际意义</w:t>
      </w:r>
    </w:p>
    <w:p>
      <w:pPr>
        <w:pStyle w:val="FirstParagraph"/>
      </w:pPr>
      <w:r>
        <w:t xml:space="preserve">对于城市规划和资源管理部门，本研究可提供不同资源禀赋下AI基础设施的条件化容量边界和主导瓶颈类型，而非一个脱离城市条件的全球平均WUE。对于数据中心规划者，可比较湿冷、干冷、液冷和不同再生水配置在淡水、能源和碳排放方面的综合效果。对于水务部门，可判断AI发展将如何改变给水、污水和再生水设施的潜在负荷，以及新增再生水能力是否真正扩大安全容量，还是仅把瓶颈转移至其他设施。</w:t>
      </w:r>
    </w:p>
    <w:bookmarkEnd w:id="26"/>
    <w:bookmarkStart w:id="27" w:name="总体研究目标与研究边界"/>
    <w:p>
      <w:pPr>
        <w:pStyle w:val="Heading2"/>
        <w:keepNext/>
        <w:keepLines/>
        <w:ind w:firstLine="0"/>
      </w:pPr>
      <w:r>
        <w:t xml:space="preserve">1.4 总体研究目标与研究边界</w:t>
      </w:r>
    </w:p>
    <w:p>
      <w:pPr>
        <w:pStyle w:val="FirstParagraph"/>
      </w:pPr>
      <w:r>
        <w:t xml:space="preserve">总体目标是：面向2035年AI算力持续扩张趋势，建立具有透明质量守恒、明确系统边界、可审计参数和显式不确定性的AI—城市水代谢动态模拟框架，揭示AI扩张对城市水代谢结构、峰值基础设施压力和条件化容量边界的作用规律，并在此基础上评价水—能—碳负担转移与适应性规划策略。</w:t>
      </w:r>
    </w:p>
    <w:p>
      <w:pPr>
        <w:pStyle w:val="BodyText"/>
      </w:pPr>
      <w:r>
        <w:t xml:space="preserve">研究范围主动收敛为“城市水代谢响应—峰值基础设施压力—CAWCC”主线。能源和碳用于检验节水方案是否发生负担转移；适应性规划用于将容量边界转化为规划决策。芯片级热仿真、数据中心CFD、城市供水管网瞬态压力、严格随机复合事件模型和完整AI产业生命周期评价均不作为本研究主任务。</w:t>
      </w:r>
    </w:p>
    <w:bookmarkEnd w:id="27"/>
    <w:bookmarkEnd w:id="28"/>
    <w:bookmarkStart w:id="37" w:name="第2章-理论基础与国内外研究现状"/>
    <w:p>
      <w:pPr>
        <w:pStyle w:val="Heading1"/>
        <w:keepNext/>
        <w:keepLines/>
        <w:ind w:firstLine="0"/>
      </w:pPr>
      <w:r>
        <w:t xml:space="preserve">第2章 理论基础与国内外研究现状</w:t>
      </w:r>
    </w:p>
    <w:bookmarkStart w:id="29" w:name="城市代谢与综合城市水系统模拟"/>
    <w:p>
      <w:pPr>
        <w:pStyle w:val="Heading2"/>
        <w:keepNext/>
        <w:keepLines/>
        <w:ind w:firstLine="0"/>
      </w:pPr>
      <w:r>
        <w:t xml:space="preserve">2.1 城市代谢与综合城市水系统模拟</w:t>
      </w:r>
    </w:p>
    <w:p>
      <w:pPr>
        <w:pStyle w:val="FirstParagraph"/>
      </w:pPr>
      <w:r>
        <w:rPr>
          <w:rFonts w:ascii="Times New Roman" w:hAnsi="Times New Roman" w:eastAsia="宋体"/>
          <w:sz w:val="21"/>
        </w:rPr>
        <w:t>Wolman提出“城市代谢”后，研究逐步由城市资源输入—输出清单发展到系统性资源流和规划分析</w:t>
      </w:r>
      <w:r>
        <w:rPr>
          <w:rFonts w:ascii="Times New Roman" w:hAnsi="Times New Roman" w:eastAsia="宋体"/>
          <w:sz w:val="17"/>
          <w:vertAlign w:val="superscript"/>
        </w:rPr>
        <w:t>[11–14]</w:t>
      </w:r>
      <w:r>
        <w:rPr>
          <w:rFonts w:ascii="Times New Roman" w:hAnsi="Times New Roman" w:eastAsia="宋体"/>
          <w:sz w:val="21"/>
        </w:rPr>
        <w:t>。在水领域，Behzadian等提出的WaterMet²、Urich与Rauch总结的城市水循环协同建模思想、Bach等对综合城市水模型的系统评述，以及WSIMOD等新型可组合模型框架，共同说明城市水系统研究正在由单模块向跨节点、跨用途的综合模拟演进</w:t>
      </w:r>
      <w:r>
        <w:rPr>
          <w:rFonts w:ascii="Times New Roman" w:hAnsi="Times New Roman" w:eastAsia="宋体"/>
          <w:sz w:val="17"/>
          <w:vertAlign w:val="superscript"/>
        </w:rPr>
        <w:t>[15–19]</w:t>
      </w:r>
      <w:r>
        <w:rPr>
          <w:rFonts w:ascii="Times New Roman" w:hAnsi="Times New Roman" w:eastAsia="宋体"/>
          <w:sz w:val="21"/>
        </w:rPr>
        <w:t>。本研究不会将自身限定为对某一种既有模型的扩展，而是根据最终实现分别说明所借鉴的网络结构、质量守恒、调度、环境核算与决策模块。</w:t>
      </w:r>
    </w:p>
    <w:p>
      <w:pPr>
        <w:pStyle w:val="BodyText"/>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29"/>
    <w:bookmarkStart w:id="30" w:name="城市水能碳关系"/>
    <w:p>
      <w:pPr>
        <w:pStyle w:val="Heading2"/>
        <w:keepNext/>
        <w:keepLines/>
        <w:ind w:firstLine="0"/>
      </w:pPr>
      <w:r>
        <w:t xml:space="preserve">2.2 城市水—能—碳关系</w:t>
      </w:r>
    </w:p>
    <w:p>
      <w:pPr>
        <w:pStyle w:val="FirstParagraph"/>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pPr>
        <w:pStyle w:val="BodyText"/>
      </w:pPr>
      <w:r>
        <w:t xml:space="preserve">这些研究对本课题有两个直接启示。第一，AI现场节水不必然等于总体环境改善，尤其是干冷、高品质再生水和远距离输送可能增加能耗。第二，城市本地物理水流与异地电力水足迹必须分账户核算，否则会把“所在地水资源压力”和“供应链环境足迹”混淆。</w:t>
      </w:r>
    </w:p>
    <w:bookmarkEnd w:id="30"/>
    <w:bookmarkStart w:id="31" w:name="ai与数据中心环境足迹研究"/>
    <w:p>
      <w:pPr>
        <w:pStyle w:val="Heading2"/>
        <w:keepNext/>
        <w:keepLines/>
        <w:ind w:firstLine="0"/>
      </w:pPr>
      <w:r>
        <w:t xml:space="preserve">2.3 AI与数据中心环境足迹研究</w:t>
      </w:r>
    </w:p>
    <w:p>
      <w:pPr>
        <w:pStyle w:val="FirstParagraph"/>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pPr>
        <w:pStyle w:val="BodyText"/>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31"/>
    <w:bookmarkStart w:id="32" w:name="数据中心冷却和再生水工程研究"/>
    <w:p>
      <w:pPr>
        <w:pStyle w:val="Heading2"/>
        <w:keepNext/>
        <w:keepLines/>
        <w:ind w:firstLine="0"/>
      </w:pPr>
      <w:r>
        <w:t xml:space="preserve">2.4 数据中心冷却和再生水工程研究</w:t>
      </w:r>
    </w:p>
    <w:p>
      <w:pPr>
        <w:pStyle w:val="FirstParagraph"/>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pPr>
        <w:pStyle w:val="BodyText"/>
      </w:pPr>
      <w:r>
        <w:rPr>
          <w:rFonts w:ascii="Times New Roman" w:hAnsi="Times New Roman" w:eastAsia="宋体"/>
          <w:sz w:val="21"/>
        </w:rPr>
        <w:t>工程文献已经较系统讨论数据中心空气冷却、free cooling、干湿混合、液冷、相变和余热回收等路线</w:t>
      </w:r>
      <w:r>
        <w:rPr>
          <w:rFonts w:ascii="Times New Roman" w:hAnsi="Times New Roman" w:eastAsia="宋体"/>
          <w:sz w:val="17"/>
          <w:vertAlign w:val="superscript"/>
        </w:rPr>
        <w:t>[42–47]</w:t>
      </w:r>
      <w:r>
        <w:rPr>
          <w:rFonts w:ascii="Times New Roman" w:hAnsi="Times New Roman" w:eastAsia="宋体"/>
          <w:sz w:val="21"/>
        </w:rPr>
        <w:t>。这些研究说明“液冷”只描述芯片侧或服务器侧热传输方式，不能直接等同于零水耗；最终水资源影响取决于末端热排散方式。因此，本研究必须把冷却技术作为“热排散架构”而非简单标签处理。</w:t>
      </w:r>
    </w:p>
    <w:p>
      <w:pPr>
        <w:pStyle w:val="BodyText"/>
      </w:pPr>
      <w:r>
        <w:rPr>
          <w:rFonts w:ascii="Times New Roman" w:hAnsi="Times New Roman" w:eastAsia="宋体"/>
          <w:sz w:val="21"/>
        </w:rPr>
        <w:t>再生水用作冷却补水也已有较成熟的水质工程研究。Hsieh等、Liu等、Chien等和Choudhury等分别研究再生水条件下的腐蚀、结垢、生物生长和系统管理</w:t>
      </w:r>
      <w:r>
        <w:rPr>
          <w:rFonts w:ascii="Times New Roman" w:hAnsi="Times New Roman" w:eastAsia="宋体"/>
          <w:sz w:val="17"/>
          <w:vertAlign w:val="superscript"/>
        </w:rPr>
        <w:t>[48–51]</w:t>
      </w:r>
      <w:r>
        <w:rPr>
          <w:rFonts w:ascii="Times New Roman" w:hAnsi="Times New Roman" w:eastAsia="宋体"/>
          <w:sz w:val="21"/>
        </w:rPr>
        <w:t>；Kornboonraksa研究了深度膜处理提高再生水冷却适用性的路径</w:t>
      </w:r>
      <w:r>
        <w:rPr>
          <w:rFonts w:ascii="Times New Roman" w:hAnsi="Times New Roman" w:eastAsia="宋体"/>
          <w:sz w:val="17"/>
          <w:vertAlign w:val="superscript"/>
        </w:rPr>
        <w:t>[52]</w:t>
      </w:r>
      <w:r>
        <w:rPr>
          <w:rFonts w:ascii="Times New Roman" w:hAnsi="Times New Roman" w:eastAsia="宋体"/>
          <w:sz w:val="21"/>
        </w:rPr>
        <w:t>。这些研究支持在模型中引入水质—浓缩倍数（CoC）—排污—补水之间的反馈，而不是只用“再生水比例”一个变量描述替代水源。</w:t>
      </w:r>
    </w:p>
    <w:bookmarkEnd w:id="32"/>
    <w:bookmarkStart w:id="33" w:name="水资源承载能力研究"/>
    <w:p>
      <w:pPr>
        <w:pStyle w:val="Heading2"/>
        <w:keepNext/>
        <w:keepLines/>
        <w:ind w:firstLine="0"/>
      </w:pPr>
      <w:r>
        <w:t xml:space="preserve">2.5 水资源承载能力研究</w:t>
      </w:r>
    </w:p>
    <w:p>
      <w:pPr>
        <w:pStyle w:val="FirstParagraph"/>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pPr>
        <w:pStyle w:val="BodyText"/>
      </w:pPr>
      <w:r>
        <w:t xml:space="preserve">本研究不试图提出一套与传统理论完全割裂的“新承载力理论”，而是将其操作化为AI基础设施可直接使用的容量边界：把抽象综合评价转换为明确的MW/GW IT最大可行容量，把单一水量约束扩展为水源、给水、污水、再生水、峰值与服务可靠性多约束，把确定性边界扩展为参数不确定性下的概率边界。</w:t>
      </w:r>
    </w:p>
    <w:bookmarkEnd w:id="33"/>
    <w:bookmarkStart w:id="34" w:name="可靠性敏感性和深度不确定性方法"/>
    <w:p>
      <w:pPr>
        <w:pStyle w:val="Heading2"/>
        <w:keepNext/>
        <w:keepLines/>
        <w:ind w:firstLine="0"/>
      </w:pPr>
      <w:r>
        <w:t xml:space="preserve">2.6 可靠性、敏感性和深度不确定性方法</w:t>
      </w:r>
    </w:p>
    <w:p>
      <w:pPr>
        <w:pStyle w:val="FirstParagraph"/>
      </w:pPr>
      <w:r>
        <w:rPr>
          <w:rFonts w:ascii="Times New Roman" w:hAnsi="Times New Roman" w:eastAsia="宋体"/>
          <w:sz w:val="21"/>
        </w:rPr>
        <w:t>Hashimoto等提出的可靠性—恢复性—脆弱性框架为水资源系统服务绩效评价提供了经典方法</w:t>
      </w:r>
      <w:r>
        <w:rPr>
          <w:rFonts w:ascii="Times New Roman" w:hAnsi="Times New Roman" w:eastAsia="宋体"/>
          <w:sz w:val="17"/>
          <w:vertAlign w:val="superscript"/>
        </w:rPr>
        <w:t>[62]</w:t>
      </w:r>
      <w:r>
        <w:rPr>
          <w:rFonts w:ascii="Times New Roman" w:hAnsi="Times New Roman" w:eastAsia="宋体"/>
          <w:sz w:val="21"/>
        </w:rPr>
        <w:t>；Gupta等对NSE等模型评价指标进行了结构性分析</w:t>
      </w:r>
      <w:r>
        <w:rPr>
          <w:rFonts w:ascii="Times New Roman" w:hAnsi="Times New Roman" w:eastAsia="宋体"/>
          <w:sz w:val="17"/>
          <w:vertAlign w:val="superscript"/>
        </w:rPr>
        <w:t>[63]</w:t>
      </w:r>
      <w:r>
        <w:rPr>
          <w:rFonts w:ascii="Times New Roman" w:hAnsi="Times New Roman" w:eastAsia="宋体"/>
          <w:sz w:val="21"/>
        </w:rPr>
        <w:t>。在高维模型敏感性方面，Morris方法适合前期筛选，Campolongo等对其进行了改进，Sobol方差分解和Saltelli体系则适合定量识别单因素与交互影响</w:t>
      </w:r>
      <w:r>
        <w:rPr>
          <w:rFonts w:ascii="Times New Roman" w:hAnsi="Times New Roman" w:eastAsia="宋体"/>
          <w:sz w:val="17"/>
          <w:vertAlign w:val="superscript"/>
        </w:rPr>
        <w:t>[64–68]</w:t>
      </w:r>
      <w:r>
        <w:rPr>
          <w:rFonts w:ascii="Times New Roman" w:hAnsi="Times New Roman" w:eastAsia="宋体"/>
          <w:sz w:val="21"/>
        </w:rPr>
        <w:t>。</w:t>
      </w:r>
    </w:p>
    <w:p>
      <w:pPr>
        <w:pStyle w:val="BodyText"/>
      </w:pPr>
      <w:r>
        <w:rPr>
          <w:rFonts w:ascii="Times New Roman" w:hAnsi="Times New Roman" w:eastAsia="宋体"/>
          <w:sz w:val="21"/>
        </w:rPr>
        <w:t>需要特别区分“概率参数不确定性”和“深度未来不确定性”。PUE、CoC、负载率等在拥有合理经验范围时可用概率分布表达；但未来AI增长、政策调整、基础设施建设时点甚至某些气候社会经济路径往往不存在可信概率。鲁棒优化、Robust Decision Making和Dynamic Adaptive Policy Pathways正是为这类情景设计问题发展</w:t>
      </w:r>
      <w:r>
        <w:rPr>
          <w:rFonts w:ascii="Times New Roman" w:hAnsi="Times New Roman" w:eastAsia="宋体"/>
          <w:sz w:val="17"/>
          <w:vertAlign w:val="superscript"/>
        </w:rPr>
        <w:t>[69–74]</w:t>
      </w:r>
      <w:r>
        <w:rPr>
          <w:rFonts w:ascii="Times New Roman" w:hAnsi="Times New Roman" w:eastAsia="宋体"/>
          <w:sz w:val="21"/>
        </w:rPr>
        <w:t>。NSGA-II可用于多目标Pareto解集搜索</w:t>
      </w:r>
      <w:r>
        <w:rPr>
          <w:rFonts w:ascii="Times New Roman" w:hAnsi="Times New Roman" w:eastAsia="宋体"/>
          <w:sz w:val="17"/>
          <w:vertAlign w:val="superscript"/>
        </w:rPr>
        <w:t>[75]</w:t>
      </w:r>
      <w:r>
        <w:rPr>
          <w:rFonts w:ascii="Times New Roman" w:hAnsi="Times New Roman" w:eastAsia="宋体"/>
          <w:sz w:val="21"/>
        </w:rPr>
        <w:t>；CMIP6与复合气候风险研究为高温和干旱压力情景提供边界依据</w:t>
      </w:r>
      <w:r>
        <w:rPr>
          <w:rFonts w:ascii="Times New Roman" w:hAnsi="Times New Roman" w:eastAsia="宋体"/>
          <w:sz w:val="17"/>
          <w:vertAlign w:val="superscript"/>
        </w:rPr>
        <w:t>[76,77,80]</w:t>
      </w:r>
      <w:r>
        <w:rPr>
          <w:rFonts w:ascii="Times New Roman" w:hAnsi="Times New Roman" w:eastAsia="宋体"/>
          <w:sz w:val="21"/>
        </w:rPr>
        <w:t>。</w:t>
      </w:r>
    </w:p>
    <w:bookmarkEnd w:id="34"/>
    <w:bookmarkStart w:id="35" w:name="年前沿进展与本研究增量"/>
    <w:p>
      <w:pPr>
        <w:pStyle w:val="Heading2"/>
        <w:keepNext/>
        <w:keepLines/>
        <w:ind w:firstLine="0"/>
      </w:pPr>
      <w:r>
        <w:t xml:space="preserve">2.7 2026年前沿进展与本研究增量</w:t>
      </w:r>
    </w:p>
    <w:p>
      <w:pPr>
        <w:pStyle w:val="FirstParagraph"/>
      </w:pPr>
      <w:r>
        <w:rPr>
          <w:rFonts w:ascii="Times New Roman" w:hAnsi="Times New Roman" w:eastAsia="宋体"/>
          <w:sz w:val="21"/>
        </w:rPr>
        <w:t>截至2026年，相关研究正在快速接近城市公共水系统尺度。Han等已研究数据中心峰值取水与公共供水容量约束</w:t>
      </w:r>
      <w:r>
        <w:rPr>
          <w:rFonts w:ascii="Times New Roman" w:hAnsi="Times New Roman" w:eastAsia="宋体"/>
          <w:sz w:val="17"/>
          <w:vertAlign w:val="superscript"/>
        </w:rPr>
        <w:t>[78]</w:t>
      </w:r>
      <w:r>
        <w:rPr>
          <w:rFonts w:ascii="Times New Roman" w:hAnsi="Times New Roman" w:eastAsia="宋体"/>
          <w:sz w:val="21"/>
        </w:rPr>
        <w:t>；Akinade等提出AI数据中心与社区水务系统之间的反馈问题</w:t>
      </w:r>
      <w:r>
        <w:rPr>
          <w:rFonts w:ascii="Times New Roman" w:hAnsi="Times New Roman" w:eastAsia="宋体"/>
          <w:sz w:val="17"/>
          <w:vertAlign w:val="superscript"/>
        </w:rPr>
        <w:t>[79]</w:t>
      </w:r>
      <w:r>
        <w:rPr>
          <w:rFonts w:ascii="Times New Roman" w:hAnsi="Times New Roman" w:eastAsia="宋体"/>
          <w:sz w:val="21"/>
        </w:rPr>
        <w:t>；Wang等已经研究数据中心—污水处理厂再生水和余热协同</w:t>
      </w:r>
      <w:r>
        <w:rPr>
          <w:rFonts w:ascii="Times New Roman" w:hAnsi="Times New Roman" w:eastAsia="宋体"/>
          <w:sz w:val="17"/>
          <w:vertAlign w:val="superscript"/>
        </w:rPr>
        <w:t>[41]</w:t>
      </w:r>
      <w:r>
        <w:rPr>
          <w:rFonts w:ascii="Times New Roman" w:hAnsi="Times New Roman" w:eastAsia="宋体"/>
          <w:sz w:val="21"/>
        </w:rPr>
        <w:t>。因此，本研究不能把“第一次考虑公共供水”“第一次考虑峰值”或“第一次考虑数据中心与污水厂协同”作为创新表述。</w:t>
      </w:r>
    </w:p>
    <w:p>
      <w:pPr>
        <w:pStyle w:val="BodyText"/>
      </w:pPr>
      <w:r>
        <w:t xml:space="preserve">相对于这些最新工作，本研究真正需要建立的增量是：把IT容量—冷却物理过程—城市完整给水/污水/再生水闭环—日尺度峰值与复合压力—多设施潜在负荷约束统一在一个质量守恒框架内，并进一步识别概率化AI可支持容量边界、日均评价与峰值评价之间的边界提前量，以及主导瓶颈随城市条件和AI规模发生的转换。</w:t>
      </w:r>
    </w:p>
    <w:bookmarkEnd w:id="35"/>
    <w:bookmarkStart w:id="36" w:name="研究空白总结"/>
    <w:p>
      <w:pPr>
        <w:pStyle w:val="Heading2"/>
        <w:keepNext/>
        <w:keepLines/>
        <w:ind w:firstLine="0"/>
      </w:pPr>
      <w:r>
        <w:t xml:space="preserve">2.8 研究空白总结</w:t>
      </w:r>
    </w:p>
    <w:p>
      <w:pPr>
        <w:pStyle w:val="FirstParagraph"/>
      </w:pPr>
      <w:r>
        <w:t xml:space="preserve">综合现有文献，本研究锁定四个直接空白：</w:t>
      </w:r>
    </w:p>
    <w:p>
      <w:pPr>
        <w:pStyle w:val="BodyText"/>
      </w:pPr>
      <w:r>
        <w:t xml:space="preserve">（1）</w:t>
      </w:r>
      <w:r>
        <w:rPr>
          <w:b/>
          <w:bCs/>
        </w:rPr>
        <w:t xml:space="preserve">设施—城市尺度耦合不足。</w:t>
      </w:r>
      <w:r>
        <w:t xml:space="preserve"> </w:t>
      </w:r>
      <w:r>
        <w:t xml:space="preserve">AI侧已有服务器与设施资源核算，城市侧已有完整水循环模拟，但缺少从AI IT容量一直闭合到城市给水—污水—再生水网络的日尺度过程链。</w:t>
      </w:r>
    </w:p>
    <w:p>
      <w:pPr>
        <w:pStyle w:val="BodyText"/>
      </w:pPr>
      <w:r>
        <w:t xml:space="preserve">（2）</w:t>
      </w:r>
      <w:r>
        <w:rPr>
          <w:b/>
          <w:bCs/>
        </w:rPr>
        <w:t xml:space="preserve">足迹总量强、代谢结构弱。</w:t>
      </w:r>
      <w:r>
        <w:t xml:space="preserve"> </w:t>
      </w:r>
      <w:r>
        <w:t xml:space="preserve">现有研究较少分析AI加入后淡水依赖、消耗—回流比例、内部循环路径和设施间反馈是否发生系统性重构。</w:t>
      </w:r>
    </w:p>
    <w:p>
      <w:pPr>
        <w:pStyle w:val="BodyText"/>
      </w:pPr>
      <w:r>
        <w:t xml:space="preserve">（3）</w:t>
      </w:r>
      <w:r>
        <w:rPr>
          <w:b/>
          <w:bCs/>
        </w:rPr>
        <w:t xml:space="preserve">年均评价强、峰值与瓶颈转换弱。</w:t>
      </w:r>
      <w:r>
        <w:t xml:space="preserve"> </w:t>
      </w:r>
      <w:r>
        <w:t xml:space="preserve">峰值研究已经出现，但不同城市类型中“年均尚安全、峰值先失稳”的边界提前程度及水源—给水—污水—再生水之间的主导约束转换尚不清楚。</w:t>
      </w:r>
    </w:p>
    <w:p>
      <w:pPr>
        <w:pStyle w:val="BodyText"/>
      </w:pPr>
      <w:r>
        <w:t xml:space="preserve">（4）</w:t>
      </w:r>
      <w:r>
        <w:rPr>
          <w:b/>
          <w:bCs/>
        </w:rPr>
        <w:t xml:space="preserve">静态环境评价强、条件化容量规划弱。</w:t>
      </w:r>
      <w:r>
        <w:t xml:space="preserve"> </w:t>
      </w:r>
      <w:r>
        <w:t xml:space="preserve">现有研究很少把多设施、可靠性和技术条件统一转化为可直接用于规划的MW/GW IT安全容量边界及其概率区间。</w:t>
      </w:r>
    </w:p>
    <w:bookmarkEnd w:id="36"/>
    <w:bookmarkEnd w:id="37"/>
    <w:bookmarkStart w:id="48" w:name="第3章-科学问题研究假设与总体研究框架"/>
    <w:p>
      <w:pPr>
        <w:pStyle w:val="Heading1"/>
        <w:keepNext/>
        <w:keepLines/>
        <w:ind w:firstLine="0"/>
      </w:pPr>
      <w:r>
        <w:t xml:space="preserve">第3章 科学问题、研究假设与总体研究框架</w:t>
      </w:r>
    </w:p>
    <w:bookmarkStart w:id="38" w:name="核心科学问题"/>
    <w:p>
      <w:pPr>
        <w:pStyle w:val="Heading2"/>
        <w:keepNext/>
        <w:keepLines/>
        <w:ind w:firstLine="0"/>
      </w:pPr>
      <w:r>
        <w:t xml:space="preserve">3.1 核心科学问题</w:t>
      </w:r>
    </w:p>
    <w:p>
      <w:pPr>
        <w:pStyle w:val="FirstParagraph"/>
      </w:pPr>
      <w:r>
        <w:rPr>
          <w:b/>
          <w:bCs/>
        </w:rPr>
        <w:t xml:space="preserve">RQ1：AI IT容量如何经由能耗、热排散和冷却架构转化为城市真实的Withdrawal、Consumption与Return Flow，并与给水—污水—再生水系统形成质量守恒闭环？</w:t>
      </w:r>
    </w:p>
    <w:p>
      <w:pPr>
        <w:pStyle w:val="BodyText"/>
      </w:pPr>
      <w:r>
        <w:rPr>
          <w:b/>
          <w:bCs/>
        </w:rPr>
        <w:t xml:space="preserve">RQ2：在控制城市基础条件不变时，AI扩张是否会引起水代谢路径份额、淡水依赖、消耗—回流比例与内部循环结构的系统性变化，而不仅是总水量同比放大？</w:t>
      </w:r>
    </w:p>
    <w:p>
      <w:pPr>
        <w:pStyle w:val="BodyText"/>
      </w:pPr>
      <w:r>
        <w:rPr>
          <w:b/>
          <w:bCs/>
        </w:rPr>
        <w:t xml:space="preserve">RQ3：与年均水量评价相比，日尺度峰值、连续高负荷和高温—干旱复合压力会将AI可支持容量边界提前多少；这一提前在哪些城市状态下最显著？</w:t>
      </w:r>
    </w:p>
    <w:p>
      <w:pPr>
        <w:pStyle w:val="BodyText"/>
      </w:pPr>
      <w:r>
        <w:rPr>
          <w:b/>
          <w:bCs/>
        </w:rPr>
        <w:t xml:space="preserve">RQ4：随着AI容量、冷却技术和再生水能力变化，主导瓶颈是否在水源、给水、污水、再生水供给和峰值服务之间发生转换；不同不利因素之间是否存在补偿或放大效应？</w:t>
      </w:r>
    </w:p>
    <w:p>
      <w:pPr>
        <w:pStyle w:val="BodyText"/>
      </w:pPr>
      <w:r>
        <w:rPr>
          <w:b/>
          <w:bCs/>
        </w:rPr>
        <w:t xml:space="preserve">RQ5：提高水资源承载能力的技术措施是否造成能源、碳或经济负担转移；在未来增长与政策路径未知的情况下，如何形成低后悔、可调整的状态触发式规划策略？</w:t>
      </w:r>
    </w:p>
    <w:bookmarkEnd w:id="38"/>
    <w:bookmarkStart w:id="45" w:name="可检验研究假设"/>
    <w:p>
      <w:pPr>
        <w:pStyle w:val="Heading2"/>
        <w:keepNext/>
        <w:keepLines/>
        <w:ind w:firstLine="0"/>
      </w:pPr>
      <w:r>
        <w:t xml:space="preserve">3.2 可检验研究假设</w:t>
      </w:r>
    </w:p>
    <w:bookmarkStart w:id="39" w:name="h1-峰值边界提前假设"/>
    <w:p>
      <w:pPr>
        <w:pStyle w:val="Heading3"/>
        <w:keepNext/>
        <w:keepLines/>
        <w:ind w:firstLine="0"/>
      </w:pPr>
      <w:r>
        <w:t xml:space="preserve">H1 峰值边界提前假设</w:t>
      </w:r>
    </w:p>
    <w:p>
      <w:pPr>
        <w:pStyle w:val="FirstParagraph"/>
      </w:pPr>
      <w:r>
        <w:t xml:space="preserve">相对于只采用年度平均或年总量约束的评估，加入日尺度峰值、连续高负荷和高温压力后，CAWCC将显著降低；该“边界提前量”受热环境、基础设施裕度和冷却架构共同控制，而不是一个固定比例。</w:t>
      </w:r>
    </w:p>
    <w:bookmarkEnd w:id="39"/>
    <w:bookmarkStart w:id="40" w:name="h2-主导瓶颈转换假设"/>
    <w:p>
      <w:pPr>
        <w:pStyle w:val="Heading3"/>
        <w:keepNext/>
        <w:keepLines/>
        <w:ind w:firstLine="0"/>
      </w:pPr>
      <w:r>
        <w:t xml:space="preserve">H2 主导瓶颈转换假设</w:t>
      </w:r>
    </w:p>
    <w:p>
      <w:pPr>
        <w:pStyle w:val="FirstParagraph"/>
      </w:pPr>
      <w:r>
        <w:t xml:space="preserve">主导限制因素并非始终是“水资源不足”。随AI容量增加和再生水、冷却技术变化，首个失效约束将在水源可用量、给水潜在负荷、污水潜在负荷、再生水供需和峰值容量之间发生可识别转换。</w:t>
      </w:r>
    </w:p>
    <w:bookmarkEnd w:id="40"/>
    <w:bookmarkStart w:id="41" w:name="h3-再生水边际转折机制假设"/>
    <w:p>
      <w:pPr>
        <w:pStyle w:val="Heading3"/>
        <w:keepNext/>
        <w:keepLines/>
        <w:ind w:firstLine="0"/>
      </w:pPr>
      <w:r>
        <w:t xml:space="preserve">H3 再生水边际转折机制假设</w:t>
      </w:r>
    </w:p>
    <w:p>
      <w:pPr>
        <w:pStyle w:val="FirstParagraph"/>
      </w:pPr>
      <w:r>
        <w:t xml:space="preserve">再生水对CAWCC的提升存在转折区间，但其原因不预先归因于简单容量上限。转折点可能由污水源量不足、深度处理能力、水质导致的CoC下降、输配能力或既有用户竞争中的一种或多种共同控制；不同城市类型的主导机制不同。</w:t>
      </w:r>
    </w:p>
    <w:bookmarkEnd w:id="41"/>
    <w:bookmarkStart w:id="42" w:name="h4-城市因素交互与补偿假设"/>
    <w:p>
      <w:pPr>
        <w:pStyle w:val="Heading3"/>
        <w:keepNext/>
        <w:keepLines/>
        <w:ind w:firstLine="0"/>
      </w:pPr>
      <w:r>
        <w:t xml:space="preserve">H4 城市因素交互与补偿假设</w:t>
      </w:r>
    </w:p>
    <w:p>
      <w:pPr>
        <w:pStyle w:val="FirstParagraph"/>
      </w:pPr>
      <w:r>
        <w:t xml:space="preserve">热环境不利、水资源不足和再生水能力较低对CAWCC具有显著交互作用；部分不利条件可以通过低水耗冷却或再生水基础设施得到阶段性补偿，但补偿效应在高AI容量下存在失效区间。</w:t>
      </w:r>
    </w:p>
    <w:bookmarkEnd w:id="42"/>
    <w:bookmarkStart w:id="43" w:name="h5-水能碳负担转移假设"/>
    <w:p>
      <w:pPr>
        <w:pStyle w:val="Heading3"/>
        <w:keepNext/>
        <w:keepLines/>
        <w:ind w:firstLine="0"/>
      </w:pPr>
      <w:r>
        <w:t xml:space="preserve">H5 水—能—碳负担转移假设</w:t>
      </w:r>
    </w:p>
    <w:p>
      <w:pPr>
        <w:pStyle w:val="FirstParagraph"/>
      </w:pPr>
      <w:r>
        <w:rPr>
          <w:rFonts w:ascii="Times New Roman" w:hAnsi="Times New Roman" w:eastAsia="宋体"/>
          <w:sz w:val="21"/>
        </w:rPr>
        <w:t>降低现场淡水取水的措施并不必然降低综合环境代价。干冷、液冷末端散热和高品质再生水处理可能形成“以能源换水”或“节水增碳”情形，其出现条件受气候、电网碳强度和处理能耗共同控制</w:t>
      </w:r>
      <w:r>
        <w:rPr>
          <w:rFonts w:ascii="Times New Roman" w:hAnsi="Times New Roman" w:eastAsia="宋体"/>
          <w:sz w:val="17"/>
          <w:vertAlign w:val="superscript"/>
        </w:rPr>
        <w:t>[23–28,40–52]</w:t>
      </w:r>
      <w:r>
        <w:rPr>
          <w:rFonts w:ascii="Times New Roman" w:hAnsi="Times New Roman" w:eastAsia="宋体"/>
          <w:sz w:val="21"/>
        </w:rPr>
        <w:t>。</w:t>
      </w:r>
    </w:p>
    <w:bookmarkEnd w:id="43"/>
    <w:bookmarkStart w:id="44" w:name="h6-适应性规划低后悔假设"/>
    <w:p>
      <w:pPr>
        <w:pStyle w:val="Heading3"/>
        <w:keepNext/>
        <w:keepLines/>
        <w:ind w:firstLine="0"/>
      </w:pPr>
      <w:r>
        <w:t xml:space="preserve">H6 适应性规划低后悔假设</w:t>
      </w:r>
    </w:p>
    <w:p>
      <w:pPr>
        <w:pStyle w:val="FirstParagraph"/>
      </w:pPr>
      <w:r>
        <w:rPr>
          <w:rFonts w:ascii="Times New Roman" w:hAnsi="Times New Roman" w:eastAsia="宋体"/>
          <w:sz w:val="21"/>
        </w:rPr>
        <w:t>在AI增长、气候和扩容时点无法赋予可信概率的情况下，基于signpost和trigger的适应性路径相比固定2035一次性方案，将在多数可行未来中降低最大后悔值、约束违反率或生命周期成本离散程度。该假设以明确的regret、failure probability和lifecycle cost指标检验，而不以“动态策略天然更优”作为预设结论</w:t>
      </w:r>
      <w:r>
        <w:rPr>
          <w:rFonts w:ascii="Times New Roman" w:hAnsi="Times New Roman" w:eastAsia="宋体"/>
          <w:sz w:val="17"/>
          <w:vertAlign w:val="superscript"/>
        </w:rPr>
        <w:t>[69–74]</w:t>
      </w:r>
      <w:r>
        <w:rPr>
          <w:rFonts w:ascii="Times New Roman" w:hAnsi="Times New Roman" w:eastAsia="宋体"/>
          <w:sz w:val="21"/>
        </w:rPr>
        <w:t>。</w:t>
      </w:r>
    </w:p>
    <w:bookmarkEnd w:id="44"/>
    <w:bookmarkEnd w:id="45"/>
    <w:bookmarkStart w:id="46" w:name="研究主线与内容层级"/>
    <w:p>
      <w:pPr>
        <w:pStyle w:val="Heading2"/>
        <w:keepNext/>
        <w:keepLines/>
        <w:ind w:firstLine="0"/>
      </w:pPr>
      <w:r>
        <w:t xml:space="preserve">3.3 研究主线与内容层级</w:t>
      </w:r>
    </w:p>
    <w:p>
      <w:pPr>
        <w:pStyle w:val="FirstParagraph"/>
      </w:pPr>
      <w:r>
        <w:t xml:space="preserve">本研究严格区分核心主线和应用扩展。</w:t>
      </w:r>
    </w:p>
    <w:p>
      <w:pPr>
        <w:pStyle w:val="BodyText"/>
      </w:pPr>
      <w:r>
        <w:rPr>
          <w:b/>
          <w:bCs/>
        </w:rPr>
        <w:t xml:space="preserve">核心主线：</w:t>
      </w:r>
      <w:r>
        <w:t xml:space="preserve"> </w:t>
      </w:r>
      <w:r>
        <w:t xml:space="preserve">AI算力过程建模 → 城市水代谢响应 → 日尺度峰值压力 → 条件化/概率化CAWCC → 主导瓶颈转换。</w:t>
      </w:r>
    </w:p>
    <w:p>
      <w:pPr>
        <w:pStyle w:val="BodyText"/>
      </w:pPr>
      <w:r>
        <w:rPr>
          <w:b/>
          <w:bCs/>
        </w:rPr>
        <w:t xml:space="preserve">应用扩展：</w:t>
      </w:r>
      <w:r>
        <w:t xml:space="preserve"> </w:t>
      </w:r>
      <w:r>
        <w:t xml:space="preserve">在固定AI容量下研究水—能—碳技术配置；在给定资源和预算约束下最大化安全AI容量；最后把若干可行策略组织为状态触发式适应路径。</w:t>
      </w:r>
    </w:p>
    <w:p>
      <w:pPr>
        <w:pStyle w:val="BodyText"/>
      </w:pPr>
      <w:r>
        <w:t xml:space="preserve">这一结构避免将冷却物理、Sobol、NSGA-II和DAPP等方法并列为多个同等“创新”，而使所有方法服务于同一科学链条。</w:t>
      </w:r>
    </w:p>
    <w:bookmarkEnd w:id="46"/>
    <w:bookmarkStart w:id="47" w:name="城市水代谢操作化定义"/>
    <w:p>
      <w:pPr>
        <w:pStyle w:val="Heading2"/>
        <w:keepNext/>
        <w:keepLines/>
        <w:ind w:firstLine="0"/>
      </w:pPr>
      <w:r>
        <w:t xml:space="preserve">3.4</w:t>
      </w:r>
      <w:r>
        <w:t xml:space="preserve"> </w:t>
      </w:r>
      <w:r>
        <w:t xml:space="preserve">“</w:t>
      </w:r>
      <w:r>
        <w:t xml:space="preserve">城市水代谢</w:t>
      </w:r>
      <w:r>
        <w:t xml:space="preserve">”</w:t>
      </w:r>
      <w:r>
        <w:t xml:space="preserve">操作化定义</w:t>
      </w:r>
    </w:p>
    <w:p>
      <w:pPr>
        <w:pStyle w:val="FirstParagraph"/>
      </w:pPr>
      <w:r>
        <w:t xml:space="preserve">为避免把“代谢”停留在概念和Sankey图层面，本研究将城市人工水系统表示为节点集合</w:t>
      </w:r>
      <w:r>
        <w:t xml:space="preserve"> </w:t>
      </w:r>
      <m:oMath>
        <m:r>
          <m:t>N</m:t>
        </m:r>
      </m:oMath>
      <w:r>
        <w:t xml:space="preserve">、流路径集合</w:t>
      </w:r>
      <w:r>
        <w:t xml:space="preserve"> </w:t>
      </w:r>
      <m:oMath>
        <m:r>
          <m:t>L</m:t>
        </m:r>
      </m:oMath>
      <w:r>
        <w:t xml:space="preserve"> </w:t>
      </w:r>
      <w:r>
        <w:t xml:space="preserve">以及逐日流量</w:t>
      </w:r>
      <w:r>
        <w:t xml:space="preserve"> </w:t>
      </w:r>
      <m:oMath>
        <m:sSub>
          <m:e>
            <m:r>
              <m:t>F</m:t>
            </m:r>
          </m:e>
          <m:sub>
            <m:r>
              <m:t>l</m:t>
            </m:r>
            <m:r>
              <m:rPr>
                <m:sty m:val="p"/>
              </m:rPr>
              <m:t>,</m:t>
            </m:r>
            <m:r>
              <m:t>t</m:t>
            </m:r>
          </m:sub>
        </m:sSub>
      </m:oMath>
      <w:r>
        <w:t xml:space="preserve">。除总量守恒外，进一步使用流量结构份额：</w:t>
      </w:r>
    </w:p>
    <w:p>
      <w:pPr>
        <w:pStyle w:val="BodyText"/>
        <w:keepNext/>
        <w:spacing w:before="80" w:after="0"/>
        <w:ind w:firstLine="0"/>
        <w:jc w:val="center"/>
      </w:pPr>
      <m:oMathPara>
        <m:oMathParaPr>
          <m:jc m:val="center"/>
        </m:oMathParaPr>
        <m:oMath>
          <m:sSub>
            <m:e>
              <m:r>
                <m:t>p</m:t>
              </m:r>
            </m:e>
            <m:sub>
              <m:r>
                <m:t>l</m:t>
              </m:r>
              <m:r>
                <m:rPr>
                  <m:sty m:val="p"/>
                </m:rPr>
                <m:t>,</m:t>
              </m:r>
              <m:r>
                <m:t>t</m:t>
              </m:r>
            </m:sub>
          </m:sSub>
          <m:r>
            <m:rPr>
              <m:sty m:val="p"/>
            </m:rPr>
            <m:t>=</m:t>
          </m:r>
          <m:f>
            <m:fPr>
              <m:type m:val="bar"/>
            </m:fPr>
            <m:num>
              <m:sSub>
                <m:e>
                  <m:r>
                    <m:t>F</m:t>
                  </m:r>
                </m:e>
                <m:sub>
                  <m:r>
                    <m:t>l</m:t>
                  </m:r>
                  <m:r>
                    <m:rPr>
                      <m:sty m:val="p"/>
                    </m:rPr>
                    <m:t>,</m:t>
                  </m:r>
                  <m:r>
                    <m:t>t</m:t>
                  </m:r>
                </m:sub>
              </m:sSub>
            </m:num>
            <m:den>
              <m:nary>
                <m:naryPr>
                  <m:chr m:val="∑"/>
                  <m:limLoc m:val="undOvr"/>
                  <m:subHide m:val="off"/>
                  <m:supHide m:val="on"/>
                </m:naryPr>
                <m:sub>
                  <m:r>
                    <m:t>k</m:t>
                  </m:r>
                  <m:r>
                    <m:rPr>
                      <m:sty m:val="p"/>
                    </m:rPr>
                    <m:t>∈</m:t>
                  </m:r>
                  <m:r>
                    <m:t>L</m:t>
                  </m:r>
                </m:sub>
                <m:sup>
                  <m:r>
                    <m:t>​</m:t>
                  </m:r>
                </m:sup>
                <m:e>
                  <m:sSub>
                    <m:e>
                      <m:r>
                        <m:t>F</m:t>
                      </m:r>
                    </m:e>
                    <m:sub>
                      <m:r>
                        <m:t>k</m:t>
                      </m:r>
                      <m:r>
                        <m:rPr>
                          <m:sty m:val="p"/>
                        </m:rPr>
                        <m:t>,</m:t>
                      </m:r>
                      <m:r>
                        <m:t>t</m:t>
                      </m:r>
                    </m:sub>
                  </m:sSub>
                </m:e>
              </m:nary>
            </m:den>
          </m:f>
        </m:oMath>
      </m:oMathPara>
    </w:p>
    <w:p>
      <w:pPr>
        <w:pStyle w:val="EquationNumber"/>
      </w:pPr>
      <w:r>
        <w:t>（3-1）</w:t>
      </w:r>
    </w:p>
    <w:p>
      <w:pPr>
        <w:pStyle w:val="BodyText"/>
      </w:pPr>
      <w:r>
        <w:t xml:space="preserve">对AI情景与Baseline在同一组关键流路径上的结构差异，定义流份额总变差距离：</w:t>
      </w:r>
    </w:p>
    <w:p>
      <w:pPr>
        <w:pStyle w:val="BodyText"/>
        <w:keepNext/>
        <w:spacing w:before="80" w:after="0"/>
        <w:ind w:firstLine="0"/>
        <w:jc w:val="center"/>
      </w:pPr>
      <m:oMathPara>
        <m:oMathParaPr>
          <m:jc m:val="center"/>
        </m:oMathParaPr>
        <m:oMath>
          <m:sSub>
            <m:e>
              <m:r>
                <m:t>D</m:t>
              </m:r>
            </m:e>
            <m:sub>
              <m:r>
                <m:t>m</m:t>
              </m:r>
              <m:r>
                <m:t>e</m:t>
              </m:r>
              <m:r>
                <m:t>t</m:t>
              </m:r>
              <m:r>
                <m:rPr>
                  <m:sty m:val="p"/>
                </m:rPr>
                <m:t>,</m:t>
              </m:r>
              <m:r>
                <m:t>t</m:t>
              </m:r>
            </m:sub>
          </m:sSub>
          <m:r>
            <m:rPr>
              <m:sty m:val="p"/>
            </m:rPr>
            <m:t>=</m:t>
          </m:r>
          <m:f>
            <m:fPr>
              <m:type m:val="bar"/>
            </m:fPr>
            <m:num>
              <m:r>
                <m:t>1</m:t>
              </m:r>
            </m:num>
            <m:den>
              <m:r>
                <m:t>2</m:t>
              </m:r>
            </m:den>
          </m:f>
          <m:nary>
            <m:naryPr>
              <m:chr m:val="∑"/>
              <m:limLoc m:val="undOvr"/>
              <m:subHide m:val="off"/>
              <m:supHide m:val="on"/>
            </m:naryPr>
            <m:sub>
              <m:r>
                <m:t>l</m:t>
              </m:r>
              <m:r>
                <m:rPr>
                  <m:sty m:val="p"/>
                </m:rPr>
                <m:t>∈</m:t>
              </m:r>
              <m:r>
                <m:t>L</m:t>
              </m:r>
            </m:sub>
            <m:sup>
              <m:r>
                <m:t>​</m:t>
              </m:r>
            </m:sup>
            <m:e>
              <m:d>
                <m:dPr>
                  <m:begChr m:val="|"/>
                  <m:endChr m:val="|"/>
                  <m:sepChr m:val=""/>
                  <m:grow/>
                </m:dPr>
                <m:e>
                  <m:sSubSup>
                    <m:e>
                      <m:r>
                        <m:t>p</m:t>
                      </m:r>
                    </m:e>
                    <m:sub>
                      <m:r>
                        <m:t>l</m:t>
                      </m:r>
                      <m:r>
                        <m:rPr>
                          <m:sty m:val="p"/>
                        </m:rPr>
                        <m:t>,</m:t>
                      </m:r>
                      <m:r>
                        <m:t>t</m:t>
                      </m:r>
                    </m:sub>
                    <m:sup>
                      <m:r>
                        <m:t>A</m:t>
                      </m:r>
                      <m:r>
                        <m:t>I</m:t>
                      </m:r>
                    </m:sup>
                  </m:sSubSup>
                  <m:r>
                    <m:rPr>
                      <m:sty m:val="p"/>
                    </m:rPr>
                    <m:t>−</m:t>
                  </m:r>
                  <m:sSubSup>
                    <m:e>
                      <m:r>
                        <m:t>p</m:t>
                      </m:r>
                    </m:e>
                    <m:sub>
                      <m:r>
                        <m:t>l</m:t>
                      </m:r>
                      <m:r>
                        <m:rPr>
                          <m:sty m:val="p"/>
                        </m:rPr>
                        <m:t>,</m:t>
                      </m:r>
                      <m:r>
                        <m:t>t</m:t>
                      </m:r>
                    </m:sub>
                    <m:sup>
                      <m:r>
                        <m:t>b</m:t>
                      </m:r>
                      <m:r>
                        <m:t>a</m:t>
                      </m:r>
                      <m:r>
                        <m:t>s</m:t>
                      </m:r>
                      <m:r>
                        <m:t>e</m:t>
                      </m:r>
                    </m:sup>
                  </m:sSubSup>
                </m:e>
              </m:d>
            </m:e>
          </m:nary>
        </m:oMath>
      </m:oMathPara>
    </w:p>
    <w:p>
      <w:pPr>
        <w:pStyle w:val="EquationNumber"/>
      </w:pPr>
      <w:r>
        <w:t>（3-2）</w:t>
      </w:r>
    </w:p>
    <w:p>
      <w:pPr>
        <w:pStyle w:val="BodyText"/>
      </w:pPr>
      <m:oMath>
        <m:sSub>
          <m:e>
            <m:r>
              <m:t>D</m:t>
            </m:r>
          </m:e>
          <m:sub>
            <m:r>
              <m:t>m</m:t>
            </m:r>
            <m:r>
              <m:t>e</m:t>
            </m:r>
            <m:r>
              <m:t>t</m:t>
            </m:r>
          </m:sub>
        </m:sSub>
      </m:oMath>
      <w:r>
        <w:t xml:space="preserve">越接近0，说明主要是整体规模变化；越大则说明不同水源、用户、污水和再利用路径的相对结构发生更强重构。该指标与淡水依赖率、内部循环率、消耗率和回流率联合使用，不把单一新指数作为最终结论。</w:t>
      </w:r>
    </w:p>
    <w:bookmarkEnd w:id="47"/>
    <w:bookmarkEnd w:id="48"/>
    <w:bookmarkStart w:id="64" w:name="第4章-ai城市水代谢耦合模型与水能碳核算"/>
    <w:p>
      <w:pPr>
        <w:pStyle w:val="Heading1"/>
        <w:keepNext/>
        <w:keepLines/>
        <w:ind w:firstLine="0"/>
      </w:pPr>
      <w:r>
        <w:t xml:space="preserve">第4章 AI—城市水代谢耦合模型与水—能—碳核算</w:t>
      </w:r>
    </w:p>
    <w:bookmarkStart w:id="49" w:name="核心系统边界与基本假设"/>
    <w:p>
      <w:pPr>
        <w:pStyle w:val="Heading2"/>
        <w:keepNext/>
        <w:keepLines/>
        <w:ind w:firstLine="0"/>
      </w:pPr>
      <w:r>
        <w:t xml:space="preserve">4.1 核心系统边界与基本假设</w:t>
      </w:r>
    </w:p>
    <w:p>
      <w:pPr>
        <w:pStyle w:val="FirstParagraph"/>
      </w:pPr>
      <w:r>
        <w:t xml:space="preserve">核心模型边界定义为</w:t>
      </w:r>
      <w:r>
        <w:rPr>
          <w:b/>
          <w:bCs/>
        </w:rPr>
        <w:t xml:space="preserve">城市人工管理水系统（managed urban water system）</w:t>
      </w:r>
      <w:r>
        <w:t xml:space="preserve">，包括外部可供水源、原水/给水处理、配水、居民与非居民用户、AI算力中心、污水收集与处理、再生水处理与分配、管理系统向城市环境或受纳水体的最终排放。若项目代码保留降雨、雨洪或地下水等模块，可作为扩展过程单独启用，但在本研究核心质量平衡中不使用未被显式建模的“有效降水”作为占位输入。</w:t>
      </w:r>
    </w:p>
    <w:p>
      <w:pPr>
        <w:pStyle w:val="BodyText"/>
      </w:pPr>
      <w:r>
        <w:t xml:space="preserve">所有主要流量均采用m³·d⁻¹，能源采用MWh·d⁻¹，模型主时间步长为日。内部再生水流是系统内部循环，不重复计入外部水输入。</w:t>
      </w:r>
    </w:p>
    <w:bookmarkEnd w:id="49"/>
    <w:bookmarkStart w:id="50" w:name="城市人工水系统总体质量守恒"/>
    <w:p>
      <w:pPr>
        <w:pStyle w:val="Heading2"/>
        <w:keepNext/>
        <w:keepLines/>
        <w:ind w:firstLine="0"/>
      </w:pPr>
      <w:r>
        <w:t xml:space="preserve">4.2 城市人工水系统总体质量守恒</w:t>
      </w:r>
    </w:p>
    <w:p>
      <w:pPr>
        <w:pStyle w:val="FirstParagraph"/>
      </w:pPr>
      <w:r>
        <w:t xml:space="preserve">设第</w:t>
      </w:r>
      <m:oMath>
        <m:r>
          <m:t>t</m:t>
        </m:r>
      </m:oMath>
      <w:r>
        <w:t xml:space="preserve">日外部进入管理水系统的水量为</w:t>
      </w:r>
      <w:r>
        <w:t xml:space="preserve"> </w:t>
      </w:r>
      <m:oMath>
        <m:sSubSup>
          <m:e>
            <m:r>
              <m:t>W</m:t>
            </m:r>
          </m:e>
          <m:sub>
            <m:r>
              <m:t>t</m:t>
            </m:r>
          </m:sub>
          <m:sup>
            <m:r>
              <m:t>e</m:t>
            </m:r>
            <m:r>
              <m:t>x</m:t>
            </m:r>
            <m:r>
              <m:t>t</m:t>
            </m:r>
          </m:sup>
        </m:sSubSup>
      </m:oMath>
      <w:r>
        <w:t xml:space="preserve">，最终由管理系统排向环境的水量为</w:t>
      </w:r>
      <w:r>
        <w:t xml:space="preserve"> </w:t>
      </w:r>
      <m:oMath>
        <m:sSubSup>
          <m:e>
            <m:r>
              <m:t>Q</m:t>
            </m:r>
          </m:e>
          <m:sub>
            <m:r>
              <m:t>t</m:t>
            </m:r>
          </m:sub>
          <m:sup>
            <m:r>
              <m:t>e</m:t>
            </m:r>
            <m:r>
              <m:t>n</m:t>
            </m:r>
            <m:r>
              <m:t>v</m:t>
            </m:r>
          </m:sup>
        </m:sSubSup>
      </m:oMath>
      <w:r>
        <w:t xml:space="preserve">，不可恢复消耗为</w:t>
      </w:r>
      <w:r>
        <w:t xml:space="preserve"> </w:t>
      </w:r>
      <m:oMath>
        <m:sSubSup>
          <m:e>
            <m:r>
              <m:t>C</m:t>
            </m:r>
          </m:e>
          <m:sub>
            <m:r>
              <m:t>t</m:t>
            </m:r>
          </m:sub>
          <m:sup>
            <m:r>
              <m:t>s</m:t>
            </m:r>
            <m:r>
              <m:t>y</m:t>
            </m:r>
            <m:r>
              <m:t>s</m:t>
            </m:r>
          </m:sup>
        </m:sSubSup>
      </m:oMath>
      <w:r>
        <w:t xml:space="preserve">，系统内水库、清水池、再生水池等显式储量总和为</w:t>
      </w:r>
      <w:r>
        <w:t xml:space="preserve"> </w:t>
      </w:r>
      <m:oMath>
        <m:sSub>
          <m:e>
            <m:r>
              <m:t>S</m:t>
            </m:r>
          </m:e>
          <m:sub>
            <m:r>
              <m:t>t</m:t>
            </m:r>
          </m:sub>
        </m:sSub>
      </m:oMath>
      <w:r>
        <w:t xml:space="preserve">，则：</w:t>
      </w:r>
    </w:p>
    <w:p>
      <w:pPr>
        <w:pStyle w:val="BodyText"/>
        <w:keepNext/>
        <w:spacing w:before="80" w:after="0"/>
        <w:ind w:firstLine="0"/>
        <w:jc w:val="center"/>
      </w:pPr>
      <m:oMathPara>
        <m:oMathParaPr>
          <m:jc m:val="center"/>
        </m:oMathParaPr>
        <m:oMath>
          <m:sSub>
            <m:e>
              <m:r>
                <m:t>S</m:t>
              </m:r>
            </m:e>
            <m:sub>
              <m:r>
                <m:t>t</m:t>
              </m:r>
              <m:r>
                <m:rPr>
                  <m:sty m:val="p"/>
                </m:rPr>
                <m:t>+</m:t>
              </m:r>
              <m:r>
                <m:t>1</m:t>
              </m:r>
            </m:sub>
          </m:sSub>
          <m:r>
            <m:rPr>
              <m:sty m:val="p"/>
            </m:rPr>
            <m:t>−</m:t>
          </m:r>
          <m:sSub>
            <m:e>
              <m:r>
                <m:t>S</m:t>
              </m:r>
            </m:e>
            <m:sub>
              <m:r>
                <m:t>t</m:t>
              </m:r>
            </m:sub>
          </m:sSub>
          <m:r>
            <m:rPr>
              <m:sty m:val="p"/>
            </m:rPr>
            <m:t>=</m:t>
          </m:r>
          <m:sSubSup>
            <m:e>
              <m:r>
                <m:t>W</m:t>
              </m:r>
            </m:e>
            <m:sub>
              <m:r>
                <m:t>t</m:t>
              </m:r>
            </m:sub>
            <m:sup>
              <m:r>
                <m:t>e</m:t>
              </m:r>
              <m:r>
                <m:t>x</m:t>
              </m:r>
              <m:r>
                <m:t>t</m:t>
              </m:r>
            </m:sup>
          </m:sSubSup>
          <m:r>
            <m:rPr>
              <m:sty m:val="p"/>
            </m:rPr>
            <m:t>−</m:t>
          </m:r>
          <m:sSubSup>
            <m:e>
              <m:r>
                <m:t>Q</m:t>
              </m:r>
            </m:e>
            <m:sub>
              <m:r>
                <m:t>t</m:t>
              </m:r>
            </m:sub>
            <m:sup>
              <m:r>
                <m:t>e</m:t>
              </m:r>
              <m:r>
                <m:t>n</m:t>
              </m:r>
              <m:r>
                <m:t>v</m:t>
              </m:r>
            </m:sup>
          </m:sSubSup>
          <m:r>
            <m:rPr>
              <m:sty m:val="p"/>
            </m:rPr>
            <m:t>−</m:t>
          </m:r>
          <m:sSubSup>
            <m:e>
              <m:r>
                <m:t>C</m:t>
              </m:r>
            </m:e>
            <m:sub>
              <m:r>
                <m:t>t</m:t>
              </m:r>
            </m:sub>
            <m:sup>
              <m:r>
                <m:t>s</m:t>
              </m:r>
              <m:r>
                <m:t>y</m:t>
              </m:r>
              <m:r>
                <m:t>s</m:t>
              </m:r>
            </m:sup>
          </m:sSubSup>
        </m:oMath>
      </m:oMathPara>
    </w:p>
    <w:p>
      <w:pPr>
        <w:pStyle w:val="EquationNumber"/>
      </w:pPr>
      <w:r>
        <w:t>（4-1）</w:t>
      </w:r>
    </w:p>
    <w:p>
      <w:pPr>
        <w:pStyle w:val="BodyText"/>
      </w:pPr>
      <w:r>
        <w:t xml:space="preserve">式（4-1）只作为顶层守恒式。再生水、用户间分配及污水回流均属于内部流，不在顶层输入中重复计量。配水漏损和处理损失必须进一步定义去向：进入污水系统的部分作为内部流，进入城市地下环境或管理系统之外的部分计入</w:t>
      </w:r>
      <w:r>
        <w:t xml:space="preserve"> </w:t>
      </w:r>
      <m:oMath>
        <m:sSubSup>
          <m:e>
            <m:r>
              <m:t>Q</m:t>
            </m:r>
          </m:e>
          <m:sub>
            <m:r>
              <m:t>t</m:t>
            </m:r>
          </m:sub>
          <m:sup>
            <m:r>
              <m:t>e</m:t>
            </m:r>
            <m:r>
              <m:t>n</m:t>
            </m:r>
            <m:r>
              <m:t>v</m:t>
            </m:r>
          </m:sup>
        </m:sSubSup>
      </m:oMath>
      <w:r>
        <w:t xml:space="preserve"> </w:t>
      </w:r>
      <w:r>
        <w:t xml:space="preserve">或显式环境储量，而不能在子模型中直接消失。</w:t>
      </w:r>
    </w:p>
    <w:bookmarkEnd w:id="50"/>
    <w:bookmarkStart w:id="51" w:name="给水处理配水及漏损去向"/>
    <w:p>
      <w:pPr>
        <w:pStyle w:val="Heading2"/>
        <w:keepNext/>
        <w:keepLines/>
        <w:ind w:firstLine="0"/>
      </w:pPr>
      <w:r>
        <w:t xml:space="preserve">4.3 给水处理、配水及漏损去向</w:t>
      </w:r>
    </w:p>
    <w:p>
      <w:pPr>
        <w:pStyle w:val="FirstParagraph"/>
      </w:pPr>
      <w:r>
        <w:t xml:space="preserve">设原水取水量为</w:t>
      </w:r>
      <w:r>
        <w:t xml:space="preserve"> </w:t>
      </w:r>
      <m:oMath>
        <m:sSubSup>
          <m:e>
            <m:r>
              <m:t>Q</m:t>
            </m:r>
          </m:e>
          <m:sub>
            <m:r>
              <m:t>t</m:t>
            </m:r>
          </m:sub>
          <m:sup>
            <m:r>
              <m:t>r</m:t>
            </m:r>
            <m:r>
              <m:t>a</m:t>
            </m:r>
            <m:r>
              <m:t>w</m:t>
            </m:r>
          </m:sup>
        </m:sSubSup>
      </m:oMath>
      <w:r>
        <w:t xml:space="preserve">，给水处理过程水量回收率为</w:t>
      </w:r>
      <w:r>
        <w:t xml:space="preserve"> </w:t>
      </w:r>
      <m:oMath>
        <m:sSub>
          <m:e>
            <m:r>
              <m:t>η</m:t>
            </m:r>
          </m:e>
          <m:sub>
            <m:r>
              <m:t>W</m:t>
            </m:r>
            <m:r>
              <m:t>T</m:t>
            </m:r>
            <m:r>
              <m:t>W</m:t>
            </m:r>
          </m:sub>
        </m:sSub>
      </m:oMath>
      <w:r>
        <w:t xml:space="preserve">：</w:t>
      </w:r>
    </w:p>
    <w:p>
      <w:pPr>
        <w:pStyle w:val="BodyText"/>
        <w:keepNext/>
        <w:spacing w:before="80" w:after="0"/>
        <w:ind w:firstLine="0"/>
        <w:jc w:val="center"/>
      </w:pPr>
      <m:oMathPara>
        <m:oMathParaPr>
          <m:jc m:val="center"/>
        </m:oMathParaPr>
        <m:oMath>
          <m:sSubSup>
            <m:e>
              <m:r>
                <m:t>Q</m:t>
              </m:r>
            </m:e>
            <m:sub>
              <m:r>
                <m:t>t</m:t>
              </m:r>
            </m:sub>
            <m:sup>
              <m:r>
                <m:t>W</m:t>
              </m:r>
              <m:r>
                <m:t>T</m:t>
              </m:r>
              <m:r>
                <m:t>W</m:t>
              </m:r>
            </m:sup>
          </m:sSubSup>
          <m:r>
            <m:rPr>
              <m:sty m:val="p"/>
            </m:rPr>
            <m:t>=</m:t>
          </m:r>
          <m:sSub>
            <m:e>
              <m:r>
                <m:t>η</m:t>
              </m:r>
            </m:e>
            <m:sub>
              <m:r>
                <m:t>W</m:t>
              </m:r>
              <m:r>
                <m:t>T</m:t>
              </m:r>
              <m:r>
                <m:t>W</m:t>
              </m:r>
            </m:sub>
          </m:sSub>
          <m:sSubSup>
            <m:e>
              <m:r>
                <m:t>Q</m:t>
              </m:r>
            </m:e>
            <m:sub>
              <m:r>
                <m:t>t</m:t>
              </m:r>
            </m:sub>
            <m:sup>
              <m:r>
                <m:t>r</m:t>
              </m:r>
              <m:r>
                <m:t>a</m:t>
              </m:r>
              <m:r>
                <m:t>w</m:t>
              </m:r>
            </m:sup>
          </m:sSubSup>
        </m:oMath>
      </m:oMathPara>
    </w:p>
    <w:p>
      <w:pPr>
        <w:pStyle w:val="EquationNumber"/>
      </w:pPr>
      <w:r>
        <w:t>（4-2）</w:t>
      </w:r>
    </w:p>
    <w:p>
      <w:pPr>
        <w:pStyle w:val="BodyText"/>
      </w:pPr>
      <w:r>
        <w:t xml:space="preserve">配水系统漏损总量为：</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
            <m:e>
              <m:r>
                <m:t>λ</m:t>
              </m:r>
            </m:e>
            <m:sub>
              <m:r>
                <m:t>t</m:t>
              </m:r>
            </m:sub>
          </m:sSub>
          <m:sSubSup>
            <m:e>
              <m:r>
                <m:t>Q</m:t>
              </m:r>
            </m:e>
            <m:sub>
              <m:r>
                <m:t>t</m:t>
              </m:r>
            </m:sub>
            <m:sup>
              <m:r>
                <m:t>W</m:t>
              </m:r>
              <m:r>
                <m:t>T</m:t>
              </m:r>
              <m:r>
                <m:t>W</m:t>
              </m:r>
            </m:sup>
          </m:sSubSup>
        </m:oMath>
      </m:oMathPara>
    </w:p>
    <w:p>
      <w:pPr>
        <w:pStyle w:val="EquationNumber"/>
      </w:pPr>
      <w:r>
        <w:t>（4-3）</w:t>
      </w:r>
    </w:p>
    <w:p>
      <w:pPr>
        <w:pStyle w:val="BodyText"/>
      </w:pPr>
      <w:r>
        <w:t xml:space="preserve">实际进入终端用户和再生/储水节点的供水量为：</w:t>
      </w:r>
    </w:p>
    <w:p>
      <w:pPr>
        <w:pStyle w:val="BodyText"/>
        <w:keepNext/>
        <w:spacing w:before="80" w:after="0"/>
        <w:ind w:firstLine="0"/>
        <w:jc w:val="center"/>
      </w:pPr>
      <m:oMathPara>
        <m:oMathParaPr>
          <m:jc m:val="center"/>
        </m:oMathParaPr>
        <m:oMath>
          <m:sSubSup>
            <m:e>
              <m:r>
                <m:t>Q</m:t>
              </m:r>
            </m:e>
            <m:sub>
              <m:r>
                <m:t>t</m:t>
              </m:r>
            </m:sub>
            <m:sup>
              <m:r>
                <m:t>d</m:t>
              </m:r>
              <m:r>
                <m:t>e</m:t>
              </m:r>
              <m:r>
                <m:t>l</m:t>
              </m:r>
            </m:sup>
          </m:sSubSup>
          <m:r>
            <m:rPr>
              <m:sty m:val="p"/>
            </m:rPr>
            <m:t>=</m:t>
          </m:r>
          <m:sSubSup>
            <m:e>
              <m:r>
                <m:t>Q</m:t>
              </m:r>
            </m:e>
            <m:sub>
              <m:r>
                <m:t>t</m:t>
              </m:r>
            </m:sub>
            <m:sup>
              <m:r>
                <m:t>W</m:t>
              </m:r>
              <m:r>
                <m:t>T</m:t>
              </m:r>
              <m:r>
                <m:t>W</m:t>
              </m:r>
            </m:sup>
          </m:sSubSup>
          <m:r>
            <m:rPr>
              <m:sty m:val="p"/>
            </m:rPr>
            <m:t>−</m:t>
          </m:r>
          <m:sSubSup>
            <m:e>
              <m:r>
                <m:t>L</m:t>
              </m:r>
            </m:e>
            <m:sub>
              <m:r>
                <m:t>t</m:t>
              </m:r>
            </m:sub>
            <m:sup>
              <m:r>
                <m:t>d</m:t>
              </m:r>
              <m:r>
                <m:t>i</m:t>
              </m:r>
              <m:r>
                <m:t>s</m:t>
              </m:r>
              <m:r>
                <m:t>t</m:t>
              </m:r>
            </m:sup>
          </m:sSubSup>
        </m:oMath>
      </m:oMathPara>
    </w:p>
    <w:p>
      <w:pPr>
        <w:pStyle w:val="EquationNumber"/>
      </w:pPr>
      <w:r>
        <w:t>（4-4）</w:t>
      </w:r>
    </w:p>
    <w:p>
      <w:pPr>
        <w:pStyle w:val="BodyText"/>
      </w:pPr>
      <w:r>
        <w:t xml:space="preserve">为保持物理闭合，将漏损划分为进入污水系统、进入城市环境/浅层地下水和其他可核算去向：</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Sup>
            <m:e>
              <m:r>
                <m:t>L</m:t>
              </m:r>
            </m:e>
            <m:sub>
              <m:r>
                <m:t>t</m:t>
              </m:r>
            </m:sub>
            <m:sup>
              <m:r>
                <m:t>s</m:t>
              </m:r>
              <m:r>
                <m:t>e</m:t>
              </m:r>
              <m:r>
                <m:t>w</m:t>
              </m:r>
              <m:r>
                <m:t>e</m:t>
              </m:r>
              <m:r>
                <m:t>r</m:t>
              </m:r>
            </m:sup>
          </m:sSubSup>
          <m:r>
            <m:rPr>
              <m:sty m:val="p"/>
            </m:rPr>
            <m:t>+</m:t>
          </m:r>
          <m:sSubSup>
            <m:e>
              <m:r>
                <m:t>L</m:t>
              </m:r>
            </m:e>
            <m:sub>
              <m:r>
                <m:t>t</m:t>
              </m:r>
            </m:sub>
            <m:sup>
              <m:r>
                <m:t>e</m:t>
              </m:r>
              <m:r>
                <m:t>n</m:t>
              </m:r>
              <m:r>
                <m:t>v</m:t>
              </m:r>
            </m:sup>
          </m:sSubSup>
          <m:r>
            <m:rPr>
              <m:sty m:val="p"/>
            </m:rPr>
            <m:t>+</m:t>
          </m:r>
          <m:sSubSup>
            <m:e>
              <m:r>
                <m:t>L</m:t>
              </m:r>
            </m:e>
            <m:sub>
              <m:r>
                <m:t>t</m:t>
              </m:r>
            </m:sub>
            <m:sup>
              <m:r>
                <m:t>o</m:t>
              </m:r>
              <m:r>
                <m:t>t</m:t>
              </m:r>
              <m:r>
                <m:t>h</m:t>
              </m:r>
              <m:r>
                <m:t>e</m:t>
              </m:r>
              <m:r>
                <m:t>r</m:t>
              </m:r>
            </m:sup>
          </m:sSubSup>
        </m:oMath>
      </m:oMathPara>
    </w:p>
    <w:p>
      <w:pPr>
        <w:pStyle w:val="EquationNumber"/>
      </w:pPr>
      <w:r>
        <w:t>（4-5）</w:t>
      </w:r>
    </w:p>
    <w:p>
      <w:pPr>
        <w:pStyle w:val="BodyText"/>
      </w:pPr>
      <w:r>
        <w:t xml:space="preserve">其中各去向比例作为城市原型参数，不在模型中默认“漏损即蒸发”。用户市政供水满足：</w:t>
      </w:r>
    </w:p>
    <w:p>
      <w:pPr>
        <w:pStyle w:val="BodyText"/>
        <w:keepNext/>
        <w:spacing w:before="80" w:after="0"/>
        <w:ind w:firstLine="0"/>
        <w:jc w:val="center"/>
      </w:pPr>
      <m:oMathPara>
        <m:oMathParaPr>
          <m:jc m:val="center"/>
        </m:oMathParaPr>
        <m:oMath>
          <m:nary>
            <m:naryPr>
              <m:chr m:val="∑"/>
              <m:limLoc m:val="undOvr"/>
              <m:subHide m:val="off"/>
              <m:supHide m:val="off"/>
            </m:naryPr>
            <m:sub>
              <m:r>
                <m:t>u</m:t>
              </m:r>
              <m:r>
                <m:rPr>
                  <m:sty m:val="p"/>
                </m:rPr>
                <m:t>=</m:t>
              </m:r>
              <m:r>
                <m:t>1</m:t>
              </m:r>
            </m:sub>
            <m:sup>
              <m:r>
                <m:t>N</m:t>
              </m:r>
            </m:sup>
            <m:e>
              <m:sSubSup>
                <m:e>
                  <m:r>
                    <m:t>Q</m:t>
                  </m:r>
                </m:e>
                <m:sub>
                  <m:r>
                    <m:t>u</m:t>
                  </m:r>
                  <m:r>
                    <m:rPr>
                      <m:sty m:val="p"/>
                    </m:rPr>
                    <m:t>,</m:t>
                  </m:r>
                  <m:r>
                    <m:t>t</m:t>
                  </m:r>
                </m:sub>
                <m:sup>
                  <m:r>
                    <m:t>p</m:t>
                  </m:r>
                  <m:r>
                    <m:t>o</m:t>
                  </m:r>
                  <m:r>
                    <m:t>t</m:t>
                  </m:r>
                </m:sup>
              </m:sSubSup>
            </m:e>
          </m:nary>
          <m:r>
            <m:rPr>
              <m:sty m:val="p"/>
            </m:rPr>
            <m:t>≤</m:t>
          </m:r>
          <m:sSubSup>
            <m:e>
              <m:r>
                <m:t>Q</m:t>
              </m:r>
            </m:e>
            <m:sub>
              <m:r>
                <m:t>t</m:t>
              </m:r>
            </m:sub>
            <m:sup>
              <m:r>
                <m:t>d</m:t>
              </m:r>
              <m:r>
                <m:t>e</m:t>
              </m:r>
              <m:r>
                <m:t>l</m:t>
              </m:r>
            </m:sup>
          </m:sSubSup>
        </m:oMath>
      </m:oMathPara>
    </w:p>
    <w:p>
      <w:pPr>
        <w:pStyle w:val="EquationNumber"/>
      </w:pPr>
      <w:r>
        <w:t>（4-6）</w:t>
      </w:r>
    </w:p>
    <w:bookmarkEnd w:id="51"/>
    <w:bookmarkStart w:id="52" w:name="污水潜在负荷实际处理与溢流"/>
    <w:p>
      <w:pPr>
        <w:pStyle w:val="Heading2"/>
        <w:keepNext/>
        <w:keepLines/>
        <w:ind w:firstLine="0"/>
      </w:pPr>
      <w:r>
        <w:t xml:space="preserve">4.4 污水潜在负荷、实际处理与溢流</w:t>
      </w:r>
    </w:p>
    <w:p>
      <w:pPr>
        <w:pStyle w:val="FirstParagraph"/>
      </w:pPr>
      <w:r>
        <w:t xml:space="preserve">普通用户</w:t>
      </w:r>
      <w:r>
        <w:t xml:space="preserve"> </w:t>
      </w:r>
      <m:oMath>
        <m:r>
          <m:t>u</m:t>
        </m:r>
      </m:oMath>
      <w:r>
        <w:t xml:space="preserve"> </w:t>
      </w:r>
      <w:r>
        <w:t xml:space="preserve">的实际用水量为</w:t>
      </w:r>
      <w:r>
        <w:t xml:space="preserve"> </w:t>
      </w:r>
      <m:oMath>
        <m:sSubSup>
          <m:e>
            <m:r>
              <m:t>Q</m:t>
            </m:r>
          </m:e>
          <m:sub>
            <m:r>
              <m:t>u</m:t>
            </m:r>
            <m:r>
              <m:rPr>
                <m:sty m:val="p"/>
              </m:rPr>
              <m:t>,</m:t>
            </m:r>
            <m:r>
              <m:t>t</m:t>
            </m:r>
          </m:sub>
          <m:sup>
            <m:r>
              <m:t>u</m:t>
            </m:r>
            <m:r>
              <m:t>s</m:t>
            </m:r>
            <m:r>
              <m:t>e</m:t>
            </m:r>
          </m:sup>
        </m:sSubSup>
      </m:oMath>
      <w:r>
        <w:t xml:space="preserve">，污水回流率为</w:t>
      </w:r>
      <w:r>
        <w:t xml:space="preserve"> </w:t>
      </w:r>
      <m:oMath>
        <m:sSub>
          <m:e>
            <m:r>
              <m:t>r</m:t>
            </m:r>
          </m:e>
          <m:sub>
            <m:r>
              <m:t>u</m:t>
            </m:r>
          </m:sub>
        </m:sSub>
      </m:oMath>
      <w:r>
        <w:t xml:space="preserve">。AI算力中心不再使用统一的</w:t>
      </w:r>
      <w:r>
        <w:t xml:space="preserve"> </w:t>
      </w:r>
      <m:oMath>
        <m:sSub>
          <m:e>
            <m:r>
              <m:t>r</m:t>
            </m:r>
          </m:e>
          <m:sub>
            <m:r>
              <m:t>u</m:t>
            </m:r>
          </m:sub>
        </m:sSub>
      </m:oMath>
      <w:r>
        <w:t xml:space="preserve">，其回流水量由冷却排污物理过程直接计算。于是污水系统潜在入流为：</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i</m:t>
              </m:r>
              <m:r>
                <m:t>n</m:t>
              </m:r>
            </m:sup>
          </m:sSubSup>
          <m:r>
            <m:rPr>
              <m:sty m:val="p"/>
            </m:rPr>
            <m:t>=</m:t>
          </m:r>
          <m:nary>
            <m:naryPr>
              <m:chr m:val="∑"/>
              <m:limLoc m:val="undOvr"/>
              <m:subHide m:val="off"/>
              <m:supHide m:val="on"/>
            </m:naryPr>
            <m:sub>
              <m:r>
                <m:t>u</m:t>
              </m:r>
              <m:r>
                <m:rPr>
                  <m:sty m:val="p"/>
                </m:rPr>
                <m:t>≠</m:t>
              </m:r>
              <m:r>
                <m:t>A</m:t>
              </m:r>
              <m:r>
                <m:t>I</m:t>
              </m:r>
            </m:sub>
            <m:sup>
              <m:r>
                <m:t>​</m:t>
              </m:r>
            </m:sup>
            <m:e>
              <m:sSub>
                <m:e>
                  <m:r>
                    <m:t>r</m:t>
                  </m:r>
                </m:e>
                <m:sub>
                  <m:r>
                    <m:t>u</m:t>
                  </m:r>
                </m:sub>
              </m:sSub>
            </m:e>
          </m:nary>
          <m:sSubSup>
            <m:e>
              <m:r>
                <m:t>Q</m:t>
              </m:r>
            </m:e>
            <m:sub>
              <m:r>
                <m:t>u</m:t>
              </m:r>
              <m:r>
                <m:rPr>
                  <m:sty m:val="p"/>
                </m:rPr>
                <m:t>,</m:t>
              </m:r>
              <m:r>
                <m:t>t</m:t>
              </m:r>
            </m:sub>
            <m:sup>
              <m:r>
                <m:t>u</m:t>
              </m:r>
              <m:r>
                <m:t>s</m:t>
              </m:r>
              <m:r>
                <m:t>e</m:t>
              </m:r>
            </m:sup>
          </m:sSubSup>
          <m:r>
            <m:rPr>
              <m:sty m:val="p"/>
            </m:rPr>
            <m:t>+</m:t>
          </m:r>
          <m:r>
            <m:t>R</m:t>
          </m:r>
          <m:r>
            <m:t>e</m:t>
          </m:r>
          <m:r>
            <m:t>t</m:t>
          </m:r>
          <m:r>
            <m:t>u</m:t>
          </m:r>
          <m:r>
            <m:t>r</m:t>
          </m:r>
          <m:r>
            <m:t>n</m:t>
          </m:r>
          <m:r>
            <m:t>F</m:t>
          </m:r>
          <m:r>
            <m:t>l</m:t>
          </m:r>
          <m:r>
            <m:t>o</m:t>
          </m:r>
          <m:sSubSup>
            <m:e>
              <m:r>
                <m:t>w</m:t>
              </m:r>
            </m:e>
            <m:sub>
              <m:r>
                <m:t>t</m:t>
              </m:r>
            </m:sub>
            <m:sup>
              <m:r>
                <m:t>A</m:t>
              </m:r>
              <m:r>
                <m:t>I</m:t>
              </m:r>
            </m:sup>
          </m:sSubSup>
          <m:r>
            <m:rPr>
              <m:sty m:val="p"/>
            </m:rPr>
            <m:t>+</m:t>
          </m:r>
          <m:sSubSup>
            <m:e>
              <m:r>
                <m:t>L</m:t>
              </m:r>
            </m:e>
            <m:sub>
              <m:r>
                <m:t>t</m:t>
              </m:r>
            </m:sub>
            <m:sup>
              <m:r>
                <m:t>s</m:t>
              </m:r>
              <m:r>
                <m:t>e</m:t>
              </m:r>
              <m:r>
                <m:t>w</m:t>
              </m:r>
              <m:r>
                <m:t>e</m:t>
              </m:r>
              <m:r>
                <m:t>r</m:t>
              </m:r>
            </m:sup>
          </m:sSubSup>
          <m:r>
            <m:rPr>
              <m:sty m:val="p"/>
            </m:rPr>
            <m:t>+</m:t>
          </m:r>
          <m:sSubSup>
            <m:e>
              <m:r>
                <m:t>Q</m:t>
              </m:r>
            </m:e>
            <m:sub>
              <m:r>
                <m:t>t</m:t>
              </m:r>
            </m:sub>
            <m:sup>
              <m:r>
                <m:t>i</m:t>
              </m:r>
              <m:r>
                <m:t>n</m:t>
              </m:r>
              <m:r>
                <m:t>f</m:t>
              </m:r>
            </m:sup>
          </m:sSubSup>
        </m:oMath>
      </m:oMathPara>
    </w:p>
    <w:p>
      <w:pPr>
        <w:pStyle w:val="EquationNumber"/>
      </w:pPr>
      <w:r>
        <w:t>（4-7）</w:t>
      </w:r>
    </w:p>
    <w:p>
      <w:pPr>
        <w:pStyle w:val="BodyText"/>
      </w:pPr>
      <w:r>
        <w:t xml:space="preserve">设污水处理厂日处理能力为</w:t>
      </w:r>
      <w:r>
        <w:t xml:space="preserve"> </w:t>
      </w:r>
      <m:oMath>
        <m:sSub>
          <m:e>
            <m:r>
              <m:t>C</m:t>
            </m:r>
          </m:e>
          <m:sub>
            <m:r>
              <m:t>W</m:t>
            </m:r>
            <m:r>
              <m:t>W</m:t>
            </m:r>
            <m:r>
              <m:t>T</m:t>
            </m:r>
            <m:r>
              <m:t>W</m:t>
            </m:r>
          </m:sub>
        </m:sSub>
      </m:oMath>
      <w:r>
        <w:t xml:space="preserve">，实际处理量：</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t</m:t>
              </m:r>
              <m:r>
                <m:t>r</m:t>
              </m:r>
            </m:sup>
          </m:sSubSup>
          <m:r>
            <m:rPr>
              <m:sty m:val="p"/>
            </m:rPr>
            <m:t>=</m:t>
          </m:r>
          <m:r>
            <m:rPr>
              <m:sty m:val="p"/>
            </m:rPr>
            <m:t>min</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e>
          </m:d>
        </m:oMath>
      </m:oMathPara>
    </w:p>
    <w:p>
      <w:pPr>
        <w:pStyle w:val="EquationNumber"/>
      </w:pPr>
      <w:r>
        <w:t>（4-8）</w:t>
      </w:r>
    </w:p>
    <w:p>
      <w:pPr>
        <w:pStyle w:val="BodyText"/>
      </w:pPr>
      <w:r>
        <w:t xml:space="preserve">超过能力的潜在负荷不被删除，而形成显式溢流/旁路：</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o</m:t>
              </m:r>
              <m:r>
                <m:t>v</m:t>
              </m:r>
            </m:sup>
          </m:sSubSup>
          <m:r>
            <m:rPr>
              <m:sty m:val="p"/>
            </m:rPr>
            <m:t>=</m:t>
          </m:r>
          <m:r>
            <m:rPr>
              <m:sty m:val="p"/>
            </m:rPr>
            <m:t>max</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r>
                <m:rPr>
                  <m:sty m:val="p"/>
                </m:rPr>
                <m:t>,</m:t>
              </m:r>
              <m:r>
                <m:t>0</m:t>
              </m:r>
            </m:e>
          </m:d>
        </m:oMath>
      </m:oMathPara>
    </w:p>
    <w:p>
      <w:pPr>
        <w:pStyle w:val="EquationNumber"/>
      </w:pPr>
      <w:r>
        <w:t>（4-9）</w:t>
      </w:r>
    </w:p>
    <w:p>
      <w:pPr>
        <w:pStyle w:val="BodyText"/>
      </w:pPr>
      <w:r>
        <w:t xml:space="preserve">用于压力评价的指标采用</w:t>
      </w:r>
      <w:r>
        <w:rPr>
          <w:b/>
          <w:bCs/>
        </w:rPr>
        <w:t xml:space="preserve">潜在入流</w:t>
      </w:r>
      <w:r>
        <w:t xml:space="preserve">而非已截断的处理量：</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（4-10）</w:t>
      </w:r>
    </w:p>
    <w:p>
      <w:pPr>
        <w:pStyle w:val="BodyText"/>
      </w:pPr>
      <w:r>
        <w:t xml:space="preserve">因此该指标可以大于1，并真实反映设施超负荷。</w:t>
      </w:r>
    </w:p>
    <w:p>
      <w:pPr>
        <w:pStyle w:val="BodyText"/>
      </w:pPr>
      <w:r>
        <w:t xml:space="preserve">若污水处理过程水量损失率为</w:t>
      </w:r>
      <w:r>
        <w:t xml:space="preserve"> </w:t>
      </w:r>
      <m:oMath>
        <m:sSub>
          <m:e>
            <m:r>
              <m:t>λ</m:t>
            </m:r>
          </m:e>
          <m:sub>
            <m:r>
              <m:t>w</m:t>
            </m:r>
            <m:r>
              <m:t>w</m:t>
            </m:r>
          </m:sub>
        </m:sSub>
      </m:oMath>
      <w:r>
        <w:t xml:space="preserve">，二级处理后可用于排放或再生水处理的水量为：</w:t>
      </w:r>
    </w:p>
    <w:p>
      <w:pPr>
        <w:pStyle w:val="BodyText"/>
        <w:keepNext/>
        <w:spacing w:before="80" w:after="0"/>
        <w:ind w:firstLine="0"/>
        <w:jc w:val="center"/>
      </w:pPr>
      <m:oMathPara>
        <m:oMathParaPr>
          <m:jc m:val="center"/>
        </m:oMathParaPr>
        <m:oMath>
          <m:sSubSup>
            <m:e>
              <m:r>
                <m:t>Q</m:t>
              </m:r>
            </m:e>
            <m:sub>
              <m:r>
                <m:t>t</m:t>
              </m:r>
            </m:sub>
            <m:sup>
              <m:r>
                <m:t>s</m:t>
              </m:r>
              <m:r>
                <m:t>e</m:t>
              </m:r>
              <m:r>
                <m:t>c</m:t>
              </m:r>
            </m:sup>
          </m:sSubSup>
          <m:r>
            <m:rPr>
              <m:sty m:val="p"/>
            </m:rPr>
            <m:t>=</m:t>
          </m:r>
          <m:d>
            <m:dPr>
              <m:begChr m:val="("/>
              <m:endChr m:val=")"/>
              <m:sepChr m:val=""/>
              <m:grow/>
            </m:dPr>
            <m:e>
              <m:r>
                <m:t>1</m:t>
              </m:r>
              <m:r>
                <m:rPr>
                  <m:sty m:val="p"/>
                </m:rPr>
                <m:t>−</m:t>
              </m:r>
              <m:sSub>
                <m:e>
                  <m:r>
                    <m:t>λ</m:t>
                  </m:r>
                </m:e>
                <m:sub>
                  <m:r>
                    <m:t>w</m:t>
                  </m:r>
                  <m:r>
                    <m:t>w</m:t>
                  </m:r>
                </m:sub>
              </m:sSub>
            </m:e>
          </m:d>
          <m:sSubSup>
            <m:e>
              <m:r>
                <m:t>Q</m:t>
              </m:r>
            </m:e>
            <m:sub>
              <m:r>
                <m:t>t</m:t>
              </m:r>
            </m:sub>
            <m:sup>
              <m:r>
                <m:t>w</m:t>
              </m:r>
              <m:r>
                <m:t>w</m:t>
              </m:r>
              <m:r>
                <m:rPr>
                  <m:sty m:val="p"/>
                </m:rPr>
                <m:t>,</m:t>
              </m:r>
              <m:r>
                <m:t>t</m:t>
              </m:r>
              <m:r>
                <m:t>r</m:t>
              </m:r>
            </m:sup>
          </m:sSubSup>
        </m:oMath>
      </m:oMathPara>
    </w:p>
    <w:p>
      <w:pPr>
        <w:pStyle w:val="EquationNumber"/>
      </w:pPr>
      <w:r>
        <w:t>（4-11）</w:t>
      </w:r>
    </w:p>
    <w:bookmarkEnd w:id="52"/>
    <w:bookmarkStart w:id="53" w:name="再生水生产储存既有用户与ai可用量"/>
    <w:p>
      <w:pPr>
        <w:pStyle w:val="Heading2"/>
        <w:keepNext/>
        <w:keepLines/>
        <w:ind w:firstLine="0"/>
      </w:pPr>
      <w:r>
        <w:t xml:space="preserve">4.5 再生水生产、储存、既有用户与AI可用量</w:t>
      </w:r>
    </w:p>
    <w:p>
      <w:pPr>
        <w:pStyle w:val="FirstParagraph"/>
      </w:pPr>
      <w:r>
        <w:t xml:space="preserve">设进入再生水深度处理的潜在进水为</w:t>
      </w:r>
      <w:r>
        <w:t xml:space="preserve"> </w:t>
      </w:r>
      <m:oMath>
        <m:sSubSup>
          <m:e>
            <m:r>
              <m:t>Q</m:t>
            </m:r>
          </m:e>
          <m:sub>
            <m:r>
              <m:t>t</m:t>
            </m:r>
          </m:sub>
          <m:sup>
            <m:r>
              <m:t>r</m:t>
            </m:r>
            <m:r>
              <m:t>e</m:t>
            </m:r>
            <m:r>
              <m:t>c</m:t>
            </m:r>
            <m:r>
              <m:rPr>
                <m:sty m:val="p"/>
              </m:rPr>
              <m:t>,</m:t>
            </m:r>
            <m:r>
              <m:t>f</m:t>
            </m:r>
            <m:r>
              <m:t>e</m:t>
            </m:r>
            <m:r>
              <m:t>e</m:t>
            </m:r>
            <m:r>
              <m:t>d</m:t>
            </m:r>
          </m:sup>
        </m:sSubSup>
      </m:oMath>
      <w:r>
        <w:t xml:space="preserve">，再生水厂处理能力为</w:t>
      </w:r>
      <w:r>
        <w:t xml:space="preserve"> </w:t>
      </w:r>
      <m:oMath>
        <m:sSub>
          <m:e>
            <m:r>
              <m:t>C</m:t>
            </m:r>
          </m:e>
          <m:sub>
            <m:r>
              <m:t>r</m:t>
            </m:r>
            <m:r>
              <m:t>e</m:t>
            </m:r>
            <m:r>
              <m:t>c</m:t>
            </m:r>
          </m:sub>
        </m:sSub>
      </m:oMath>
      <w:r>
        <w:t xml:space="preserve">，过程水量回收率为</w:t>
      </w:r>
      <w:r>
        <w:t xml:space="preserve"> </w:t>
      </w:r>
      <m:oMath>
        <m:sSub>
          <m:e>
            <m:r>
              <m:t>η</m:t>
            </m:r>
          </m:e>
          <m:sub>
            <m:r>
              <m:t>r</m:t>
            </m:r>
            <m:r>
              <m:t>e</m:t>
            </m:r>
            <m:r>
              <m:t>c</m:t>
            </m:r>
          </m:sub>
        </m:sSub>
      </m:oMath>
      <w:r>
        <w:t xml:space="preserve">：</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p</m:t>
              </m:r>
              <m:r>
                <m:t>r</m:t>
              </m:r>
              <m:r>
                <m:t>o</m:t>
              </m:r>
              <m:r>
                <m:t>d</m:t>
              </m:r>
            </m:sup>
          </m:sSubSup>
          <m:r>
            <m:rPr>
              <m:sty m:val="p"/>
            </m:rPr>
            <m:t>=</m:t>
          </m:r>
          <m:sSub>
            <m:e>
              <m:r>
                <m:t>η</m:t>
              </m:r>
            </m:e>
            <m:sub>
              <m:r>
                <m:t>r</m:t>
              </m:r>
              <m:r>
                <m:t>e</m:t>
              </m:r>
              <m:r>
                <m:t>c</m:t>
              </m:r>
            </m:sub>
          </m:sSub>
          <m:r>
            <m:rPr>
              <m:sty m:val="p"/>
            </m:rPr>
            <m:t>min</m:t>
          </m:r>
          <m:d>
            <m:dPr>
              <m:begChr m:val="("/>
              <m:endChr m:val=")"/>
              <m:sepChr m:val=""/>
              <m:grow/>
            </m:dPr>
            <m:e>
              <m:sSubSup>
                <m:e>
                  <m:r>
                    <m:t>Q</m:t>
                  </m:r>
                </m:e>
                <m:sub>
                  <m:r>
                    <m:t>t</m:t>
                  </m:r>
                </m:sub>
                <m:sup>
                  <m:r>
                    <m:t>r</m:t>
                  </m:r>
                  <m:r>
                    <m:t>e</m:t>
                  </m:r>
                  <m:r>
                    <m:t>c</m:t>
                  </m:r>
                  <m:r>
                    <m:rPr>
                      <m:sty m:val="p"/>
                    </m:rPr>
                    <m:t>,</m:t>
                  </m:r>
                  <m:r>
                    <m:t>f</m:t>
                  </m:r>
                  <m:r>
                    <m:t>e</m:t>
                  </m:r>
                  <m:r>
                    <m:t>e</m:t>
                  </m:r>
                  <m:r>
                    <m:t>d</m:t>
                  </m:r>
                </m:sup>
              </m:sSubSup>
              <m:r>
                <m:rPr>
                  <m:sty m:val="p"/>
                </m:rPr>
                <m:t>,</m:t>
              </m:r>
              <m:sSub>
                <m:e>
                  <m:r>
                    <m:t>C</m:t>
                  </m:r>
                </m:e>
                <m:sub>
                  <m:r>
                    <m:t>r</m:t>
                  </m:r>
                  <m:r>
                    <m:t>e</m:t>
                  </m:r>
                  <m:r>
                    <m:t>c</m:t>
                  </m:r>
                </m:sub>
              </m:sSub>
            </m:e>
          </m:d>
        </m:oMath>
      </m:oMathPara>
    </w:p>
    <w:p>
      <w:pPr>
        <w:pStyle w:val="EquationNumber"/>
      </w:pPr>
      <w:r>
        <w:t>（4-12）</w:t>
      </w:r>
    </w:p>
    <w:p>
      <w:pPr>
        <w:pStyle w:val="BodyText"/>
      </w:pPr>
      <w:r>
        <w:t xml:space="preserve">为了避免</w:t>
      </w:r>
      <w:r>
        <w:t xml:space="preserve"> </w:t>
      </w:r>
      <m:oMath>
        <m:sSup>
          <m:e>
            <m:r>
              <m:t>Q</m:t>
            </m:r>
          </m:e>
          <m:sup>
            <m:r>
              <m:t>r</m:t>
            </m:r>
            <m:r>
              <m:t>e</m:t>
            </m:r>
            <m:r>
              <m:t>c</m:t>
            </m:r>
            <m:r>
              <m:rPr>
                <m:sty m:val="p"/>
              </m:rPr>
              <m:t>,</m:t>
            </m:r>
            <m:r>
              <m:t>a</m:t>
            </m:r>
            <m:r>
              <m:t>v</m:t>
            </m:r>
            <m:r>
              <m:t>a</m:t>
            </m:r>
            <m:r>
              <m:t>i</m:t>
            </m:r>
            <m:r>
              <m:t>l</m:t>
            </m:r>
          </m:sup>
        </m:sSup>
      </m:oMath>
      <w:r>
        <w:t xml:space="preserve"> </w:t>
      </w:r>
      <w:r>
        <w:t xml:space="preserve">成为黑箱，设再生水储量为</w:t>
      </w:r>
      <w:r>
        <w:t xml:space="preserve"> </w:t>
      </w:r>
      <m:oMath>
        <m:sSubSup>
          <m:e>
            <m:r>
              <m:t>S</m:t>
            </m:r>
          </m:e>
          <m:sub>
            <m:r>
              <m:t>t</m:t>
            </m:r>
          </m:sub>
          <m:sup>
            <m:r>
              <m:t>r</m:t>
            </m:r>
            <m:r>
              <m:t>e</m:t>
            </m:r>
            <m:r>
              <m:t>c</m:t>
            </m:r>
          </m:sup>
        </m:sSubSup>
      </m:oMath>
      <w:r>
        <w:t xml:space="preserve">，既有非AI再生水需求为</w:t>
      </w:r>
      <w:r>
        <w:t xml:space="preserve"> </w:t>
      </w:r>
      <m:oMath>
        <m:sSubSup>
          <m:e>
            <m:r>
              <m:t>D</m:t>
            </m:r>
          </m:e>
          <m:sub>
            <m:r>
              <m:t>t</m:t>
            </m:r>
          </m:sub>
          <m:sup>
            <m:r>
              <m:t>r</m:t>
            </m:r>
            <m:r>
              <m:t>e</m:t>
            </m:r>
            <m:r>
              <m:t>c</m:t>
            </m:r>
            <m:r>
              <m:rPr>
                <m:sty m:val="p"/>
              </m:rPr>
              <m:t>,</m:t>
            </m:r>
            <m:r>
              <m:t>o</m:t>
            </m:r>
            <m:r>
              <m:t>t</m:t>
            </m:r>
            <m:r>
              <m:t>h</m:t>
            </m:r>
            <m:r>
              <m:t>e</m:t>
            </m:r>
            <m:r>
              <m:t>r</m:t>
            </m:r>
          </m:sup>
        </m:sSubSup>
      </m:oMath>
      <w:r>
        <w:t xml:space="preserve">，再生水输配日能力为</w:t>
      </w:r>
      <w:r>
        <w:t xml:space="preserve"> </w:t>
      </w:r>
      <m:oMath>
        <m:sSubSup>
          <m:e>
            <m:r>
              <m:t>C</m:t>
            </m:r>
          </m:e>
          <m:sub>
            <m:r>
              <m:t>r</m:t>
            </m:r>
            <m:r>
              <m:t>e</m:t>
            </m:r>
            <m:r>
              <m:t>c</m:t>
            </m:r>
          </m:sub>
          <m:sup>
            <m:r>
              <m:t>d</m:t>
            </m:r>
            <m:r>
              <m:t>i</m:t>
            </m:r>
            <m:r>
              <m:t>s</m:t>
            </m:r>
            <m:r>
              <m:t>t</m:t>
            </m:r>
          </m:sup>
        </m:sSubSup>
      </m:oMath>
      <w:r>
        <w:t xml:space="preserve">。在满足既有优先需求后的AI可供再生水为：</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a</m:t>
              </m:r>
              <m:r>
                <m:t>v</m:t>
              </m:r>
              <m:r>
                <m:t>a</m:t>
              </m:r>
              <m:r>
                <m:t>i</m:t>
              </m:r>
              <m:r>
                <m:t>l</m:t>
              </m:r>
              <m:r>
                <m:rPr>
                  <m:sty m:val="p"/>
                </m:rPr>
                <m:t>,</m:t>
              </m:r>
              <m:r>
                <m:t>A</m:t>
              </m:r>
              <m:r>
                <m:t>I</m:t>
              </m:r>
            </m:sup>
          </m:sSubSup>
          <m:r>
            <m:rPr>
              <m:sty m:val="p"/>
            </m:rPr>
            <m:t>=</m:t>
          </m:r>
          <m:r>
            <m:rPr>
              <m:sty m:val="p"/>
            </m:rPr>
            <m:t>max</m:t>
          </m:r>
          <m:d>
            <m:dPr>
              <m:begChr m:val="{"/>
              <m:endChr m:val="}"/>
              <m:sepChr m:val=""/>
              <m:grow/>
            </m:dPr>
            <m:e>
              <m:r>
                <m:rPr>
                  <m:sty m:val="p"/>
                </m:rPr>
                <m:t>min</m:t>
              </m:r>
              <m:d>
                <m:dPr>
                  <m:begChr m:val="["/>
                  <m:endChr m:val="]"/>
                  <m:sepChr m:val=""/>
                  <m:grow/>
                </m:dPr>
                <m:e>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C</m:t>
                      </m:r>
                    </m:e>
                    <m:sub>
                      <m:r>
                        <m:t>r</m:t>
                      </m:r>
                      <m:r>
                        <m:t>e</m:t>
                      </m:r>
                      <m:r>
                        <m:t>c</m:t>
                      </m:r>
                    </m:sub>
                    <m:sup>
                      <m:r>
                        <m:t>d</m:t>
                      </m:r>
                      <m:r>
                        <m:t>i</m:t>
                      </m:r>
                      <m:r>
                        <m:t>s</m:t>
                      </m:r>
                      <m:r>
                        <m:t>t</m:t>
                      </m:r>
                    </m:sup>
                  </m:sSubSup>
                </m:e>
              </m:d>
              <m:r>
                <m:rPr>
                  <m:sty m:val="p"/>
                </m:rPr>
                <m:t>−</m:t>
              </m:r>
              <m:sSubSup>
                <m:e>
                  <m:r>
                    <m:t>D</m:t>
                  </m:r>
                </m:e>
                <m:sub>
                  <m:r>
                    <m:t>t</m:t>
                  </m:r>
                </m:sub>
                <m:sup>
                  <m:r>
                    <m:t>r</m:t>
                  </m:r>
                  <m:r>
                    <m:t>e</m:t>
                  </m:r>
                  <m:r>
                    <m:t>c</m:t>
                  </m:r>
                  <m:r>
                    <m:rPr>
                      <m:sty m:val="p"/>
                    </m:rPr>
                    <m:t>,</m:t>
                  </m:r>
                  <m:r>
                    <m:t>o</m:t>
                  </m:r>
                  <m:r>
                    <m:t>t</m:t>
                  </m:r>
                  <m:r>
                    <m:t>h</m:t>
                  </m:r>
                  <m:r>
                    <m:t>e</m:t>
                  </m:r>
                  <m:r>
                    <m:t>r</m:t>
                  </m:r>
                </m:sup>
              </m:sSubSup>
              <m:r>
                <m:rPr>
                  <m:sty m:val="p"/>
                </m:rPr>
                <m:t>,</m:t>
              </m:r>
              <m:r>
                <m:t>0</m:t>
              </m:r>
            </m:e>
          </m:d>
        </m:oMath>
      </m:oMathPara>
    </w:p>
    <w:p>
      <w:pPr>
        <w:pStyle w:val="EquationNumber"/>
      </w:pPr>
      <w:r>
        <w:t>（4-13）</w:t>
      </w:r>
    </w:p>
    <w:p>
      <w:pPr>
        <w:pStyle w:val="BodyText"/>
      </w:pPr>
      <w:r>
        <w:t xml:space="preserve">储量更新为：</w:t>
      </w:r>
    </w:p>
    <w:p>
      <w:pPr>
        <w:pStyle w:val="BodyText"/>
        <w:keepNext/>
        <w:spacing w:before="80" w:after="0"/>
        <w:ind w:firstLine="0"/>
        <w:jc w:val="center"/>
      </w:pPr>
      <m:oMathPara>
        <m:oMathParaPr>
          <m:jc m:val="center"/>
        </m:oMathParaPr>
        <m:oMath>
          <m:sSubSup>
            <m:e>
              <m:r>
                <m:t>S</m:t>
              </m:r>
            </m:e>
            <m:sub>
              <m:r>
                <m:t>t</m:t>
              </m:r>
              <m:r>
                <m:rPr>
                  <m:sty m:val="p"/>
                </m:rPr>
                <m:t>+</m:t>
              </m:r>
              <m:r>
                <m:t>1</m:t>
              </m:r>
            </m:sub>
            <m:sup>
              <m:r>
                <m:t>r</m:t>
              </m:r>
              <m:r>
                <m:t>e</m:t>
              </m:r>
              <m:r>
                <m:t>c</m:t>
              </m:r>
            </m:sup>
          </m:sSubSup>
          <m:r>
            <m:rPr>
              <m:sty m:val="p"/>
            </m:rPr>
            <m:t>=</m:t>
          </m:r>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Q</m:t>
              </m:r>
            </m:e>
            <m:sub>
              <m:r>
                <m:t>t</m:t>
              </m:r>
            </m:sub>
            <m:sup>
              <m:r>
                <m:t>r</m:t>
              </m:r>
              <m:r>
                <m:t>e</m:t>
              </m:r>
              <m:r>
                <m:t>c</m:t>
              </m:r>
              <m:r>
                <m:rPr>
                  <m:sty m:val="p"/>
                </m:rPr>
                <m:t>,</m:t>
              </m:r>
              <m:r>
                <m:t>A</m:t>
              </m:r>
              <m:r>
                <m:t>I</m:t>
              </m:r>
            </m:sup>
          </m:sSubSup>
          <m:r>
            <m:rPr>
              <m:sty m:val="p"/>
            </m:rPr>
            <m:t>−</m:t>
          </m:r>
          <m:sSubSup>
            <m:e>
              <m:r>
                <m:t>Q</m:t>
              </m:r>
            </m:e>
            <m:sub>
              <m:r>
                <m:t>t</m:t>
              </m:r>
            </m:sub>
            <m:sup>
              <m:r>
                <m:t>r</m:t>
              </m:r>
              <m:r>
                <m:t>e</m:t>
              </m:r>
              <m:r>
                <m:t>c</m:t>
              </m:r>
              <m:r>
                <m:rPr>
                  <m:sty m:val="p"/>
                </m:rPr>
                <m:t>,</m:t>
              </m:r>
              <m:r>
                <m:t>o</m:t>
              </m:r>
              <m:r>
                <m:t>t</m:t>
              </m:r>
              <m:r>
                <m:t>h</m:t>
              </m:r>
              <m:r>
                <m:t>e</m:t>
              </m:r>
              <m:r>
                <m:t>r</m:t>
              </m:r>
            </m:sup>
          </m:sSubSup>
          <m:r>
            <m:rPr>
              <m:sty m:val="p"/>
            </m:rPr>
            <m:t>−</m:t>
          </m:r>
          <m:sSubSup>
            <m:e>
              <m:r>
                <m:t>Q</m:t>
              </m:r>
            </m:e>
            <m:sub>
              <m:r>
                <m:t>t</m:t>
              </m:r>
            </m:sub>
            <m:sup>
              <m:r>
                <m:t>r</m:t>
              </m:r>
              <m:r>
                <m:t>e</m:t>
              </m:r>
              <m:r>
                <m:t>c</m:t>
              </m:r>
              <m:r>
                <m:rPr>
                  <m:sty m:val="p"/>
                </m:rPr>
                <m:t>,</m:t>
              </m:r>
              <m:r>
                <m:t>s</m:t>
              </m:r>
              <m:r>
                <m:t>p</m:t>
              </m:r>
              <m:r>
                <m:t>i</m:t>
              </m:r>
              <m:r>
                <m:t>l</m:t>
              </m:r>
              <m:r>
                <m:t>l</m:t>
              </m:r>
            </m:sup>
          </m:sSubSup>
          <m:r>
            <m:rPr>
              <m:sty m:val="p"/>
            </m:rPr>
            <m:t>−</m:t>
          </m:r>
          <m:sSubSup>
            <m:e>
              <m:r>
                <m:t>L</m:t>
              </m:r>
            </m:e>
            <m:sub>
              <m:r>
                <m:t>t</m:t>
              </m:r>
            </m:sub>
            <m:sup>
              <m:r>
                <m:t>r</m:t>
              </m:r>
              <m:r>
                <m:t>e</m:t>
              </m:r>
              <m:r>
                <m:t>c</m:t>
              </m:r>
            </m:sup>
          </m:sSubSup>
        </m:oMath>
      </m:oMathPara>
    </w:p>
    <w:p>
      <w:pPr>
        <w:pStyle w:val="EquationNumber"/>
      </w:pPr>
      <w:r>
        <w:t>（4-14）</w:t>
      </w:r>
    </w:p>
    <w:p>
      <w:pPr>
        <w:pStyle w:val="BodyText"/>
      </w:pPr>
      <w:r>
        <w:t xml:space="preserve">由此，AI再生水供应同时受到污水源量、深度处理能力、输配能力、储量、既有用户和损失约束。</w:t>
      </w:r>
    </w:p>
    <w:bookmarkEnd w:id="53"/>
    <w:bookmarkStart w:id="54" w:name="ai-it容量负载和设施能源"/>
    <w:p>
      <w:pPr>
        <w:pStyle w:val="Heading2"/>
        <w:keepNext/>
        <w:keepLines/>
        <w:ind w:firstLine="0"/>
      </w:pPr>
      <w:r>
        <w:t xml:space="preserve">4.6 AI IT容量、负载和设施能源</w:t>
      </w:r>
    </w:p>
    <w:p>
      <w:pPr>
        <w:pStyle w:val="FirstParagraph"/>
      </w:pPr>
      <w:r>
        <w:t xml:space="preserve">本研究以MW IT作为AI基础设施主要规模变量。对算力中心</w:t>
      </w:r>
      <w:r>
        <w:t xml:space="preserve"> </w:t>
      </w:r>
      <m:oMath>
        <m:r>
          <m:t>j</m:t>
        </m:r>
      </m:oMath>
      <w:r>
        <w:t xml:space="preserve">：</w:t>
      </w:r>
    </w:p>
    <w:p>
      <w:pPr>
        <w:pStyle w:val="BodyText"/>
        <w:keepNext/>
        <w:spacing w:before="80" w:after="0"/>
        <w:ind w:firstLine="0"/>
        <w:jc w:val="center"/>
      </w:pPr>
      <m:oMathPara>
        <m:oMathParaPr>
          <m:jc m:val="center"/>
        </m:oMathParaPr>
        <m:oMath>
          <m:sSubSup>
            <m:e>
              <m:r>
                <m:t>P</m:t>
              </m:r>
            </m:e>
            <m:sub>
              <m:r>
                <m:t>j</m:t>
              </m:r>
              <m:r>
                <m:rPr>
                  <m:sty m:val="p"/>
                </m:rPr>
                <m:t>,</m:t>
              </m:r>
              <m:r>
                <m:t>t</m:t>
              </m:r>
            </m:sub>
            <m:sup>
              <m:r>
                <m:t>I</m:t>
              </m:r>
              <m:r>
                <m:t>T</m:t>
              </m:r>
            </m:sup>
          </m:sSubSup>
          <m:r>
            <m:rPr>
              <m:sty m:val="p"/>
            </m:rPr>
            <m:t>=</m:t>
          </m:r>
          <m:sSubSup>
            <m:e>
              <m:r>
                <m:t>C</m:t>
              </m:r>
            </m:e>
            <m:sub>
              <m:r>
                <m:t>j</m:t>
              </m:r>
              <m:r>
                <m:rPr>
                  <m:sty m:val="p"/>
                </m:rPr>
                <m:t>,</m:t>
              </m:r>
              <m:r>
                <m:t>t</m:t>
              </m:r>
            </m:sub>
            <m:sup>
              <m:r>
                <m:t>I</m:t>
              </m:r>
              <m:r>
                <m:t>T</m:t>
              </m:r>
            </m:sup>
          </m:sSubSup>
          <m:r>
            <m:t>L</m:t>
          </m:r>
          <m:sSub>
            <m:e>
              <m:r>
                <m:t>F</m:t>
              </m:r>
            </m:e>
            <m:sub>
              <m:r>
                <m:t>j</m:t>
              </m:r>
              <m:r>
                <m:rPr>
                  <m:sty m:val="p"/>
                </m:rPr>
                <m:t>,</m:t>
              </m:r>
              <m:r>
                <m:t>t</m:t>
              </m:r>
            </m:sub>
          </m:sSub>
        </m:oMath>
      </m:oMathPara>
    </w:p>
    <w:p>
      <w:pPr>
        <w:pStyle w:val="EquationNumber"/>
      </w:pPr>
      <w:r>
        <w:t>（4-15）</w:t>
      </w:r>
    </w:p>
    <w:p>
      <w:pPr>
        <w:pStyle w:val="BodyText"/>
        <w:keepNext/>
        <w:spacing w:before="80" w:after="0"/>
        <w:ind w:firstLine="0"/>
        <w:jc w:val="center"/>
      </w:pPr>
      <m:oMathPara>
        <m:oMathParaPr>
          <m:jc m:val="center"/>
        </m:oMathParaPr>
        <m:oMath>
          <m:sSubSup>
            <m:e>
              <m:r>
                <m:t>E</m:t>
              </m:r>
            </m:e>
            <m:sub>
              <m:r>
                <m:t>j</m:t>
              </m:r>
              <m:r>
                <m:rPr>
                  <m:sty m:val="p"/>
                </m:rPr>
                <m:t>,</m:t>
              </m:r>
              <m:r>
                <m:t>t</m:t>
              </m:r>
            </m:sub>
            <m:sup>
              <m:r>
                <m:t>I</m:t>
              </m:r>
              <m:r>
                <m:t>T</m:t>
              </m:r>
            </m:sup>
          </m:sSubSup>
          <m:r>
            <m:rPr>
              <m:sty m:val="p"/>
            </m:rPr>
            <m:t>=</m:t>
          </m:r>
          <m:r>
            <m:t>24</m:t>
          </m:r>
          <m:sSubSup>
            <m:e>
              <m:r>
                <m:t>P</m:t>
              </m:r>
            </m:e>
            <m:sub>
              <m:r>
                <m:t>j</m:t>
              </m:r>
              <m:r>
                <m:rPr>
                  <m:sty m:val="p"/>
                </m:rPr>
                <m:t>,</m:t>
              </m:r>
              <m:r>
                <m:t>t</m:t>
              </m:r>
            </m:sub>
            <m:sup>
              <m:r>
                <m:t>I</m:t>
              </m:r>
              <m:r>
                <m:t>T</m:t>
              </m:r>
            </m:sup>
          </m:sSubSup>
        </m:oMath>
      </m:oMathPara>
    </w:p>
    <w:p>
      <w:pPr>
        <w:pStyle w:val="EquationNumber"/>
      </w:pPr>
      <w:r>
        <w:t>（4-16）</w:t>
      </w:r>
    </w:p>
    <w:p>
      <w:pPr>
        <w:pStyle w:val="BodyText"/>
      </w:pPr>
      <w:r>
        <w:t xml:space="preserve">其中</w:t>
      </w:r>
      <w:r>
        <w:t xml:space="preserve"> </w:t>
      </w:r>
      <m:oMath>
        <m:r>
          <m:t>L</m:t>
        </m:r>
        <m:sSub>
          <m:e>
            <m:r>
              <m:t>F</m:t>
            </m:r>
          </m:e>
          <m:sub>
            <m:r>
              <m:t>j</m:t>
            </m:r>
            <m:r>
              <m:rPr>
                <m:sty m:val="p"/>
              </m:rPr>
              <m:t>,</m:t>
            </m:r>
            <m:r>
              <m:t>t</m:t>
            </m:r>
          </m:sub>
        </m:sSub>
        <m:r>
          <m:rPr>
            <m:sty m:val="p"/>
          </m:rPr>
          <m:t>∈</m:t>
        </m:r>
        <m:d>
          <m:dPr>
            <m:begChr m:val="["/>
            <m:endChr m:val="]"/>
            <m:sepChr m:val=""/>
            <m:grow/>
          </m:dPr>
          <m:e>
            <m:r>
              <m:t>0</m:t>
            </m:r>
            <m:r>
              <m:rPr>
                <m:sty m:val="p"/>
              </m:rPr>
              <m:t>,</m:t>
            </m:r>
            <m:r>
              <m:t>1</m:t>
            </m:r>
          </m:e>
        </m:d>
      </m:oMath>
      <w:r>
        <w:t xml:space="preserve"> </w:t>
      </w:r>
      <w:r>
        <w:t xml:space="preserve">为设备负载率。</w:t>
      </w:r>
    </w:p>
    <w:p>
      <w:pPr>
        <w:pStyle w:val="BodyText"/>
      </w:pPr>
      <w:r>
        <w:t xml:space="preserve">为避免PUE与冷却架构独立随机导致物理不一致，本研究优先从架构条件化的辅助能耗比推导PUE。设冷却架构为</w:t>
      </w:r>
      <w:r>
        <w:t xml:space="preserve"> </w:t>
      </w:r>
      <m:oMath>
        <m:r>
          <m:t>a</m:t>
        </m:r>
      </m:oMath>
      <w:r>
        <w:t xml:space="preserve">，其冷却辅助能耗比为</w:t>
      </w:r>
      <w:r>
        <w:t xml:space="preserve"> </w:t>
      </w:r>
      <m:oMath>
        <m:sSubSup>
          <m:e>
            <m:r>
              <m:t>κ</m:t>
            </m:r>
          </m:e>
          <m:sub>
            <m:r>
              <m:t>a</m:t>
            </m:r>
            <m:r>
              <m:rPr>
                <m:sty m:val="p"/>
              </m:rPr>
              <m:t>,</m:t>
            </m:r>
            <m:r>
              <m:t>t</m:t>
            </m:r>
          </m:sub>
          <m:sup>
            <m:r>
              <m:t>c</m:t>
            </m:r>
            <m:r>
              <m:t>o</m:t>
            </m:r>
            <m:r>
              <m:t>o</m:t>
            </m:r>
            <m:r>
              <m:t>l</m:t>
            </m:r>
          </m:sup>
        </m:sSubSup>
      </m:oMath>
      <w:r>
        <w:t xml:space="preserve">，其他设施辅助能耗比为</w:t>
      </w:r>
      <w:r>
        <w:t xml:space="preserve"> </w:t>
      </w:r>
      <m:oMath>
        <m:sSubSup>
          <m:e>
            <m:r>
              <m:t>κ</m:t>
            </m:r>
          </m:e>
          <m:sub>
            <m:r>
              <m:t>a</m:t>
            </m:r>
            <m:r>
              <m:rPr>
                <m:sty m:val="p"/>
              </m:rPr>
              <m:t>,</m:t>
            </m:r>
            <m:r>
              <m:t>t</m:t>
            </m:r>
          </m:sub>
          <m:sup>
            <m:r>
              <m:t>a</m:t>
            </m:r>
            <m:r>
              <m:t>u</m:t>
            </m:r>
            <m:r>
              <m:t>x</m:t>
            </m:r>
          </m:sup>
        </m:sSubSup>
      </m:oMath>
      <w:r>
        <w:t xml:space="preserve">：</w:t>
      </w:r>
    </w:p>
    <w:p>
      <w:pPr>
        <w:pStyle w:val="BodyText"/>
        <w:keepNext/>
        <w:spacing w:before="80" w:after="0"/>
        <w:ind w:firstLine="0"/>
        <w:jc w:val="center"/>
      </w:pPr>
      <m:oMathPara>
        <m:oMathParaPr>
          <m:jc m:val="center"/>
        </m:oMathParaPr>
        <m:oMath>
          <m:sSubSup>
            <m:e>
              <m:r>
                <m:t>E</m:t>
              </m:r>
            </m:e>
            <m:sub>
              <m:r>
                <m:t>j</m:t>
              </m:r>
              <m:r>
                <m:rPr>
                  <m:sty m:val="p"/>
                </m:rPr>
                <m:t>,</m:t>
              </m:r>
              <m:r>
                <m:t>t</m:t>
              </m:r>
            </m:sub>
            <m:sup>
              <m:r>
                <m:t>c</m:t>
              </m:r>
              <m:r>
                <m:t>o</m:t>
              </m:r>
              <m:r>
                <m:t>o</m:t>
              </m:r>
              <m:r>
                <m:t>l</m:t>
              </m:r>
            </m:sup>
          </m:sSubSup>
          <m:r>
            <m:rPr>
              <m:sty m:val="p"/>
            </m:rPr>
            <m:t>=</m:t>
          </m:r>
          <m:sSubSup>
            <m:e>
              <m:r>
                <m:t>κ</m:t>
              </m:r>
            </m:e>
            <m:sub>
              <m:r>
                <m:t>a</m:t>
              </m:r>
              <m:r>
                <m:rPr>
                  <m:sty m:val="p"/>
                </m:rPr>
                <m:t>,</m:t>
              </m:r>
              <m:r>
                <m:t>t</m:t>
              </m:r>
            </m:sub>
            <m:sup>
              <m:r>
                <m:t>c</m:t>
              </m:r>
              <m:r>
                <m:t>o</m:t>
              </m:r>
              <m:r>
                <m:t>o</m:t>
              </m:r>
              <m:r>
                <m:t>l</m:t>
              </m:r>
            </m:sup>
          </m:sSubSup>
          <m:sSubSup>
            <m:e>
              <m:r>
                <m:t>E</m:t>
              </m:r>
            </m:e>
            <m:sub>
              <m:r>
                <m:t>j</m:t>
              </m:r>
              <m:r>
                <m:rPr>
                  <m:sty m:val="p"/>
                </m:rPr>
                <m:t>,</m:t>
              </m:r>
              <m:r>
                <m:t>t</m:t>
              </m:r>
            </m:sub>
            <m:sup>
              <m:r>
                <m:t>I</m:t>
              </m:r>
              <m:r>
                <m:t>T</m:t>
              </m:r>
            </m:sup>
          </m:sSubSup>
        </m:oMath>
      </m:oMathPara>
    </w:p>
    <w:p>
      <w:pPr>
        <w:pStyle w:val="EquationNumber"/>
      </w:pPr>
      <w:r>
        <w:t>（4-17）</w:t>
      </w:r>
    </w:p>
    <w:p>
      <w:pPr>
        <w:pStyle w:val="BodyText"/>
        <w:keepNext/>
        <w:spacing w:before="80" w:after="0"/>
        <w:ind w:firstLine="0"/>
        <w:jc w:val="center"/>
      </w:pPr>
      <m:oMathPara>
        <m:oMathParaPr>
          <m:jc m:val="center"/>
        </m:oMathParaPr>
        <m:oMath>
          <m:sSubSup>
            <m:e>
              <m:r>
                <m:t>E</m:t>
              </m:r>
            </m:e>
            <m:sub>
              <m:r>
                <m:t>j</m:t>
              </m:r>
              <m:r>
                <m:rPr>
                  <m:sty m:val="p"/>
                </m:rPr>
                <m:t>,</m:t>
              </m:r>
              <m:r>
                <m:t>t</m:t>
              </m:r>
            </m:sub>
            <m:sup>
              <m:r>
                <m:t>a</m:t>
              </m:r>
              <m:r>
                <m:t>u</m:t>
              </m:r>
              <m:r>
                <m:t>x</m:t>
              </m:r>
            </m:sup>
          </m:sSubSup>
          <m:r>
            <m:rPr>
              <m:sty m:val="p"/>
            </m:rPr>
            <m:t>=</m:t>
          </m:r>
          <m:sSubSup>
            <m:e>
              <m:r>
                <m:t>κ</m:t>
              </m:r>
            </m:e>
            <m:sub>
              <m:r>
                <m:t>a</m:t>
              </m:r>
              <m:r>
                <m:rPr>
                  <m:sty m:val="p"/>
                </m:rPr>
                <m:t>,</m:t>
              </m:r>
              <m:r>
                <m:t>t</m:t>
              </m:r>
            </m:sub>
            <m:sup>
              <m:r>
                <m:t>a</m:t>
              </m:r>
              <m:r>
                <m:t>u</m:t>
              </m:r>
              <m:r>
                <m:t>x</m:t>
              </m:r>
            </m:sup>
          </m:sSubSup>
          <m:sSubSup>
            <m:e>
              <m:r>
                <m:t>E</m:t>
              </m:r>
            </m:e>
            <m:sub>
              <m:r>
                <m:t>j</m:t>
              </m:r>
              <m:r>
                <m:rPr>
                  <m:sty m:val="p"/>
                </m:rPr>
                <m:t>,</m:t>
              </m:r>
              <m:r>
                <m:t>t</m:t>
              </m:r>
            </m:sub>
            <m:sup>
              <m:r>
                <m:t>I</m:t>
              </m:r>
              <m:r>
                <m:t>T</m:t>
              </m:r>
            </m:sup>
          </m:sSubSup>
        </m:oMath>
      </m:oMathPara>
    </w:p>
    <w:p>
      <w:pPr>
        <w:pStyle w:val="EquationNumber"/>
      </w:pPr>
      <w:r>
        <w:t>（4-18）</w:t>
      </w:r>
    </w:p>
    <w:p>
      <w:pPr>
        <w:pStyle w:val="BodyText"/>
        <w:keepNext/>
        <w:spacing w:before="80" w:after="0"/>
        <w:ind w:firstLine="0"/>
        <w:jc w:val="center"/>
      </w:pPr>
      <m:oMathPara>
        <m:oMathParaPr>
          <m:jc m:val="center"/>
        </m:oMathParaPr>
        <m:oMath>
          <m:r>
            <m:t>P</m:t>
          </m:r>
          <m:r>
            <m:t>U</m:t>
          </m:r>
          <m:sSub>
            <m:e>
              <m:r>
                <m:t>E</m:t>
              </m:r>
            </m:e>
            <m:sub>
              <m:r>
                <m:t>j</m:t>
              </m:r>
              <m:r>
                <m:rPr>
                  <m:sty m:val="p"/>
                </m:rPr>
                <m:t>,</m:t>
              </m:r>
              <m:r>
                <m:t>t</m:t>
              </m:r>
            </m:sub>
          </m:sSub>
          <m:r>
            <m:rPr>
              <m:sty m:val="p"/>
            </m:rPr>
            <m:t>=</m:t>
          </m:r>
          <m:r>
            <m:t>1</m:t>
          </m:r>
          <m:r>
            <m:rPr>
              <m:sty m:val="p"/>
            </m:rPr>
            <m:t>+</m:t>
          </m:r>
          <m:sSubSup>
            <m:e>
              <m:r>
                <m:t>κ</m:t>
              </m:r>
            </m:e>
            <m:sub>
              <m:r>
                <m:t>a</m:t>
              </m:r>
              <m:r>
                <m:rPr>
                  <m:sty m:val="p"/>
                </m:rPr>
                <m:t>,</m:t>
              </m:r>
              <m:r>
                <m:t>t</m:t>
              </m:r>
            </m:sub>
            <m:sup>
              <m:r>
                <m:t>c</m:t>
              </m:r>
              <m:r>
                <m:t>o</m:t>
              </m:r>
              <m:r>
                <m:t>o</m:t>
              </m:r>
              <m:r>
                <m:t>l</m:t>
              </m:r>
            </m:sup>
          </m:sSubSup>
          <m:r>
            <m:rPr>
              <m:sty m:val="p"/>
            </m:rPr>
            <m:t>+</m:t>
          </m:r>
          <m:sSubSup>
            <m:e>
              <m:r>
                <m:t>κ</m:t>
              </m:r>
            </m:e>
            <m:sub>
              <m:r>
                <m:t>a</m:t>
              </m:r>
              <m:r>
                <m:rPr>
                  <m:sty m:val="p"/>
                </m:rPr>
                <m:t>,</m:t>
              </m:r>
              <m:r>
                <m:t>t</m:t>
              </m:r>
            </m:sub>
            <m:sup>
              <m:r>
                <m:t>a</m:t>
              </m:r>
              <m:r>
                <m:t>u</m:t>
              </m:r>
              <m:r>
                <m:t>x</m:t>
              </m:r>
            </m:sup>
          </m:sSubSup>
        </m:oMath>
      </m:oMathPara>
    </w:p>
    <w:p>
      <w:pPr>
        <w:pStyle w:val="EquationNumber"/>
      </w:pPr>
      <w:r>
        <w:t>（4-19）</w:t>
      </w:r>
    </w:p>
    <w:p>
      <w:pPr>
        <w:pStyle w:val="BodyText"/>
        <w:keepNext/>
        <w:spacing w:before="80" w:after="0"/>
        <w:ind w:firstLine="0"/>
        <w:jc w:val="center"/>
      </w:pPr>
      <m:oMathPara>
        <m:oMathParaPr>
          <m:jc m:val="center"/>
        </m:oMathParaPr>
        <m:oMath>
          <m:sSubSup>
            <m:e>
              <m:r>
                <m:t>E</m:t>
              </m:r>
            </m:e>
            <m:sub>
              <m:r>
                <m:t>j</m:t>
              </m:r>
              <m:r>
                <m:rPr>
                  <m:sty m:val="p"/>
                </m:rPr>
                <m:t>,</m:t>
              </m:r>
              <m:r>
                <m:t>t</m:t>
              </m:r>
            </m:sub>
            <m:sup>
              <m:r>
                <m:t>f</m:t>
              </m:r>
              <m:r>
                <m:t>a</m:t>
              </m:r>
              <m:r>
                <m:t>c</m:t>
              </m:r>
              <m:r>
                <m:t>i</m:t>
              </m:r>
              <m:r>
                <m:t>l</m:t>
              </m:r>
              <m:r>
                <m:t>i</m:t>
              </m:r>
              <m:r>
                <m:t>t</m:t>
              </m:r>
              <m:r>
                <m:t>y</m:t>
              </m:r>
            </m:sup>
          </m:sSubSup>
          <m:r>
            <m:rPr>
              <m:sty m:val="p"/>
            </m:rPr>
            <m:t>=</m:t>
          </m:r>
          <m:r>
            <m:t>P</m:t>
          </m:r>
          <m:r>
            <m:t>U</m:t>
          </m:r>
          <m:sSub>
            <m:e>
              <m:r>
                <m:t>E</m:t>
              </m:r>
            </m:e>
            <m:sub>
              <m:r>
                <m:t>j</m:t>
              </m:r>
              <m:r>
                <m:rPr>
                  <m:sty m:val="p"/>
                </m:rPr>
                <m:t>,</m:t>
              </m:r>
              <m:r>
                <m:t>t</m:t>
              </m:r>
            </m:sub>
          </m:sSub>
          <m:sSubSup>
            <m:e>
              <m:r>
                <m:t>E</m:t>
              </m:r>
            </m:e>
            <m:sub>
              <m:r>
                <m:t>j</m:t>
              </m:r>
              <m:r>
                <m:rPr>
                  <m:sty m:val="p"/>
                </m:rPr>
                <m:t>,</m:t>
              </m:r>
              <m:r>
                <m:t>t</m:t>
              </m:r>
            </m:sub>
            <m:sup>
              <m:r>
                <m:t>I</m:t>
              </m:r>
              <m:r>
                <m:t>T</m:t>
              </m:r>
            </m:sup>
          </m:sSubSup>
        </m:oMath>
      </m:oMathPara>
    </w:p>
    <w:p>
      <w:pPr>
        <w:pStyle w:val="EquationNumber"/>
      </w:pPr>
      <w:r>
        <w:t>（4-20）</w:t>
      </w:r>
    </w:p>
    <w:p>
      <w:pPr>
        <w:pStyle w:val="BodyText"/>
      </w:pPr>
      <m:oMath>
        <m:sSup>
          <m:e>
            <m:r>
              <m:t>κ</m:t>
            </m:r>
          </m:e>
          <m:sup>
            <m:r>
              <m:t>c</m:t>
            </m:r>
            <m:r>
              <m:t>o</m:t>
            </m:r>
            <m:r>
              <m:t>o</m:t>
            </m:r>
            <m:r>
              <m:t>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54"/>
    <w:bookmarkStart w:id="55" w:name="热排散边界与湿干侧热量"/>
    <w:p>
      <w:pPr>
        <w:pStyle w:val="Heading2"/>
        <w:keepNext/>
        <w:keepLines/>
        <w:ind w:firstLine="0"/>
      </w:pPr>
      <w:r>
        <w:t xml:space="preserve">4.7 热排散边界与湿/干侧热量</w:t>
      </w:r>
    </w:p>
    <w:p>
      <w:pPr>
        <w:pStyle w:val="FirstParagraph"/>
      </w:pPr>
      <w:r>
        <w:t xml:space="preserve">在研究边界内，IT电能和大部分设施辅助电能最终以热形式需要从数据中心排出。设纳入热排散边界的电能比例为</w:t>
      </w:r>
      <w:r>
        <w:t xml:space="preserve"> </w:t>
      </w:r>
      <m:oMath>
        <m:sSub>
          <m:e>
            <m:r>
              <m:t>ξ</m:t>
            </m:r>
          </m:e>
          <m:sub>
            <m:r>
              <m:t>h</m:t>
            </m:r>
          </m:sub>
        </m:sSub>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r</m:t>
              </m:r>
              <m:r>
                <m:t>e</m:t>
              </m:r>
              <m:r>
                <m:t>j</m:t>
              </m:r>
            </m:sup>
          </m:sSubSup>
          <m:r>
            <m:rPr>
              <m:sty m:val="p"/>
            </m:rPr>
            <m:t>=</m:t>
          </m:r>
          <m:sSub>
            <m:e>
              <m:r>
                <m:t>ξ</m:t>
              </m:r>
            </m:e>
            <m:sub>
              <m:r>
                <m:t>h</m:t>
              </m:r>
            </m:sub>
          </m:sSub>
          <m:d>
            <m:dPr>
              <m:begChr m:val="("/>
              <m:endChr m:val=")"/>
              <m:sepChr m:val=""/>
              <m:grow/>
            </m:dPr>
            <m:e>
              <m:sSubSup>
                <m:e>
                  <m:r>
                    <m:t>E</m:t>
                  </m:r>
                </m:e>
                <m:sub>
                  <m:r>
                    <m:t>j</m:t>
                  </m:r>
                  <m:r>
                    <m:rPr>
                      <m:sty m:val="p"/>
                    </m:rPr>
                    <m:t>,</m:t>
                  </m:r>
                  <m:r>
                    <m:t>t</m:t>
                  </m:r>
                </m:sub>
                <m:sup>
                  <m:r>
                    <m:t>I</m:t>
                  </m:r>
                  <m:r>
                    <m:t>T</m:t>
                  </m:r>
                </m:sup>
              </m:sSubSup>
              <m:r>
                <m:rPr>
                  <m:sty m:val="p"/>
                </m:rPr>
                <m:t>+</m:t>
              </m:r>
              <m:sSubSup>
                <m:e>
                  <m:r>
                    <m:t>E</m:t>
                  </m:r>
                </m:e>
                <m:sub>
                  <m:r>
                    <m:t>j</m:t>
                  </m:r>
                  <m:r>
                    <m:rPr>
                      <m:sty m:val="p"/>
                    </m:rPr>
                    <m:t>,</m:t>
                  </m:r>
                  <m:r>
                    <m:t>t</m:t>
                  </m:r>
                </m:sub>
                <m:sup>
                  <m:r>
                    <m:t>c</m:t>
                  </m:r>
                  <m:r>
                    <m:t>o</m:t>
                  </m:r>
                  <m:r>
                    <m:t>o</m:t>
                  </m:r>
                  <m:r>
                    <m:t>l</m:t>
                  </m:r>
                </m:sup>
              </m:sSubSup>
              <m:r>
                <m:rPr>
                  <m:sty m:val="p"/>
                </m:rPr>
                <m:t>+</m:t>
              </m:r>
              <m:sSubSup>
                <m:e>
                  <m:r>
                    <m:t>E</m:t>
                  </m:r>
                </m:e>
                <m:sub>
                  <m:r>
                    <m:t>j</m:t>
                  </m:r>
                  <m:r>
                    <m:rPr>
                      <m:sty m:val="p"/>
                    </m:rPr>
                    <m:t>,</m:t>
                  </m:r>
                  <m:r>
                    <m:t>t</m:t>
                  </m:r>
                </m:sub>
                <m:sup>
                  <m:r>
                    <m:t>a</m:t>
                  </m:r>
                  <m:r>
                    <m:t>u</m:t>
                  </m:r>
                  <m:r>
                    <m:t>x</m:t>
                  </m:r>
                </m:sup>
              </m:sSubSup>
            </m:e>
          </m:d>
        </m:oMath>
      </m:oMathPara>
    </w:p>
    <w:p>
      <w:pPr>
        <w:pStyle w:val="EquationNumber"/>
      </w:pPr>
      <w:r>
        <w:t>（4-21）</w:t>
      </w:r>
    </w:p>
    <w:p>
      <w:pPr>
        <w:pStyle w:val="BodyText"/>
      </w:pPr>
      <w:r>
        <w:t xml:space="preserve">对于混合冷却，设湿侧承担的热量比例为</w:t>
      </w:r>
      <w:r>
        <w:t xml:space="preserve"> </w:t>
      </w:r>
      <m:oMath>
        <m:sSubSup>
          <m:e>
            <m:r>
              <m:t>f</m:t>
            </m:r>
          </m:e>
          <m:sub>
            <m:r>
              <m:t>j</m:t>
            </m:r>
            <m:r>
              <m:rPr>
                <m:sty m:val="p"/>
              </m:rPr>
              <m:t>,</m:t>
            </m:r>
            <m:r>
              <m:t>t</m:t>
            </m:r>
          </m:sub>
          <m:sup>
            <m:r>
              <m:t>w</m:t>
            </m:r>
            <m:r>
              <m:t>e</m:t>
            </m:r>
            <m:r>
              <m:t>t</m:t>
            </m:r>
          </m:sup>
        </m:sSubSup>
        <m:r>
          <m:rPr>
            <m:sty m:val="p"/>
          </m:rPr>
          <m:t>∈</m:t>
        </m:r>
        <m:d>
          <m:dPr>
            <m:begChr m:val="["/>
            <m:endChr m:val="]"/>
            <m:sepChr m:val=""/>
            <m:grow/>
          </m:dPr>
          <m:e>
            <m:r>
              <m:t>0</m:t>
            </m:r>
            <m:r>
              <m:rPr>
                <m:sty m:val="p"/>
              </m:rPr>
              <m:t>,</m:t>
            </m:r>
            <m:r>
              <m:t>1</m:t>
            </m:r>
          </m:e>
        </m:d>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w</m:t>
              </m:r>
              <m:r>
                <m:t>e</m:t>
              </m:r>
              <m:r>
                <m:t>t</m:t>
              </m:r>
            </m:sup>
          </m:sSubSup>
          <m:r>
            <m:rPr>
              <m:sty m:val="p"/>
            </m:rPr>
            <m:t>=</m:t>
          </m:r>
          <m:sSubSup>
            <m:e>
              <m:r>
                <m:t>f</m:t>
              </m:r>
            </m:e>
            <m:sub>
              <m:r>
                <m:t>j</m:t>
              </m:r>
              <m:r>
                <m:rPr>
                  <m:sty m:val="p"/>
                </m:rPr>
                <m:t>,</m:t>
              </m:r>
              <m:r>
                <m:t>t</m:t>
              </m:r>
            </m:sub>
            <m:sup>
              <m:r>
                <m:t>w</m:t>
              </m:r>
              <m:r>
                <m:t>e</m:t>
              </m:r>
              <m:r>
                <m:t>t</m:t>
              </m:r>
            </m:sup>
          </m:sSubSup>
          <m:sSubSup>
            <m:e>
              <m:r>
                <m:t>Q</m:t>
              </m:r>
            </m:e>
            <m:sub>
              <m:r>
                <m:t>j</m:t>
              </m:r>
              <m:r>
                <m:rPr>
                  <m:sty m:val="p"/>
                </m:rPr>
                <m:t>,</m:t>
              </m:r>
              <m:r>
                <m:t>t</m:t>
              </m:r>
            </m:sub>
            <m:sup>
              <m:r>
                <m:t>r</m:t>
              </m:r>
              <m:r>
                <m:t>e</m:t>
              </m:r>
              <m:r>
                <m:t>j</m:t>
              </m:r>
            </m:sup>
          </m:sSubSup>
        </m:oMath>
      </m:oMathPara>
    </w:p>
    <w:p>
      <w:pPr>
        <w:pStyle w:val="EquationNumber"/>
      </w:pPr>
      <w:r>
        <w:t>（4-22）</w:t>
      </w:r>
    </w:p>
    <w:p>
      <w:pPr>
        <w:pStyle w:val="BodyText"/>
        <w:keepNext/>
        <w:spacing w:before="80" w:after="0"/>
        <w:ind w:firstLine="0"/>
        <w:jc w:val="center"/>
      </w:pPr>
      <m:oMathPara>
        <m:oMathParaPr>
          <m:jc m:val="center"/>
        </m:oMathParaPr>
        <m:oMath>
          <m:sSubSup>
            <m:e>
              <m:r>
                <m:t>Q</m:t>
              </m:r>
            </m:e>
            <m:sub>
              <m:r>
                <m:t>j</m:t>
              </m:r>
              <m:r>
                <m:rPr>
                  <m:sty m:val="p"/>
                </m:rPr>
                <m:t>,</m:t>
              </m:r>
              <m:r>
                <m:t>t</m:t>
              </m:r>
            </m:sub>
            <m:sup>
              <m:r>
                <m:t>d</m:t>
              </m:r>
              <m:r>
                <m:t>r</m:t>
              </m:r>
              <m:r>
                <m:t>y</m:t>
              </m:r>
            </m:sup>
          </m:sSubSup>
          <m:r>
            <m:rPr>
              <m:sty m:val="p"/>
            </m:rPr>
            <m:t>=</m:t>
          </m:r>
          <m:d>
            <m:dPr>
              <m:begChr m:val="("/>
              <m:endChr m:val=")"/>
              <m:sepChr m:val=""/>
              <m:grow/>
            </m:dPr>
            <m:e>
              <m:r>
                <m:t>1</m:t>
              </m:r>
              <m:r>
                <m:rPr>
                  <m:sty m:val="p"/>
                </m:rPr>
                <m:t>−</m:t>
              </m:r>
              <m:sSubSup>
                <m:e>
                  <m:r>
                    <m:t>f</m:t>
                  </m:r>
                </m:e>
                <m:sub>
                  <m:r>
                    <m:t>j</m:t>
                  </m:r>
                  <m:r>
                    <m:rPr>
                      <m:sty m:val="p"/>
                    </m:rPr>
                    <m:t>,</m:t>
                  </m:r>
                  <m:r>
                    <m:t>t</m:t>
                  </m:r>
                </m:sub>
                <m:sup>
                  <m:r>
                    <m:t>w</m:t>
                  </m:r>
                  <m:r>
                    <m:t>e</m:t>
                  </m:r>
                  <m:r>
                    <m:t>t</m:t>
                  </m:r>
                </m:sup>
              </m:sSubSup>
            </m:e>
          </m:d>
          <m:sSubSup>
            <m:e>
              <m:r>
                <m:t>Q</m:t>
              </m:r>
            </m:e>
            <m:sub>
              <m:r>
                <m:t>j</m:t>
              </m:r>
              <m:r>
                <m:rPr>
                  <m:sty m:val="p"/>
                </m:rPr>
                <m:t>,</m:t>
              </m:r>
              <m:r>
                <m:t>t</m:t>
              </m:r>
            </m:sub>
            <m:sup>
              <m:r>
                <m:t>r</m:t>
              </m:r>
              <m:r>
                <m:t>e</m:t>
              </m:r>
              <m:r>
                <m:t>j</m:t>
              </m:r>
            </m:sup>
          </m:sSubSup>
        </m:oMath>
      </m:oMathPara>
    </w:p>
    <w:p>
      <w:pPr>
        <w:pStyle w:val="EquationNumber"/>
      </w:pPr>
      <w:r>
        <w:t>（4-23）</w:t>
      </w:r>
    </w:p>
    <w:p>
      <w:pPr>
        <w:pStyle w:val="BodyText"/>
      </w:pPr>
      <w:r>
        <w:t xml:space="preserve">完全干冷时</w:t>
      </w:r>
      <w:r>
        <w:t xml:space="preserve"> </w:t>
      </w:r>
      <m:oMath>
        <m:sSup>
          <m:e>
            <m:r>
              <m:t>f</m:t>
            </m:r>
          </m:e>
          <m:sup>
            <m:r>
              <m:t>w</m:t>
            </m:r>
            <m:r>
              <m:t>e</m:t>
            </m:r>
            <m:r>
              <m:t>t</m:t>
            </m:r>
          </m:sup>
        </m:sSup>
        <m:r>
          <m:rPr>
            <m:sty m:val="p"/>
          </m:rPr>
          <m:t>=</m:t>
        </m:r>
        <m:r>
          <m:t>0</m:t>
        </m:r>
      </m:oMath>
      <w:r>
        <w:t xml:space="preserve">，因此后续循环水、蒸发、漂水和排污全部为零；湿式和混合技术的所有水量方程只基于</w:t>
      </w:r>
      <w:r>
        <w:t xml:space="preserve"> </w:t>
      </w:r>
      <m:oMath>
        <m:sSup>
          <m:e>
            <m:r>
              <m:t>Q</m:t>
            </m:r>
          </m:e>
          <m:sup>
            <m:r>
              <m:t>w</m:t>
            </m:r>
            <m:r>
              <m:t>e</m:t>
            </m:r>
            <m:r>
              <m:t>t</m:t>
            </m:r>
          </m:sup>
        </m:sSup>
      </m:oMath>
      <w:r>
        <w:t xml:space="preserve">，从而消除“干冷仍计算循环水”的逻辑矛盾。</w:t>
      </w:r>
    </w:p>
    <w:bookmarkEnd w:id="55"/>
    <w:bookmarkStart w:id="56" w:name="湿侧循环水蒸发漂水与排污"/>
    <w:p>
      <w:pPr>
        <w:pStyle w:val="Heading2"/>
        <w:keepNext/>
        <w:keepLines/>
        <w:ind w:firstLine="0"/>
      </w:pPr>
      <w:r>
        <w:t xml:space="preserve">4.8 湿侧循环水、蒸发、漂水与排污</w:t>
      </w:r>
    </w:p>
    <w:p>
      <w:pPr>
        <w:pStyle w:val="FirstParagraph"/>
      </w:pPr>
      <w:r>
        <w:t xml:space="preserve">设水比热为</w:t>
      </w:r>
      <w:r>
        <w:t xml:space="preserve"> </w:t>
      </w:r>
      <m:oMath>
        <m:sSub>
          <m:e>
            <m:r>
              <m:t>c</m:t>
            </m:r>
          </m:e>
          <m:sub>
            <m:r>
              <m:t>p</m:t>
            </m:r>
          </m:sub>
        </m:sSub>
      </m:oMath>
      <w:r>
        <w:t xml:space="preserve">，湿侧循环水设计温升为</w:t>
      </w:r>
      <w:r>
        <w:t xml:space="preserve"> </w:t>
      </w:r>
      <m:oMath>
        <m:r>
          <m:t>Δ</m:t>
        </m:r>
        <m:sSub>
          <m:e>
            <m:r>
              <m:t>T</m:t>
            </m:r>
          </m:e>
          <m:sub>
            <m:r>
              <m:t>c</m:t>
            </m:r>
            <m:r>
              <m:t>w</m:t>
            </m:r>
          </m:sub>
        </m:sSub>
      </m:oMath>
      <w:r>
        <w:t xml:space="preserve">，则：</w:t>
      </w:r>
    </w:p>
    <w:p>
      <w:pPr>
        <w:pStyle w:val="BodyText"/>
        <w:keepNext/>
        <w:spacing w:before="80" w:after="0"/>
        <w:ind w:firstLine="0"/>
        <w:jc w:val="center"/>
      </w:pPr>
      <m:oMathPara>
        <m:oMathParaPr>
          <m:jc m:val="center"/>
        </m:oMathParaPr>
        <m:oMath>
          <m:sSubSup>
            <m:e>
              <m:r>
                <m:t>V</m:t>
              </m:r>
            </m:e>
            <m:sub>
              <m:r>
                <m:t>j</m:t>
              </m:r>
              <m:r>
                <m:rPr>
                  <m:sty m:val="p"/>
                </m:rPr>
                <m:t>,</m:t>
              </m:r>
              <m:r>
                <m:t>t</m:t>
              </m:r>
            </m:sub>
            <m:sup>
              <m:r>
                <m:t>c</m:t>
              </m:r>
              <m:r>
                <m:t>i</m:t>
              </m:r>
              <m:r>
                <m:t>r</m:t>
              </m:r>
              <m:r>
                <m:t>c</m:t>
              </m:r>
            </m:sup>
          </m:sSubSup>
          <m:r>
            <m:rPr>
              <m:sty m:val="p"/>
            </m:rPr>
            <m:t>=</m:t>
          </m:r>
          <m:f>
            <m:fPr>
              <m:type m:val="bar"/>
            </m:fPr>
            <m:num>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c</m:t>
                  </m:r>
                </m:e>
                <m:sub>
                  <m:r>
                    <m:t>p</m:t>
                  </m:r>
                </m:sub>
              </m:sSub>
              <m:r>
                <m:t>Δ</m:t>
              </m:r>
              <m:sSub>
                <m:e>
                  <m:r>
                    <m:t>T</m:t>
                  </m:r>
                </m:e>
                <m:sub>
                  <m:r>
                    <m:t>c</m:t>
                  </m:r>
                  <m:r>
                    <m:t>w</m:t>
                  </m:r>
                </m:sub>
              </m:sSub>
            </m:den>
          </m:f>
        </m:oMath>
      </m:oMathPara>
    </w:p>
    <w:p>
      <w:pPr>
        <w:pStyle w:val="EquationNumber"/>
      </w:pPr>
      <w:r>
        <w:t>（4-24）</w:t>
      </w:r>
    </w:p>
    <w:p>
      <w:pPr>
        <w:pStyle w:val="BodyText"/>
      </w:pPr>
      <w:r>
        <w:t xml:space="preserve">若热量中经蒸发潜热承担的有效比例为</w:t>
      </w:r>
      <w:r>
        <w:t xml:space="preserve"> </w:t>
      </w:r>
      <m:oMath>
        <m:sSub>
          <m:e>
            <m:r>
              <m:t>η</m:t>
            </m:r>
          </m:e>
          <m:sub>
            <m:r>
              <m:t>e</m:t>
            </m:r>
            <m:r>
              <m:t>v</m:t>
            </m:r>
            <m:r>
              <m:t>a</m:t>
            </m:r>
            <m:r>
              <m:t>p</m:t>
            </m:r>
          </m:sub>
        </m:sSub>
      </m:oMath>
      <w:r>
        <w:t xml:space="preserve">：</w:t>
      </w:r>
    </w:p>
    <w:p>
      <w:pPr>
        <w:pStyle w:val="BodyText"/>
        <w:keepNext/>
        <w:spacing w:before="80" w:after="0"/>
        <w:ind w:firstLine="0"/>
        <w:jc w:val="center"/>
      </w:pPr>
      <m:oMathPara>
        <m:oMathParaPr>
          <m:jc m:val="center"/>
        </m:oMathParaPr>
        <m:oMath>
          <m:sSubSup>
            <m:e>
              <m:r>
                <m:t>V</m:t>
              </m:r>
            </m:e>
            <m:sub>
              <m:r>
                <m:t>j</m:t>
              </m:r>
              <m:r>
                <m:rPr>
                  <m:sty m:val="p"/>
                </m:rPr>
                <m:t>,</m:t>
              </m:r>
              <m:r>
                <m:t>t</m:t>
              </m:r>
            </m:sub>
            <m:sup>
              <m:r>
                <m:t>e</m:t>
              </m:r>
              <m:r>
                <m:t>v</m:t>
              </m:r>
              <m:r>
                <m:t>a</m:t>
              </m:r>
              <m:r>
                <m:t>p</m:t>
              </m:r>
            </m:sup>
          </m:sSubSup>
          <m:r>
            <m:rPr>
              <m:sty m:val="p"/>
            </m:rPr>
            <m:t>=</m:t>
          </m:r>
          <m:f>
            <m:fPr>
              <m:type m:val="bar"/>
            </m:fPr>
            <m:num>
              <m:sSub>
                <m:e>
                  <m:r>
                    <m:t>η</m:t>
                  </m:r>
                </m:e>
                <m:sub>
                  <m:r>
                    <m:t>e</m:t>
                  </m:r>
                  <m:r>
                    <m:t>v</m:t>
                  </m:r>
                  <m:r>
                    <m:t>a</m:t>
                  </m:r>
                  <m:r>
                    <m:t>p</m:t>
                  </m:r>
                </m:sub>
              </m:sSub>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L</m:t>
                  </m:r>
                </m:e>
                <m:sub>
                  <m:r>
                    <m:t>v</m:t>
                  </m:r>
                </m:sub>
              </m:sSub>
            </m:den>
          </m:f>
        </m:oMath>
      </m:oMathPara>
    </w:p>
    <w:p>
      <w:pPr>
        <w:pStyle w:val="EquationNumber"/>
      </w:pPr>
      <w:r>
        <w:t>（4-25）</w:t>
      </w:r>
    </w:p>
    <w:p>
      <w:pPr>
        <w:pStyle w:val="BodyText"/>
      </w:pPr>
      <w:r>
        <w:t xml:space="preserve">漂水量为：</w:t>
      </w:r>
    </w:p>
    <w:p>
      <w:pPr>
        <w:pStyle w:val="BodyText"/>
        <w:keepNext/>
        <w:spacing w:before="80" w:after="0"/>
        <w:ind w:firstLine="0"/>
        <w:jc w:val="center"/>
      </w:pPr>
      <m:oMathPara>
        <m:oMathParaPr>
          <m:jc m:val="center"/>
        </m:oMathParaPr>
        <m:oMath>
          <m:sSubSup>
            <m:e>
              <m:r>
                <m:t>V</m:t>
              </m:r>
            </m:e>
            <m:sub>
              <m:r>
                <m:t>j</m:t>
              </m:r>
              <m:r>
                <m:rPr>
                  <m:sty m:val="p"/>
                </m:rPr>
                <m:t>,</m:t>
              </m:r>
              <m:r>
                <m:t>t</m:t>
              </m:r>
            </m:sub>
            <m:sup>
              <m:r>
                <m:t>d</m:t>
              </m:r>
              <m:r>
                <m:t>r</m:t>
              </m:r>
              <m:r>
                <m:t>i</m:t>
              </m:r>
              <m:r>
                <m:t>f</m:t>
              </m:r>
              <m:r>
                <m:t>t</m:t>
              </m:r>
            </m:sup>
          </m:sSubSup>
          <m:r>
            <m:rPr>
              <m:sty m:val="p"/>
            </m:rPr>
            <m:t>=</m:t>
          </m:r>
          <m:sSub>
            <m:e>
              <m:r>
                <m:t>f</m:t>
              </m:r>
            </m:e>
            <m:sub>
              <m:r>
                <m:t>d</m:t>
              </m:r>
              <m:r>
                <m:t>r</m:t>
              </m:r>
              <m:r>
                <m:t>i</m:t>
              </m:r>
              <m:r>
                <m:t>f</m:t>
              </m:r>
              <m:r>
                <m:t>t</m:t>
              </m:r>
            </m:sub>
          </m:sSub>
          <m:sSubSup>
            <m:e>
              <m:r>
                <m:t>V</m:t>
              </m:r>
            </m:e>
            <m:sub>
              <m:r>
                <m:t>j</m:t>
              </m:r>
              <m:r>
                <m:rPr>
                  <m:sty m:val="p"/>
                </m:rPr>
                <m:t>,</m:t>
              </m:r>
              <m:r>
                <m:t>t</m:t>
              </m:r>
            </m:sub>
            <m:sup>
              <m:r>
                <m:t>c</m:t>
              </m:r>
              <m:r>
                <m:t>i</m:t>
              </m:r>
              <m:r>
                <m:t>r</m:t>
              </m:r>
              <m:r>
                <m:t>c</m:t>
              </m:r>
            </m:sup>
          </m:sSubSup>
        </m:oMath>
      </m:oMathPara>
    </w:p>
    <w:p>
      <w:pPr>
        <w:pStyle w:val="EquationNumber"/>
      </w:pPr>
      <w:r>
        <w:t>（4-26）</w:t>
      </w:r>
    </w:p>
    <w:p>
      <w:pPr>
        <w:pStyle w:val="BodyText"/>
      </w:pPr>
      <w:r>
        <w:t xml:space="preserve">若浓缩倍数为</w:t>
      </w:r>
      <w:r>
        <w:t xml:space="preserve"> </w:t>
      </w:r>
      <m:oMath>
        <m:r>
          <m:t>C</m:t>
        </m:r>
        <m:r>
          <m:t>o</m:t>
        </m:r>
        <m:sSub>
          <m:e>
            <m:r>
              <m:t>C</m:t>
            </m:r>
          </m:e>
          <m:sub>
            <m:r>
              <m:t>j</m:t>
            </m:r>
            <m:r>
              <m:rPr>
                <m:sty m:val="p"/>
              </m:rPr>
              <m:t>,</m:t>
            </m:r>
            <m:r>
              <m:t>t</m:t>
            </m:r>
          </m:sub>
        </m:sSub>
      </m:oMath>
      <w:r>
        <w:t xml:space="preserve">，根据水量与溶解性物质平衡，排污量采用：</w:t>
      </w:r>
    </w:p>
    <w:p>
      <w:pPr>
        <w:pStyle w:val="BodyText"/>
        <w:keepNext/>
        <w:spacing w:before="80" w:after="0"/>
        <w:ind w:firstLine="0"/>
        <w:jc w:val="center"/>
      </w:pPr>
      <m:oMathPara>
        <m:oMathParaPr>
          <m:jc m:val="center"/>
        </m:oMathParaPr>
        <m:oMath>
          <m:sSubSup>
            <m:e>
              <m:r>
                <m:t>V</m:t>
              </m:r>
            </m:e>
            <m:sub>
              <m:r>
                <m:t>j</m:t>
              </m:r>
              <m:r>
                <m:rPr>
                  <m:sty m:val="p"/>
                </m:rPr>
                <m:t>,</m:t>
              </m:r>
              <m:r>
                <m:t>t</m:t>
              </m:r>
            </m:sub>
            <m:sup>
              <m:r>
                <m:t>b</m:t>
              </m:r>
              <m:r>
                <m:t>l</m:t>
              </m:r>
              <m:r>
                <m:t>o</m:t>
              </m:r>
              <m:r>
                <m:t>w</m:t>
              </m:r>
            </m:sup>
          </m:sSubSup>
          <m:r>
            <m:rPr>
              <m:sty m:val="p"/>
            </m:rPr>
            <m:t>=</m:t>
          </m:r>
          <m:r>
            <m:rPr>
              <m:sty m:val="p"/>
            </m:rPr>
            <m:t>max</m:t>
          </m:r>
          <m:d>
            <m:dPr>
              <m:begChr m:val="["/>
              <m:endChr m:val="]"/>
              <m:sepChr m:val=""/>
              <m:grow/>
            </m:dPr>
            <m:e>
              <m:f>
                <m:fPr>
                  <m:type m:val="bar"/>
                </m:fPr>
                <m:num>
                  <m:sSubSup>
                    <m:e>
                      <m:r>
                        <m:t>V</m:t>
                      </m:r>
                    </m:e>
                    <m:sub>
                      <m:r>
                        <m:t>j</m:t>
                      </m:r>
                      <m:r>
                        <m:rPr>
                          <m:sty m:val="p"/>
                        </m:rPr>
                        <m:t>,</m:t>
                      </m:r>
                      <m:r>
                        <m:t>t</m:t>
                      </m:r>
                    </m:sub>
                    <m:sup>
                      <m:r>
                        <m:t>e</m:t>
                      </m:r>
                      <m:r>
                        <m:t>v</m:t>
                      </m:r>
                      <m:r>
                        <m:t>a</m:t>
                      </m:r>
                      <m:r>
                        <m:t>p</m:t>
                      </m:r>
                    </m:sup>
                  </m:sSubSup>
                </m:num>
                <m:den>
                  <m:r>
                    <m:t>C</m:t>
                  </m:r>
                  <m:r>
                    <m:t>o</m:t>
                  </m:r>
                  <m:sSub>
                    <m:e>
                      <m:r>
                        <m:t>C</m:t>
                      </m:r>
                    </m:e>
                    <m:sub>
                      <m:r>
                        <m:t>j</m:t>
                      </m:r>
                      <m:r>
                        <m:rPr>
                          <m:sty m:val="p"/>
                        </m:rPr>
                        <m:t>,</m:t>
                      </m:r>
                      <m:r>
                        <m:t>t</m:t>
                      </m:r>
                    </m:sub>
                  </m:sSub>
                  <m:r>
                    <m:rPr>
                      <m:sty m:val="p"/>
                    </m:rPr>
                    <m:t>−</m:t>
                  </m:r>
                  <m:r>
                    <m:t>1</m:t>
                  </m:r>
                </m:den>
              </m:f>
              <m:r>
                <m:rPr>
                  <m:sty m:val="p"/>
                </m:rPr>
                <m:t>−</m:t>
              </m:r>
              <m:sSubSup>
                <m:e>
                  <m:r>
                    <m:t>V</m:t>
                  </m:r>
                </m:e>
                <m:sub>
                  <m:r>
                    <m:t>j</m:t>
                  </m:r>
                  <m:r>
                    <m:rPr>
                      <m:sty m:val="p"/>
                    </m:rPr>
                    <m:t>,</m:t>
                  </m:r>
                  <m:r>
                    <m:t>t</m:t>
                  </m:r>
                </m:sub>
                <m:sup>
                  <m:r>
                    <m:t>d</m:t>
                  </m:r>
                  <m:r>
                    <m:t>r</m:t>
                  </m:r>
                  <m:r>
                    <m:t>i</m:t>
                  </m:r>
                  <m:r>
                    <m:t>f</m:t>
                  </m:r>
                  <m:r>
                    <m:t>t</m:t>
                  </m:r>
                </m:sup>
              </m:sSubSup>
              <m:r>
                <m:rPr>
                  <m:sty m:val="p"/>
                </m:rPr>
                <m:t>,</m:t>
              </m:r>
              <m:r>
                <m:t>0</m:t>
              </m:r>
            </m:e>
          </m:d>
        </m:oMath>
      </m:oMathPara>
    </w:p>
    <w:p>
      <w:pPr>
        <w:pStyle w:val="EquationNumber"/>
      </w:pPr>
      <w:r>
        <w:t>（4-27）</w:t>
      </w:r>
    </w:p>
    <w:p>
      <w:pPr>
        <w:pStyle w:val="BodyText"/>
      </w:pPr>
      <w:r>
        <w:t xml:space="preserve">总循环补水需求为：</w:t>
      </w:r>
    </w:p>
    <w:p>
      <w:pPr>
        <w:pStyle w:val="BodyText"/>
        <w:keepNext/>
        <w:spacing w:before="80" w:after="0"/>
        <w:ind w:firstLine="0"/>
        <w:jc w:val="center"/>
      </w:pPr>
      <m:oMathPara>
        <m:oMathParaPr>
          <m:jc m:val="center"/>
        </m:oMathParaPr>
        <m:oMath>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V</m:t>
              </m:r>
            </m:e>
            <m:sub>
              <m:r>
                <m:t>j</m:t>
              </m:r>
              <m:r>
                <m:rPr>
                  <m:sty m:val="p"/>
                </m:rPr>
                <m:t>,</m:t>
              </m:r>
              <m:r>
                <m:t>t</m:t>
              </m:r>
            </m:sub>
            <m:sup>
              <m:r>
                <m:t>b</m:t>
              </m:r>
              <m:r>
                <m:t>l</m:t>
              </m:r>
              <m:r>
                <m:t>o</m:t>
              </m:r>
              <m:r>
                <m:t>w</m:t>
              </m:r>
            </m:sup>
          </m:sSubSup>
        </m:oMath>
      </m:oMathPara>
    </w:p>
    <w:p>
      <w:pPr>
        <w:pStyle w:val="EquationNumber"/>
      </w:pPr>
      <w:r>
        <w:t>（4-28）</w:t>
      </w:r>
    </w:p>
    <w:p>
      <w:pPr>
        <w:pStyle w:val="BodyText"/>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56"/>
    <w:bookmarkStart w:id="57" w:name="ai外部补水内部回收和回流闭合"/>
    <w:p>
      <w:pPr>
        <w:pStyle w:val="Heading2"/>
        <w:keepNext/>
        <w:keepLines/>
        <w:ind w:firstLine="0"/>
      </w:pPr>
      <w:r>
        <w:t xml:space="preserve">4.9 AI外部补水、内部回收和回流闭合</w:t>
      </w:r>
    </w:p>
    <w:p>
      <w:pPr>
        <w:pStyle w:val="FirstParagraph"/>
      </w:pPr>
      <w:r>
        <w:t xml:space="preserve">设冷却排污中经厂内处理后直接回用于冷却塔的比例为</w:t>
      </w:r>
      <w:r>
        <w:t xml:space="preserve"> </w:t>
      </w:r>
      <m:oMath>
        <m:sSub>
          <m:e>
            <m:r>
              <m:t>r</m:t>
            </m:r>
          </m:e>
          <m:sub>
            <m:r>
              <m:t>i</m:t>
            </m:r>
            <m:r>
              <m:t>n</m:t>
            </m:r>
            <m:r>
              <m:t>t</m:t>
            </m:r>
          </m:sub>
        </m:sSub>
      </m:oMath>
      <w:r>
        <w:t xml:space="preserve">，厂内回收处理的不可恢复损失为</w:t>
      </w:r>
      <w:r>
        <w:t xml:space="preserve"> </w:t>
      </w:r>
      <m:oMath>
        <m:sSubSup>
          <m:e>
            <m:r>
              <m:t>C</m:t>
            </m:r>
          </m:e>
          <m:sub>
            <m:r>
              <m:t>j</m:t>
            </m:r>
            <m:r>
              <m:rPr>
                <m:sty m:val="p"/>
              </m:rPr>
              <m:t>,</m:t>
            </m:r>
            <m:r>
              <m:t>t</m:t>
            </m:r>
          </m:sub>
          <m:sup>
            <m:r>
              <m:t>i</m:t>
            </m:r>
            <m:r>
              <m:t>n</m:t>
            </m:r>
            <m:r>
              <m:t>t</m:t>
            </m:r>
          </m:sup>
        </m:sSubSup>
      </m:oMath>
      <w:r>
        <w:t xml:space="preserve">。则厂内回用量为：</w:t>
      </w:r>
    </w:p>
    <w:p>
      <w:pPr>
        <w:pStyle w:val="BodyText"/>
        <w:keepNext/>
        <w:spacing w:before="80" w:after="0"/>
        <w:ind w:firstLine="0"/>
        <w:jc w:val="center"/>
      </w:pPr>
      <m:oMathPara>
        <m:oMathParaPr>
          <m:jc m:val="center"/>
        </m:oMathParaPr>
        <m:oMath>
          <m:sSubSup>
            <m:e>
              <m:r>
                <m:t>V</m:t>
              </m:r>
            </m:e>
            <m:sub>
              <m:r>
                <m:t>j</m:t>
              </m:r>
              <m:r>
                <m:rPr>
                  <m:sty m:val="p"/>
                </m:rPr>
                <m:t>,</m:t>
              </m:r>
              <m:r>
                <m:t>t</m:t>
              </m:r>
            </m:sub>
            <m:sup>
              <m:r>
                <m:t>i</m:t>
              </m:r>
              <m:r>
                <m:t>n</m:t>
              </m:r>
              <m:r>
                <m:t>t</m:t>
              </m:r>
            </m:sup>
          </m:sSubSup>
          <m:r>
            <m:rPr>
              <m:sty m:val="p"/>
            </m:rPr>
            <m:t>=</m:t>
          </m:r>
          <m:sSub>
            <m:e>
              <m:r>
                <m:t>r</m:t>
              </m:r>
            </m:e>
            <m:sub>
              <m:r>
                <m:t>i</m:t>
              </m:r>
              <m:r>
                <m:t>n</m:t>
              </m:r>
              <m:r>
                <m:t>t</m:t>
              </m:r>
            </m:sub>
          </m:sSub>
          <m:sSubSup>
            <m:e>
              <m:r>
                <m:t>V</m:t>
              </m:r>
            </m:e>
            <m:sub>
              <m:r>
                <m:t>j</m:t>
              </m:r>
              <m:r>
                <m:rPr>
                  <m:sty m:val="p"/>
                </m:rPr>
                <m:t>,</m:t>
              </m:r>
              <m:r>
                <m:t>t</m:t>
              </m:r>
            </m:sub>
            <m:sup>
              <m:r>
                <m:t>b</m:t>
              </m:r>
              <m:r>
                <m:t>l</m:t>
              </m:r>
              <m:r>
                <m:t>o</m:t>
              </m:r>
              <m:r>
                <m:t>w</m:t>
              </m:r>
            </m:sup>
          </m:sSubSup>
        </m:oMath>
      </m:oMathPara>
    </w:p>
    <w:p>
      <w:pPr>
        <w:pStyle w:val="EquationNumber"/>
      </w:pPr>
      <w:r>
        <w:t>（4-29）</w:t>
      </w:r>
    </w:p>
    <w:p>
      <w:pPr>
        <w:pStyle w:val="BodyText"/>
      </w:pPr>
      <w:r>
        <w:t xml:space="preserve">AI从城市供水/再生水系统实际获取的外部补水为：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sup>
          </m:sSubSup>
        </m:oMath>
      </m:oMathPara>
    </w:p>
    <w:p>
      <w:pPr>
        <w:pStyle w:val="EquationNumber"/>
      </w:pPr>
      <w:r>
        <w:t>（4-30）</w:t>
      </w:r>
    </w:p>
    <w:p>
      <w:pPr>
        <w:pStyle w:val="BodyText"/>
      </w:pPr>
      <w:r>
        <w:t xml:space="preserve">真正离开可管理水系统的AI消耗为：</w:t>
      </w:r>
    </w:p>
    <w:p>
      <w:pPr>
        <w:pStyle w:val="BodyText"/>
        <w:keepNext/>
        <w:spacing w:before="80" w:after="0"/>
        <w:ind w:firstLine="0"/>
        <w:jc w:val="center"/>
      </w:pPr>
      <m:oMathPara>
        <m:oMathParaPr>
          <m:jc m:val="center"/>
        </m:oMathParaPr>
        <m:oMath>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C</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r>
                <m:rPr>
                  <m:sty m:val="p"/>
                </m:rPr>
                <m:t>,</m:t>
              </m:r>
              <m:r>
                <m:t>l</m:t>
              </m:r>
              <m:r>
                <m:t>o</m:t>
              </m:r>
              <m:r>
                <m:t>s</m:t>
              </m:r>
              <m:r>
                <m:t>s</m:t>
              </m:r>
            </m:sup>
          </m:sSubSup>
        </m:oMath>
      </m:oMathPara>
    </w:p>
    <w:p>
      <w:pPr>
        <w:pStyle w:val="EquationNumber"/>
      </w:pPr>
      <w:r>
        <w:t>（4-31）</w:t>
      </w:r>
    </w:p>
    <w:p>
      <w:pPr>
        <w:pStyle w:val="BodyText"/>
      </w:pPr>
      <w:r>
        <w:t xml:space="preserve">进入城市污水系统的AI回流水为：</w:t>
      </w:r>
    </w:p>
    <w:p>
      <w:pPr>
        <w:pStyle w:val="BodyText"/>
        <w:keepNext/>
        <w:spacing w:before="80" w:after="0"/>
        <w:ind w:firstLine="0"/>
        <w:jc w:val="center"/>
      </w:pPr>
      <m:oMathPara>
        <m:oMathParaPr>
          <m:jc m:val="center"/>
        </m:oMathParaPr>
        <m:oMath>
          <m:r>
            <m:t>R</m:t>
          </m:r>
          <m:r>
            <m:t>e</m:t>
          </m:r>
          <m:r>
            <m:t>t</m:t>
          </m:r>
          <m:r>
            <m:t>u</m:t>
          </m:r>
          <m:r>
            <m:t>r</m:t>
          </m:r>
          <m:r>
            <m:t>n</m:t>
          </m:r>
          <m:r>
            <m:t>F</m:t>
          </m:r>
          <m:r>
            <m:t>l</m:t>
          </m:r>
          <m:r>
            <m:t>o</m:t>
          </m:r>
          <m:sSubSup>
            <m:e>
              <m:r>
                <m:t>w</m:t>
              </m:r>
            </m:e>
            <m:sub>
              <m:r>
                <m:t>j</m:t>
              </m:r>
              <m:r>
                <m:rPr>
                  <m:sty m:val="p"/>
                </m:rPr>
                <m:t>,</m:t>
              </m:r>
              <m:r>
                <m:t>t</m:t>
              </m:r>
            </m:sub>
            <m:sup>
              <m:r>
                <m:t>A</m:t>
              </m:r>
              <m:r>
                <m:t>I</m:t>
              </m:r>
            </m:sup>
          </m:sSubSup>
          <m:r>
            <m:rPr>
              <m:sty m:val="p"/>
            </m:rPr>
            <m:t>=</m:t>
          </m:r>
          <m:d>
            <m:dPr>
              <m:begChr m:val="("/>
              <m:endChr m:val=")"/>
              <m:sepChr m:val=""/>
              <m:grow/>
            </m:dPr>
            <m:e>
              <m:r>
                <m:t>1</m:t>
              </m:r>
              <m:r>
                <m:rPr>
                  <m:sty m:val="p"/>
                </m:rPr>
                <m:t>−</m:t>
              </m:r>
              <m:sSub>
                <m:e>
                  <m:r>
                    <m:t>r</m:t>
                  </m:r>
                </m:e>
                <m:sub>
                  <m:r>
                    <m:t>i</m:t>
                  </m:r>
                  <m:r>
                    <m:t>n</m:t>
                  </m:r>
                  <m:r>
                    <m:t>t</m:t>
                  </m:r>
                </m:sub>
              </m:sSub>
            </m:e>
          </m:d>
          <m:sSubSup>
            <m:e>
              <m:r>
                <m:t>V</m:t>
              </m:r>
            </m:e>
            <m:sub>
              <m:r>
                <m:t>j</m:t>
              </m:r>
              <m:r>
                <m:rPr>
                  <m:sty m:val="p"/>
                </m:rPr>
                <m:t>,</m:t>
              </m:r>
              <m:r>
                <m:t>t</m:t>
              </m:r>
            </m:sub>
            <m:sup>
              <m:r>
                <m:t>b</m:t>
              </m:r>
              <m:r>
                <m:t>l</m:t>
              </m:r>
              <m:r>
                <m:t>o</m:t>
              </m:r>
              <m:r>
                <m:t>w</m:t>
              </m:r>
            </m:sup>
          </m:sSubSup>
          <m:r>
            <m:rPr>
              <m:sty m:val="p"/>
            </m:rPr>
            <m:t>+</m:t>
          </m:r>
          <m:sSubSup>
            <m:e>
              <m:r>
                <m:t>R</m:t>
              </m:r>
            </m:e>
            <m:sub>
              <m:r>
                <m:t>j</m:t>
              </m:r>
              <m:r>
                <m:rPr>
                  <m:sty m:val="p"/>
                </m:rPr>
                <m:t>,</m:t>
              </m:r>
              <m:r>
                <m:t>t</m:t>
              </m:r>
            </m:sub>
            <m:sup>
              <m:r>
                <m:t>o</m:t>
              </m:r>
              <m:r>
                <m:t>t</m:t>
              </m:r>
              <m:r>
                <m:t>h</m:t>
              </m:r>
              <m:r>
                <m:t>e</m:t>
              </m:r>
              <m:r>
                <m:t>r</m:t>
              </m:r>
            </m:sup>
          </m:sSubSup>
        </m:oMath>
      </m:oMathPara>
    </w:p>
    <w:p>
      <w:pPr>
        <w:pStyle w:val="EquationNumber"/>
      </w:pPr>
      <w:r>
        <w:t>（4-32）</w:t>
      </w:r>
    </w:p>
    <w:p>
      <w:pPr>
        <w:pStyle w:val="BodyText"/>
      </w:pPr>
      <w:r>
        <w:t xml:space="preserve">若忽略数据中心内部储水变化并对其他用水保持同一边界，则：</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r>
            <m:t>R</m:t>
          </m:r>
          <m:r>
            <m:t>e</m:t>
          </m:r>
          <m:r>
            <m:t>t</m:t>
          </m:r>
          <m:r>
            <m:t>u</m:t>
          </m:r>
          <m:r>
            <m:t>r</m:t>
          </m:r>
          <m:r>
            <m:t>n</m:t>
          </m:r>
          <m:r>
            <m:t>F</m:t>
          </m:r>
          <m:r>
            <m:t>l</m:t>
          </m:r>
          <m:r>
            <m:t>o</m:t>
          </m:r>
          <m:sSubSup>
            <m:e>
              <m:r>
                <m:t>w</m:t>
              </m:r>
            </m:e>
            <m:sub>
              <m:r>
                <m:t>j</m:t>
              </m:r>
              <m:r>
                <m:rPr>
                  <m:sty m:val="p"/>
                </m:rPr>
                <m:t>,</m:t>
              </m:r>
              <m:r>
                <m:t>t</m:t>
              </m:r>
            </m:sub>
            <m:sup>
              <m:r>
                <m:t>A</m:t>
              </m:r>
              <m:r>
                <m:t>I</m:t>
              </m:r>
            </m:sup>
          </m:sSubSup>
        </m:oMath>
      </m:oMathPara>
    </w:p>
    <w:p>
      <w:pPr>
        <w:pStyle w:val="EquationNumber"/>
      </w:pPr>
      <w:r>
        <w:t>（4-33）</w:t>
      </w:r>
    </w:p>
    <w:p>
      <w:pPr>
        <w:pStyle w:val="BodyText"/>
      </w:pPr>
      <w:r>
        <w:t xml:space="preserve">式（4-30）至（4-33）显式把前述cooling makeup与Withdrawal闭合，并把AI Return Flow直接连接至式（4-7）的污水入流，不再使用通用工业回流率重复计算。</w:t>
      </w:r>
    </w:p>
    <w:bookmarkEnd w:id="57"/>
    <w:bookmarkStart w:id="58" w:name="wue作为绩效与结构对照指标"/>
    <w:p>
      <w:pPr>
        <w:pStyle w:val="Heading2"/>
        <w:keepNext/>
        <w:keepLines/>
        <w:ind w:firstLine="0"/>
      </w:pPr>
      <w:r>
        <w:t xml:space="preserve">4.10 WUE作为绩效与结构对照指标</w:t>
      </w:r>
    </w:p>
    <w:p>
      <w:pPr>
        <w:pStyle w:val="FirstParagraph"/>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pPr>
        <w:pStyle w:val="BodyText"/>
        <w:keepNext/>
        <w:spacing w:before="80" w:after="0"/>
        <w:ind w:firstLine="0"/>
        <w:jc w:val="center"/>
      </w:pPr>
      <m:oMathPara>
        <m:oMathParaPr>
          <m:jc m:val="center"/>
        </m:oMathParaPr>
        <m:oMath>
          <m:r>
            <m:t>W</m:t>
          </m:r>
          <m:r>
            <m:t>U</m:t>
          </m:r>
          <m:sSubSup>
            <m:e>
              <m:r>
                <m:t>E</m:t>
              </m:r>
            </m:e>
            <m:sub>
              <m:r>
                <m:t>j</m:t>
              </m:r>
              <m:r>
                <m:rPr>
                  <m:sty m:val="p"/>
                </m:rPr>
                <m:t>,</m:t>
              </m:r>
              <m:r>
                <m:t>t</m:t>
              </m:r>
            </m:sub>
            <m:sup>
              <m:r>
                <m:t>d</m:t>
              </m:r>
              <m:r>
                <m:t>i</m:t>
              </m:r>
              <m:r>
                <m:t>r</m:t>
              </m:r>
            </m:sup>
          </m:sSubSup>
          <m:r>
            <m:rPr>
              <m:sty m:val="p"/>
            </m:rPr>
            <m:t>=</m:t>
          </m:r>
          <m:f>
            <m:fPr>
              <m:type m:val="bar"/>
            </m:fPr>
            <m:num>
              <m:r>
                <m:t>W</m:t>
              </m:r>
              <m:r>
                <m:t>i</m:t>
              </m:r>
              <m:r>
                <m:t>t</m:t>
              </m:r>
              <m:r>
                <m:t>h</m:t>
              </m:r>
              <m:r>
                <m:t>d</m:t>
              </m:r>
              <m:r>
                <m:t>r</m:t>
              </m:r>
              <m:r>
                <m:t>a</m:t>
              </m:r>
              <m:r>
                <m:t>w</m:t>
              </m:r>
              <m:r>
                <m:t>a</m:t>
              </m:r>
              <m:sSubSup>
                <m:e>
                  <m:r>
                    <m:t>l</m:t>
                  </m:r>
                </m:e>
                <m:sub>
                  <m:r>
                    <m:t>j</m:t>
                  </m:r>
                  <m:r>
                    <m:rPr>
                      <m:sty m:val="p"/>
                    </m:rPr>
                    <m:t>,</m:t>
                  </m:r>
                  <m:r>
                    <m:t>t</m:t>
                  </m:r>
                </m:sub>
                <m:sup>
                  <m:r>
                    <m:t>A</m:t>
                  </m:r>
                  <m:r>
                    <m:t>I</m:t>
                  </m:r>
                </m:sup>
              </m:sSubSup>
            </m:num>
            <m:den>
              <m:sSubSup>
                <m:e>
                  <m:r>
                    <m:t>E</m:t>
                  </m:r>
                </m:e>
                <m:sub>
                  <m:r>
                    <m:t>j</m:t>
                  </m:r>
                  <m:r>
                    <m:rPr>
                      <m:sty m:val="p"/>
                    </m:rPr>
                    <m:t>,</m:t>
                  </m:r>
                  <m:r>
                    <m:t>t</m:t>
                  </m:r>
                </m:sub>
                <m:sup>
                  <m:r>
                    <m:t>I</m:t>
                  </m:r>
                  <m:r>
                    <m:t>T</m:t>
                  </m:r>
                </m:sup>
              </m:sSubSup>
            </m:den>
          </m:f>
        </m:oMath>
      </m:oMathPara>
    </w:p>
    <w:p>
      <w:pPr>
        <w:pStyle w:val="EquationNumber"/>
      </w:pPr>
      <w:r>
        <w:t>（4-34）</w:t>
      </w:r>
    </w:p>
    <w:p>
      <w:pPr>
        <w:pStyle w:val="BodyText"/>
      </w:pPr>
      <w:r>
        <w:t xml:space="preserve">WUE主要用于企业/文献Benchmark、技术绩效比较和经验替代模型，不与机理冷却公式同时计算同一份现场水量。结构对照模型为：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e</m:t>
              </m:r>
              <m:r>
                <m:t>m</m:t>
              </m:r>
              <m:r>
                <m:t>p</m:t>
              </m:r>
            </m:sup>
          </m:sSubSup>
          <m:r>
            <m:rPr>
              <m:sty m:val="p"/>
            </m:rPr>
            <m:t>=</m:t>
          </m:r>
          <m:r>
            <m:t>W</m:t>
          </m:r>
          <m:r>
            <m:t>U</m:t>
          </m:r>
          <m:sSubSup>
            <m:e>
              <m:r>
                <m:t>E</m:t>
              </m:r>
            </m:e>
            <m:sub>
              <m:r>
                <m:t>j</m:t>
              </m:r>
              <m:r>
                <m:rPr>
                  <m:sty m:val="p"/>
                </m:rPr>
                <m:t>,</m:t>
              </m:r>
              <m:r>
                <m:t>t</m:t>
              </m:r>
            </m:sub>
            <m:sup>
              <m:r>
                <m:t>e</m:t>
              </m:r>
              <m:r>
                <m:t>m</m:t>
              </m:r>
              <m:r>
                <m:t>p</m:t>
              </m:r>
            </m:sup>
          </m:sSubSup>
          <m:sSubSup>
            <m:e>
              <m:r>
                <m:t>E</m:t>
              </m:r>
            </m:e>
            <m:sub>
              <m:r>
                <m:t>j</m:t>
              </m:r>
              <m:r>
                <m:rPr>
                  <m:sty m:val="p"/>
                </m:rPr>
                <m:t>,</m:t>
              </m:r>
              <m:r>
                <m:t>t</m:t>
              </m:r>
            </m:sub>
            <m:sup>
              <m:r>
                <m:t>I</m:t>
              </m:r>
              <m:r>
                <m:t>T</m:t>
              </m:r>
            </m:sup>
          </m:sSubSup>
        </m:oMath>
      </m:oMathPara>
    </w:p>
    <w:p>
      <w:pPr>
        <w:pStyle w:val="EquationNumber"/>
      </w:pPr>
      <w:r>
        <w:t>（4-35）</w:t>
      </w:r>
    </w:p>
    <w:p>
      <w:pPr>
        <w:pStyle w:val="BodyText"/>
      </w:pPr>
      <w:r>
        <w:t xml:space="preserve">机理模型与经验模型差异将作为结构不确定性的一部分报告。</w:t>
      </w:r>
    </w:p>
    <w:bookmarkEnd w:id="58"/>
    <w:bookmarkStart w:id="59" w:name="水质对coc的约束"/>
    <w:p>
      <w:pPr>
        <w:pStyle w:val="Heading2"/>
        <w:keepNext/>
        <w:keepLines/>
        <w:ind w:firstLine="0"/>
      </w:pPr>
      <w:r>
        <w:t xml:space="preserve">4.11 水质对CoC的约束</w:t>
      </w:r>
    </w:p>
    <w:p>
      <w:pPr>
        <w:pStyle w:val="FirstParagraph"/>
      </w:pPr>
      <w:r>
        <w:t xml:space="preserve">对于补水中水质指标</w:t>
      </w:r>
      <w:r>
        <w:t xml:space="preserve"> </w:t>
      </w:r>
      <m:oMath>
        <m:r>
          <m:t>i</m:t>
        </m:r>
      </m:oMath>
      <w:r>
        <w:t xml:space="preserve">，若循环水允许上限为</w:t>
      </w:r>
      <w:r>
        <w:t xml:space="preserve"> </w:t>
      </w:r>
      <m:oMath>
        <m:sSubSup>
          <m:e>
            <m:r>
              <m:t>C</m:t>
            </m:r>
          </m:e>
          <m:sub>
            <m:r>
              <m:t>i</m:t>
            </m:r>
          </m:sub>
          <m:sup>
            <m:r>
              <m:t>l</m:t>
            </m:r>
            <m:r>
              <m:t>i</m:t>
            </m:r>
            <m:r>
              <m:t>m</m:t>
            </m:r>
          </m:sup>
        </m:sSubSup>
      </m:oMath>
      <w:r>
        <w:t xml:space="preserve">，补水浓度为</w:t>
      </w:r>
      <w:r>
        <w:t xml:space="preserve"> </w:t>
      </w:r>
      <m:oMath>
        <m:sSubSup>
          <m:e>
            <m:r>
              <m:t>C</m:t>
            </m:r>
          </m:e>
          <m:sub>
            <m:r>
              <m:t>i</m:t>
            </m:r>
            <m:r>
              <m:rPr>
                <m:sty m:val="p"/>
              </m:rPr>
              <m:t>,</m:t>
            </m:r>
            <m:r>
              <m:t>t</m:t>
            </m:r>
          </m:sub>
          <m:sup>
            <m:r>
              <m:t>m</m:t>
            </m:r>
            <m:r>
              <m:t>a</m:t>
            </m:r>
            <m:r>
              <m:t>k</m:t>
            </m:r>
            <m:r>
              <m:t>e</m:t>
            </m:r>
            <m:r>
              <m:t>u</m:t>
            </m:r>
            <m:r>
              <m:t>p</m:t>
            </m:r>
          </m:sup>
        </m:sSubSup>
      </m:oMath>
      <w:r>
        <w:t xml:space="preserve">，则允许浓缩倍数：</w:t>
      </w:r>
    </w:p>
    <w:p>
      <w:pPr>
        <w:pStyle w:val="BodyText"/>
        <w:keepNext/>
        <w:spacing w:before="80" w:after="0"/>
        <w:ind w:firstLine="0"/>
        <w:jc w:val="center"/>
      </w:pPr>
      <m:oMathPara>
        <m:oMathParaPr>
          <m:jc m:val="center"/>
        </m:oMathParaPr>
        <m:oMath>
          <m:r>
            <m:t>C</m:t>
          </m:r>
          <m:r>
            <m:t>o</m:t>
          </m:r>
          <m:sSubSup>
            <m:e>
              <m:r>
                <m:t>C</m:t>
              </m:r>
            </m:e>
            <m:sub>
              <m:r>
                <m:t>i</m:t>
              </m:r>
              <m:r>
                <m:rPr>
                  <m:sty m:val="p"/>
                </m:rPr>
                <m:t>,</m:t>
              </m:r>
              <m:r>
                <m:t>t</m:t>
              </m:r>
            </m:sub>
            <m:sup>
              <m:r>
                <m:t>m</m:t>
              </m:r>
              <m:r>
                <m:t>a</m:t>
              </m:r>
              <m:r>
                <m:t>x</m:t>
              </m:r>
            </m:sup>
          </m:sSubSup>
          <m:r>
            <m:rPr>
              <m:sty m:val="p"/>
            </m:rPr>
            <m:t>=</m:t>
          </m:r>
          <m:f>
            <m:fPr>
              <m:type m:val="bar"/>
            </m:fPr>
            <m:num>
              <m:sSubSup>
                <m:e>
                  <m:r>
                    <m:t>C</m:t>
                  </m:r>
                </m:e>
                <m:sub>
                  <m:r>
                    <m:t>i</m:t>
                  </m:r>
                </m:sub>
                <m:sup>
                  <m:r>
                    <m:t>l</m:t>
                  </m:r>
                  <m:r>
                    <m:t>i</m:t>
                  </m:r>
                  <m:r>
                    <m:t>m</m:t>
                  </m:r>
                </m:sup>
              </m:sSubSup>
            </m:num>
            <m:den>
              <m:sSubSup>
                <m:e>
                  <m:r>
                    <m:t>C</m:t>
                  </m:r>
                </m:e>
                <m:sub>
                  <m:r>
                    <m:t>i</m:t>
                  </m:r>
                  <m:r>
                    <m:rPr>
                      <m:sty m:val="p"/>
                    </m:rPr>
                    <m:t>,</m:t>
                  </m:r>
                  <m:r>
                    <m:t>t</m:t>
                  </m:r>
                </m:sub>
                <m:sup>
                  <m:r>
                    <m:t>m</m:t>
                  </m:r>
                  <m:r>
                    <m:t>a</m:t>
                  </m:r>
                  <m:r>
                    <m:t>k</m:t>
                  </m:r>
                  <m:r>
                    <m:t>e</m:t>
                  </m:r>
                  <m:r>
                    <m:t>u</m:t>
                  </m:r>
                  <m:r>
                    <m:t>p</m:t>
                  </m:r>
                </m:sup>
              </m:sSubSup>
            </m:den>
          </m:f>
        </m:oMath>
      </m:oMathPara>
    </w:p>
    <w:p>
      <w:pPr>
        <w:pStyle w:val="EquationNumber"/>
      </w:pPr>
      <w:r>
        <w:t>（4-36）</w:t>
      </w:r>
    </w:p>
    <w:p>
      <w:pPr>
        <w:pStyle w:val="BodyText"/>
      </w:pPr>
      <w:r>
        <w:t xml:space="preserve">实际运行CoC取设计值和各水质限制的最小值：</w:t>
      </w:r>
    </w:p>
    <w:p>
      <w:pPr>
        <w:pStyle w:val="BodyText"/>
        <w:keepNext/>
        <w:spacing w:before="80" w:after="0"/>
        <w:ind w:firstLine="0"/>
        <w:jc w:val="center"/>
      </w:pPr>
      <m:oMathPara>
        <m:oMathParaPr>
          <m:jc m:val="center"/>
        </m:oMathParaPr>
        <m:oMath>
          <m:r>
            <m:t>C</m:t>
          </m:r>
          <m:r>
            <m:t>o</m:t>
          </m:r>
          <m:sSub>
            <m:e>
              <m:r>
                <m:t>C</m:t>
              </m:r>
            </m:e>
            <m:sub>
              <m:r>
                <m:t>j</m:t>
              </m:r>
              <m:r>
                <m:rPr>
                  <m:sty m:val="p"/>
                </m:rPr>
                <m:t>,</m:t>
              </m:r>
              <m:r>
                <m:t>t</m:t>
              </m:r>
            </m:sub>
          </m:sSub>
          <m:r>
            <m:rPr>
              <m:sty m:val="p"/>
            </m:rPr>
            <m:t>=</m:t>
          </m:r>
          <m:r>
            <m:rPr>
              <m:sty m:val="p"/>
            </m:rPr>
            <m:t>min</m:t>
          </m:r>
          <m:d>
            <m:dPr>
              <m:begChr m:val="("/>
              <m:endChr m:val=")"/>
              <m:sepChr m:val=""/>
              <m:grow/>
            </m:dPr>
            <m:e>
              <m:r>
                <m:t>C</m:t>
              </m:r>
              <m:r>
                <m:t>o</m:t>
              </m:r>
              <m:sSubSup>
                <m:e>
                  <m:r>
                    <m:t>C</m:t>
                  </m:r>
                </m:e>
                <m:sub>
                  <m:r>
                    <m:t>j</m:t>
                  </m:r>
                </m:sub>
                <m:sup>
                  <m:r>
                    <m:t>d</m:t>
                  </m:r>
                  <m:r>
                    <m:t>e</m:t>
                  </m:r>
                  <m:r>
                    <m:t>s</m:t>
                  </m:r>
                  <m:r>
                    <m:t>i</m:t>
                  </m:r>
                  <m:r>
                    <m:t>g</m:t>
                  </m:r>
                  <m:r>
                    <m:t>n</m:t>
                  </m:r>
                </m:sup>
              </m:sSubSup>
              <m:r>
                <m:rPr>
                  <m:sty m:val="p"/>
                </m:rPr>
                <m:t>,</m:t>
              </m:r>
              <m:r>
                <m:t>C</m:t>
              </m:r>
              <m:r>
                <m:t>o</m:t>
              </m:r>
              <m:sSubSup>
                <m:e>
                  <m:r>
                    <m:t>C</m:t>
                  </m:r>
                </m:e>
                <m:sub>
                  <m:r>
                    <m:t>1</m:t>
                  </m:r>
                  <m:r>
                    <m:rPr>
                      <m:sty m:val="p"/>
                    </m:rPr>
                    <m:t>,</m:t>
                  </m:r>
                  <m:r>
                    <m:t>t</m:t>
                  </m:r>
                </m:sub>
                <m:sup>
                  <m:r>
                    <m:t>m</m:t>
                  </m:r>
                  <m:r>
                    <m:t>a</m:t>
                  </m:r>
                  <m:r>
                    <m:t>x</m:t>
                  </m:r>
                </m:sup>
              </m:sSubSup>
              <m:r>
                <m:rPr>
                  <m:sty m:val="p"/>
                </m:rPr>
                <m:t>,</m:t>
              </m:r>
              <m:r>
                <m:rPr>
                  <m:sty m:val="p"/>
                </m:rPr>
                <m:t>…</m:t>
              </m:r>
              <m:r>
                <m:rPr>
                  <m:sty m:val="p"/>
                </m:rPr>
                <m:t>,</m:t>
              </m:r>
              <m:r>
                <m:t>C</m:t>
              </m:r>
              <m:r>
                <m:t>o</m:t>
              </m:r>
              <m:sSubSup>
                <m:e>
                  <m:r>
                    <m:t>C</m:t>
                  </m:r>
                </m:e>
                <m:sub>
                  <m:r>
                    <m:t>n</m:t>
                  </m:r>
                  <m:r>
                    <m:rPr>
                      <m:sty m:val="p"/>
                    </m:rPr>
                    <m:t>,</m:t>
                  </m:r>
                  <m:r>
                    <m:t>t</m:t>
                  </m:r>
                </m:sub>
                <m:sup>
                  <m:r>
                    <m:t>m</m:t>
                  </m:r>
                  <m:r>
                    <m:t>a</m:t>
                  </m:r>
                  <m:r>
                    <m:t>x</m:t>
                  </m:r>
                </m:sup>
              </m:sSubSup>
            </m:e>
          </m:d>
        </m:oMath>
      </m:oMathPara>
    </w:p>
    <w:p>
      <w:pPr>
        <w:pStyle w:val="EquationNumber"/>
      </w:pPr>
      <w:r>
        <w:t>（4-37）</w:t>
      </w:r>
    </w:p>
    <w:p>
      <w:pPr>
        <w:pStyle w:val="BodyText"/>
      </w:pPr>
      <w:r>
        <w:t xml:space="preserve">当缺少可辨识水质数据时，不强行运行复杂水化学模型，而采用技术/水源条件化的CoC范围；如果CoC不确定性导致CAWCC结果不可辨识，则把它识别为数据需求而非输出虚假精确结论。</w:t>
      </w:r>
    </w:p>
    <w:bookmarkEnd w:id="59"/>
    <w:bookmarkStart w:id="60" w:name="ai水源配置与供需缺口"/>
    <w:p>
      <w:pPr>
        <w:pStyle w:val="Heading2"/>
        <w:keepNext/>
        <w:keepLines/>
        <w:ind w:firstLine="0"/>
      </w:pPr>
      <w:r>
        <w:t xml:space="preserve">4.12 AI水源配置与供需缺口</w:t>
      </w:r>
    </w:p>
    <w:p>
      <w:pPr>
        <w:pStyle w:val="FirstParagraph"/>
      </w:pPr>
      <w:r>
        <w:t xml:space="preserve">设AI目标再生水份额为</w:t>
      </w:r>
      <w:r>
        <w:t xml:space="preserve"> </w:t>
      </w:r>
      <m:oMath>
        <m:sSubSup>
          <m:e>
            <m:r>
              <m:t>α</m:t>
            </m:r>
          </m:e>
          <m:sub>
            <m:r>
              <m:t>j</m:t>
            </m:r>
            <m:r>
              <m:rPr>
                <m:sty m:val="p"/>
              </m:rPr>
              <m:t>,</m:t>
            </m:r>
            <m:r>
              <m:t>t</m:t>
            </m:r>
          </m:sub>
          <m:sup>
            <m:r>
              <m:t>r</m:t>
            </m:r>
            <m:r>
              <m:t>e</m:t>
            </m:r>
            <m:r>
              <m:t>c</m:t>
            </m:r>
          </m:sup>
        </m:sSubSup>
      </m:oMath>
      <w:r>
        <w:t xml:space="preserve">：</w:t>
      </w:r>
    </w:p>
    <w:p>
      <w:pPr>
        <w:pStyle w:val="BodyText"/>
        <w:keepNext/>
        <w:spacing w:before="80" w:after="0"/>
        <w:ind w:firstLine="0"/>
        <w:jc w:val="center"/>
      </w:pPr>
      <m:oMathPara>
        <m:oMathParaPr>
          <m:jc m:val="center"/>
        </m:oMathParaPr>
        <m:oMath>
          <m:sSubSup>
            <m:e>
              <m:r>
                <m:t>W</m:t>
              </m:r>
            </m:e>
            <m:sub>
              <m:r>
                <m:t>j</m:t>
              </m:r>
              <m:r>
                <m:rPr>
                  <m:sty m:val="p"/>
                </m:rPr>
                <m:t>,</m:t>
              </m:r>
              <m:r>
                <m:t>t</m:t>
              </m:r>
            </m:sub>
            <m:sup>
              <m:r>
                <m:t>r</m:t>
              </m:r>
              <m:r>
                <m:t>e</m:t>
              </m:r>
              <m:r>
                <m:t>c</m:t>
              </m:r>
            </m:sup>
          </m:sSubSup>
          <m:r>
            <m:rPr>
              <m:sty m:val="p"/>
            </m:rPr>
            <m:t>=</m:t>
          </m:r>
          <m:r>
            <m:rPr>
              <m:sty m:val="p"/>
            </m:rPr>
            <m:t>min</m:t>
          </m:r>
          <m:d>
            <m:dPr>
              <m:begChr m:val="["/>
              <m:endChr m:val="]"/>
              <m:sepChr m:val=""/>
              <m:grow/>
            </m:dPr>
            <m:e>
              <m:sSubSup>
                <m:e>
                  <m:r>
                    <m:t>α</m:t>
                  </m:r>
                </m:e>
                <m:sub>
                  <m:r>
                    <m:t>j</m:t>
                  </m:r>
                  <m:r>
                    <m:rPr>
                      <m:sty m:val="p"/>
                    </m:rPr>
                    <m:t>,</m:t>
                  </m:r>
                  <m:r>
                    <m:t>t</m:t>
                  </m:r>
                </m:sub>
                <m:sup>
                  <m:r>
                    <m:t>r</m:t>
                  </m:r>
                  <m:r>
                    <m:t>e</m:t>
                  </m:r>
                  <m:r>
                    <m:t>c</m:t>
                  </m:r>
                </m:sup>
              </m:sSubSup>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Q</m:t>
                  </m:r>
                </m:e>
                <m:sub>
                  <m:r>
                    <m:t>t</m:t>
                  </m:r>
                </m:sub>
                <m:sup>
                  <m:r>
                    <m:t>r</m:t>
                  </m:r>
                  <m:r>
                    <m:t>e</m:t>
                  </m:r>
                  <m:r>
                    <m:t>c</m:t>
                  </m:r>
                  <m:r>
                    <m:rPr>
                      <m:sty m:val="p"/>
                    </m:rPr>
                    <m:t>,</m:t>
                  </m:r>
                  <m:r>
                    <m:t>a</m:t>
                  </m:r>
                  <m:r>
                    <m:t>v</m:t>
                  </m:r>
                  <m:r>
                    <m:t>a</m:t>
                  </m:r>
                  <m:r>
                    <m:t>i</m:t>
                  </m:r>
                  <m:r>
                    <m:t>l</m:t>
                  </m:r>
                  <m:r>
                    <m:rPr>
                      <m:sty m:val="p"/>
                    </m:rPr>
                    <m:t>,</m:t>
                  </m:r>
                  <m:r>
                    <m:t>A</m:t>
                  </m:r>
                  <m:r>
                    <m:t>I</m:t>
                  </m:r>
                </m:sup>
              </m:sSubSup>
            </m:e>
          </m:d>
        </m:oMath>
      </m:oMathPara>
    </w:p>
    <w:p>
      <w:pPr>
        <w:pStyle w:val="EquationNumber"/>
      </w:pPr>
      <w:r>
        <w:t>（4-38）</w:t>
      </w:r>
    </w:p>
    <w:p>
      <w:pPr>
        <w:pStyle w:val="BodyText"/>
      </w:pPr>
      <w:r>
        <w:t xml:space="preserve">剩余需求在允许的政策情景下由市政淡水或其他水源补足：</w:t>
      </w:r>
    </w:p>
    <w:p>
      <w:pPr>
        <w:pStyle w:val="BodyText"/>
        <w:keepNext/>
        <w:spacing w:before="80" w:after="0"/>
        <w:ind w:firstLine="0"/>
        <w:jc w:val="center"/>
      </w:pPr>
      <m:oMathPara>
        <m:oMathParaPr>
          <m:jc m:val="center"/>
        </m:oMathParaPr>
        <m:oMath>
          <m:sSubSup>
            <m:e>
              <m:r>
                <m:t>W</m:t>
              </m:r>
            </m:e>
            <m:sub>
              <m:r>
                <m:t>j</m:t>
              </m:r>
              <m:r>
                <m:rPr>
                  <m:sty m:val="p"/>
                </m:rPr>
                <m:t>,</m:t>
              </m:r>
              <m:r>
                <m:t>t</m:t>
              </m:r>
            </m:sub>
            <m:sup>
              <m:r>
                <m:t>p</m:t>
              </m:r>
              <m:r>
                <m:t>o</m:t>
              </m:r>
              <m:r>
                <m:t>t</m:t>
              </m:r>
            </m:sup>
          </m:sSubSup>
          <m:r>
            <m:rPr>
              <m:sty m:val="p"/>
            </m:rPr>
            <m:t>=</m:t>
          </m:r>
          <m:r>
            <m:rPr>
              <m:sty m:val="p"/>
            </m:rPr>
            <m:t>min</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Q</m:t>
                  </m:r>
                </m:e>
                <m:sub>
                  <m:r>
                    <m:t>t</m:t>
                  </m:r>
                </m:sub>
                <m:sup>
                  <m:r>
                    <m:t>p</m:t>
                  </m:r>
                  <m:r>
                    <m:t>o</m:t>
                  </m:r>
                  <m:r>
                    <m:t>t</m:t>
                  </m:r>
                  <m:r>
                    <m:rPr>
                      <m:sty m:val="p"/>
                    </m:rPr>
                    <m:t>,</m:t>
                  </m:r>
                  <m:r>
                    <m:t>a</m:t>
                  </m:r>
                  <m:r>
                    <m:t>v</m:t>
                  </m:r>
                  <m:r>
                    <m:t>a</m:t>
                  </m:r>
                  <m:r>
                    <m:t>i</m:t>
                  </m:r>
                  <m:r>
                    <m:t>l</m:t>
                  </m:r>
                </m:sup>
              </m:sSubSup>
            </m:e>
          </m:d>
        </m:oMath>
      </m:oMathPara>
    </w:p>
    <w:p>
      <w:pPr>
        <w:pStyle w:val="EquationNumber"/>
      </w:pPr>
      <w:r>
        <w:t>（4-39）</w:t>
      </w:r>
    </w:p>
    <w:p>
      <w:pPr>
        <w:pStyle w:val="BodyText"/>
      </w:pPr>
      <w:r>
        <w:t xml:space="preserve">最终AI未满足水需求为：</w:t>
      </w:r>
    </w:p>
    <w:p>
      <w:pPr>
        <w:pStyle w:val="BodyText"/>
        <w:keepNext/>
        <w:spacing w:before="80" w:after="0"/>
        <w:ind w:firstLine="0"/>
        <w:jc w:val="center"/>
      </w:pPr>
      <m:oMathPara>
        <m:oMathParaPr>
          <m:jc m:val="center"/>
        </m:oMathParaPr>
        <m:oMath>
          <m:sSubSup>
            <m:e>
              <m:r>
                <m:t>U</m:t>
              </m:r>
            </m:e>
            <m:sub>
              <m:r>
                <m:t>j</m:t>
              </m:r>
              <m:r>
                <m:rPr>
                  <m:sty m:val="p"/>
                </m:rPr>
                <m:t>,</m:t>
              </m:r>
              <m:r>
                <m:t>t</m:t>
              </m:r>
            </m:sub>
            <m:sup>
              <m:r>
                <m:t>A</m:t>
              </m:r>
              <m:r>
                <m:t>I</m:t>
              </m:r>
            </m:sup>
          </m:sSubSup>
          <m:r>
            <m:rPr>
              <m:sty m:val="p"/>
            </m:rPr>
            <m:t>=</m:t>
          </m:r>
          <m:r>
            <m:rPr>
              <m:sty m:val="p"/>
            </m:rPr>
            <m:t>max</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W</m:t>
                  </m:r>
                </m:e>
                <m:sub>
                  <m:r>
                    <m:t>j</m:t>
                  </m:r>
                  <m:r>
                    <m:rPr>
                      <m:sty m:val="p"/>
                    </m:rPr>
                    <m:t>,</m:t>
                  </m:r>
                  <m:r>
                    <m:t>t</m:t>
                  </m:r>
                </m:sub>
                <m:sup>
                  <m:r>
                    <m:t>p</m:t>
                  </m:r>
                  <m:r>
                    <m:t>o</m:t>
                  </m:r>
                  <m:r>
                    <m:t>t</m:t>
                  </m:r>
                </m:sup>
              </m:sSubSup>
              <m:r>
                <m:rPr>
                  <m:sty m:val="p"/>
                </m:rPr>
                <m:t>−</m:t>
              </m:r>
              <m:sSubSup>
                <m:e>
                  <m:r>
                    <m:t>W</m:t>
                  </m:r>
                </m:e>
                <m:sub>
                  <m:r>
                    <m:t>j</m:t>
                  </m:r>
                  <m:r>
                    <m:rPr>
                      <m:sty m:val="p"/>
                    </m:rPr>
                    <m:t>,</m:t>
                  </m:r>
                  <m:r>
                    <m:t>t</m:t>
                  </m:r>
                </m:sub>
                <m:sup>
                  <m:r>
                    <m:t>a</m:t>
                  </m:r>
                  <m:r>
                    <m:t>l</m:t>
                  </m:r>
                  <m:r>
                    <m:t>t</m:t>
                  </m:r>
                </m:sup>
              </m:sSubSup>
              <m:r>
                <m:rPr>
                  <m:sty m:val="p"/>
                </m:rPr>
                <m:t>,</m:t>
              </m:r>
              <m:r>
                <m:t>0</m:t>
              </m:r>
            </m:e>
          </m:d>
        </m:oMath>
      </m:oMathPara>
    </w:p>
    <w:p>
      <w:pPr>
        <w:pStyle w:val="EquationNumber"/>
      </w:pPr>
      <w:r>
        <w:t>（4-40）</w:t>
      </w:r>
    </w:p>
    <w:p>
      <w:pPr>
        <w:pStyle w:val="BodyText"/>
      </w:pPr>
      <w:r>
        <w:t xml:space="preserve">由此，高比例再生水只是“目标策略”，而不是模型强制实现的结果。</w:t>
      </w:r>
    </w:p>
    <w:bookmarkEnd w:id="60"/>
    <w:bookmarkStart w:id="61" w:name="缺水条件下的部门分配"/>
    <w:p>
      <w:pPr>
        <w:pStyle w:val="Heading2"/>
        <w:keepNext/>
        <w:keepLines/>
        <w:ind w:firstLine="0"/>
      </w:pPr>
      <w:r>
        <w:t xml:space="preserve">4.13 缺水条件下的部门分配</w:t>
      </w:r>
    </w:p>
    <w:p>
      <w:pPr>
        <w:pStyle w:val="FirstParagraph"/>
      </w:pPr>
      <w:r>
        <w:t xml:space="preserve">当可供水量小于总需求时，设用户</w:t>
      </w:r>
      <w:r>
        <w:t xml:space="preserve"> </w:t>
      </w:r>
      <m:oMath>
        <m:r>
          <m:t>u</m:t>
        </m:r>
      </m:oMath>
      <w:r>
        <w:t xml:space="preserve"> </w:t>
      </w:r>
      <w:r>
        <w:t xml:space="preserve">实际分配量为</w:t>
      </w:r>
      <w:r>
        <w:t xml:space="preserve"> </w:t>
      </w:r>
      <m:oMath>
        <m:sSub>
          <m:e>
            <m:r>
              <m:t>x</m:t>
            </m:r>
          </m:e>
          <m:sub>
            <m:r>
              <m:t>u</m:t>
            </m:r>
            <m:r>
              <m:rPr>
                <m:sty m:val="p"/>
              </m:rPr>
              <m:t>,</m:t>
            </m:r>
            <m:r>
              <m:t>t</m:t>
            </m:r>
          </m:sub>
        </m:sSub>
      </m:oMath>
      <w:r>
        <w:t xml:space="preserve">：</w:t>
      </w:r>
    </w:p>
    <w:p>
      <w:pPr>
        <w:pStyle w:val="BodyText"/>
        <w:keepNext/>
        <w:spacing w:before="80" w:after="0"/>
        <w:ind w:firstLine="0"/>
        <w:jc w:val="center"/>
      </w:pPr>
      <m:oMathPara>
        <m:oMathParaPr>
          <m:jc m:val="center"/>
        </m:oMathParaPr>
        <m:oMath>
          <m:r>
            <m:t>0</m:t>
          </m:r>
          <m:r>
            <m:rPr>
              <m:sty m:val="p"/>
            </m:rPr>
            <m:t>≤</m:t>
          </m:r>
          <m:sSub>
            <m:e>
              <m:r>
                <m:t>x</m:t>
              </m:r>
            </m:e>
            <m:sub>
              <m:r>
                <m:t>u</m:t>
              </m:r>
              <m:r>
                <m:rPr>
                  <m:sty m:val="p"/>
                </m:rPr>
                <m:t>,</m:t>
              </m:r>
              <m:r>
                <m:t>t</m:t>
              </m:r>
            </m:sub>
          </m:sSub>
          <m:r>
            <m:rPr>
              <m:sty m:val="p"/>
            </m:rPr>
            <m:t>≤</m:t>
          </m:r>
          <m:sSub>
            <m:e>
              <m:r>
                <m:t>D</m:t>
              </m:r>
            </m:e>
            <m:sub>
              <m:r>
                <m:t>u</m:t>
              </m:r>
              <m:r>
                <m:rPr>
                  <m:sty m:val="p"/>
                </m:rPr>
                <m:t>,</m:t>
              </m:r>
              <m:r>
                <m:t>t</m:t>
              </m:r>
            </m:sub>
          </m:sSub>
          <m:r>
            <m:rPr>
              <m:sty m:val="p"/>
            </m:rPr>
            <m:t>,</m:t>
          </m:r>
          <m:r>
            <m:t>  </m:t>
          </m:r>
          <m:nary>
            <m:naryPr>
              <m:chr m:val="∑"/>
              <m:limLoc m:val="undOvr"/>
              <m:subHide m:val="off"/>
              <m:supHide m:val="on"/>
            </m:naryPr>
            <m:sub>
              <m:r>
                <m:t>u</m:t>
              </m:r>
            </m:sub>
            <m:sup>
              <m:r>
                <m:t>​</m:t>
              </m:r>
            </m:sup>
            <m:e>
              <m:sSub>
                <m:e>
                  <m:r>
                    <m:t>x</m:t>
                  </m:r>
                </m:e>
                <m:sub>
                  <m:r>
                    <m:t>u</m:t>
                  </m:r>
                  <m:r>
                    <m:rPr>
                      <m:sty m:val="p"/>
                    </m:rPr>
                    <m:t>,</m:t>
                  </m:r>
                  <m:r>
                    <m:t>t</m:t>
                  </m:r>
                </m:sub>
              </m:sSub>
            </m:e>
          </m:nary>
          <m:r>
            <m:rPr>
              <m:sty m:val="p"/>
            </m:rPr>
            <m:t>≤</m:t>
          </m:r>
          <m:sSubSup>
            <m:e>
              <m:r>
                <m:t>Q</m:t>
              </m:r>
            </m:e>
            <m:sub>
              <m:r>
                <m:t>t</m:t>
              </m:r>
            </m:sub>
            <m:sup>
              <m:r>
                <m:t>a</m:t>
              </m:r>
              <m:r>
                <m:t>v</m:t>
              </m:r>
              <m:r>
                <m:t>a</m:t>
              </m:r>
              <m:r>
                <m:t>i</m:t>
              </m:r>
              <m:r>
                <m:t>l</m:t>
              </m:r>
            </m:sup>
          </m:sSubSup>
        </m:oMath>
      </m:oMathPara>
    </w:p>
    <w:p>
      <w:pPr>
        <w:pStyle w:val="EquationNumber"/>
      </w:pPr>
      <w:r>
        <w:t>（4-41）</w:t>
      </w:r>
    </w:p>
    <w:p>
      <w:pPr>
        <w:pStyle w:val="BodyText"/>
      </w:pPr>
      <w:r>
        <w:t xml:space="preserve">可通过不同政策权重求解：</w:t>
      </w:r>
    </w:p>
    <w:p>
      <w:pPr>
        <w:pStyle w:val="BodyText"/>
        <w:keepNext/>
        <w:spacing w:before="80" w:after="0"/>
        <w:ind w:firstLine="0"/>
        <w:jc w:val="center"/>
      </w:pPr>
      <m:oMathPara>
        <m:oMathParaPr>
          <m:jc m:val="center"/>
        </m:oMathParaPr>
        <m:oMath>
          <m:limLow>
            <m:e>
              <m:r>
                <m:rPr>
                  <m:sty m:val="p"/>
                </m:rPr>
                <m:t>min</m:t>
              </m:r>
            </m:e>
            <m:lim>
              <m:sSub>
                <m:e>
                  <m:r>
                    <m:rPr>
                      <m:sty m:val="b"/>
                    </m:rPr>
                    <m:t>x</m:t>
                  </m:r>
                </m:e>
                <m:sub>
                  <m:r>
                    <m:t>t</m:t>
                  </m:r>
                </m:sub>
              </m:sSub>
            </m:lim>
          </m:limLow>
          <m:nary>
            <m:naryPr>
              <m:chr m:val="∑"/>
              <m:limLoc m:val="undOvr"/>
              <m:subHide m:val="off"/>
              <m:supHide m:val="on"/>
            </m:naryPr>
            <m:sub>
              <m:r>
                <m:t>u</m:t>
              </m:r>
            </m:sub>
            <m:sup>
              <m:r>
                <m:t>​</m:t>
              </m:r>
            </m:sup>
            <m:e>
              <m:sSub>
                <m:e>
                  <m:r>
                    <m:t>ω</m:t>
                  </m:r>
                </m:e>
                <m:sub>
                  <m:r>
                    <m:t>u</m:t>
                  </m:r>
                </m:sub>
              </m:sSub>
            </m:e>
          </m:nary>
          <m:sSup>
            <m:e>
              <m:d>
                <m:dPr>
                  <m:begChr m:val="("/>
                  <m:endChr m:val=")"/>
                  <m:sepChr m:val=""/>
                  <m:grow/>
                </m:dPr>
                <m:e>
                  <m:sSub>
                    <m:e>
                      <m:r>
                        <m:t>D</m:t>
                      </m:r>
                    </m:e>
                    <m:sub>
                      <m:r>
                        <m:t>u</m:t>
                      </m:r>
                      <m:r>
                        <m:rPr>
                          <m:sty m:val="p"/>
                        </m:rPr>
                        <m:t>,</m:t>
                      </m:r>
                      <m:r>
                        <m:t>t</m:t>
                      </m:r>
                    </m:sub>
                  </m:sSub>
                  <m:r>
                    <m:rPr>
                      <m:sty m:val="p"/>
                    </m:rPr>
                    <m:t>−</m:t>
                  </m:r>
                  <m:sSub>
                    <m:e>
                      <m:r>
                        <m:t>x</m:t>
                      </m:r>
                    </m:e>
                    <m:sub>
                      <m:r>
                        <m:t>u</m:t>
                      </m:r>
                      <m:r>
                        <m:rPr>
                          <m:sty m:val="p"/>
                        </m:rPr>
                        <m:t>,</m:t>
                      </m:r>
                      <m:r>
                        <m:t>t</m:t>
                      </m:r>
                    </m:sub>
                  </m:sSub>
                </m:e>
              </m:d>
            </m:e>
            <m:sup>
              <m:r>
                <m:t>2</m:t>
              </m:r>
            </m:sup>
          </m:sSup>
        </m:oMath>
      </m:oMathPara>
    </w:p>
    <w:p>
      <w:pPr>
        <w:pStyle w:val="EquationNumber"/>
      </w:pPr>
      <w:r>
        <w:t>（4-42）</w:t>
      </w:r>
    </w:p>
    <w:p>
      <w:pPr>
        <w:pStyle w:val="BodyText"/>
      </w:pPr>
      <w:r>
        <w:t xml:space="preserve">不同</w:t>
      </w:r>
      <w:r>
        <w:t xml:space="preserve"> </w:t>
      </w:r>
      <m:oMath>
        <m:sSub>
          <m:e>
            <m:r>
              <m:t>ω</m:t>
            </m:r>
          </m:e>
          <m:sub>
            <m:r>
              <m:t>u</m:t>
            </m:r>
          </m:sub>
        </m:sSub>
      </m:oMath>
      <w:r>
        <w:t xml:space="preserve"> </w:t>
      </w:r>
      <w:r>
        <w:t xml:space="preserve">表示民生优先、同比例削减或战略产业保障等政策情景。模型因此不预设“AI一定挤占居民用水”，而将资源分配规则作为显式政策变量。</w:t>
      </w:r>
    </w:p>
    <w:bookmarkEnd w:id="61"/>
    <w:bookmarkStart w:id="62" w:name="间接电力水足迹与本地水流边界"/>
    <w:p>
      <w:pPr>
        <w:pStyle w:val="Heading2"/>
        <w:keepNext/>
        <w:keepLines/>
        <w:ind w:firstLine="0"/>
      </w:pPr>
      <w:r>
        <w:t xml:space="preserve">4.14 间接电力水足迹与本地水流边界</w:t>
      </w:r>
    </w:p>
    <w:p>
      <w:pPr>
        <w:pStyle w:val="FirstParagraph"/>
      </w:pPr>
      <w:r>
        <w:t xml:space="preserve">设电源类型</w:t>
      </w:r>
      <w:r>
        <w:t xml:space="preserve"> </w:t>
      </w:r>
      <m:oMath>
        <m:r>
          <m:t>m</m:t>
        </m:r>
      </m:oMath>
      <w:r>
        <w:t xml:space="preserve"> </w:t>
      </w:r>
      <w:r>
        <w:t xml:space="preserve">的供电比例为</w:t>
      </w:r>
      <w:r>
        <w:t xml:space="preserve"> </w:t>
      </w:r>
      <m:oMath>
        <m:sSub>
          <m:e>
            <m:r>
              <m:t>s</m:t>
            </m:r>
          </m:e>
          <m:sub>
            <m:r>
              <m:t>m</m:t>
            </m:r>
            <m:r>
              <m:rPr>
                <m:sty m:val="p"/>
              </m:rPr>
              <m:t>,</m:t>
            </m:r>
            <m:r>
              <m:t>t</m:t>
            </m:r>
          </m:sub>
        </m:sSub>
      </m:oMath>
      <w:r>
        <w:t xml:space="preserve">，单位发电耗水强度为</w:t>
      </w:r>
      <w:r>
        <w:t xml:space="preserve"> </w:t>
      </w:r>
      <m:oMath>
        <m:sSub>
          <m:e>
            <m:r>
              <m:t>γ</m:t>
            </m:r>
          </m:e>
          <m:sub>
            <m:r>
              <m:t>m</m:t>
            </m:r>
          </m:sub>
        </m:sSub>
      </m:oMath>
      <w:r>
        <w:t xml:space="preserve">：</w:t>
      </w:r>
    </w:p>
    <w:p>
      <w:pPr>
        <w:pStyle w:val="BodyText"/>
        <w:keepNext/>
        <w:spacing w:before="80" w:after="0"/>
        <w:ind w:firstLine="0"/>
        <w:jc w:val="center"/>
      </w:pPr>
      <m:oMathPara>
        <m:oMathParaPr>
          <m:jc m:val="center"/>
        </m:oMathParaPr>
        <m:oMath>
          <m:nary>
            <m:naryPr>
              <m:chr m:val="∑"/>
              <m:limLoc m:val="undOvr"/>
              <m:subHide m:val="off"/>
              <m:supHide m:val="on"/>
            </m:naryPr>
            <m:sub>
              <m:r>
                <m:t>m</m:t>
              </m:r>
            </m:sub>
            <m:sup>
              <m:r>
                <m:t>​</m:t>
              </m:r>
            </m:sup>
            <m:e>
              <m:sSub>
                <m:e>
                  <m:r>
                    <m:t>s</m:t>
                  </m:r>
                </m:e>
                <m:sub>
                  <m:r>
                    <m:t>m</m:t>
                  </m:r>
                  <m:r>
                    <m:rPr>
                      <m:sty m:val="p"/>
                    </m:rPr>
                    <m:t>,</m:t>
                  </m:r>
                  <m:r>
                    <m:t>t</m:t>
                  </m:r>
                </m:sub>
              </m:sSub>
            </m:e>
          </m:nary>
          <m:r>
            <m:rPr>
              <m:sty m:val="p"/>
            </m:rPr>
            <m:t>=</m:t>
          </m:r>
          <m:r>
            <m:t>1</m:t>
          </m:r>
        </m:oMath>
      </m:oMathPara>
    </w:p>
    <w:p>
      <w:pPr>
        <w:pStyle w:val="EquationNumber"/>
      </w:pPr>
      <w:r>
        <w:t>（4-43）</w:t>
      </w:r>
    </w:p>
    <w:p>
      <w:pPr>
        <w:pStyle w:val="BodyText"/>
        <w:keepNext/>
        <w:spacing w:before="80" w:after="0"/>
        <w:ind w:firstLine="0"/>
        <w:jc w:val="center"/>
      </w:pPr>
      <m:oMathPara>
        <m:oMathParaPr>
          <m:jc m:val="center"/>
        </m:oMathParaPr>
        <m:oMath>
          <m:r>
            <m:t>W</m:t>
          </m:r>
          <m:sSubSup>
            <m:e>
              <m:r>
                <m:t>F</m:t>
              </m:r>
            </m:e>
            <m:sub>
              <m:r>
                <m:t>j</m:t>
              </m:r>
              <m:r>
                <m:rPr>
                  <m:sty m:val="p"/>
                </m:rPr>
                <m:t>,</m:t>
              </m:r>
              <m:r>
                <m:t>t</m:t>
              </m:r>
            </m:sub>
            <m:sup>
              <m:r>
                <m:t>i</m:t>
              </m:r>
              <m:r>
                <m:t>n</m:t>
              </m:r>
              <m:r>
                <m:t>d</m:t>
              </m:r>
            </m:sup>
          </m:sSubSup>
          <m:r>
            <m:rPr>
              <m:sty m:val="p"/>
            </m:rPr>
            <m:t>=</m:t>
          </m:r>
          <m:sSubSup>
            <m:e>
              <m:r>
                <m:t>E</m:t>
              </m:r>
            </m:e>
            <m:sub>
              <m:r>
                <m:t>j</m:t>
              </m:r>
              <m:r>
                <m:rPr>
                  <m:sty m:val="p"/>
                </m:rPr>
                <m:t>,</m:t>
              </m:r>
              <m:r>
                <m:t>t</m:t>
              </m:r>
            </m:sub>
            <m:sup>
              <m:r>
                <m:t>f</m:t>
              </m:r>
              <m:r>
                <m:t>a</m:t>
              </m:r>
              <m:r>
                <m:t>c</m:t>
              </m:r>
              <m:r>
                <m:t>i</m:t>
              </m:r>
              <m:r>
                <m:t>l</m:t>
              </m:r>
              <m:r>
                <m:t>i</m:t>
              </m:r>
              <m:r>
                <m:t>t</m:t>
              </m:r>
              <m:r>
                <m:t>y</m:t>
              </m:r>
            </m:sup>
          </m:sSubSup>
          <m:nary>
            <m:naryPr>
              <m:chr m:val="∑"/>
              <m:limLoc m:val="undOvr"/>
              <m:subHide m:val="off"/>
              <m:supHide m:val="on"/>
            </m:naryPr>
            <m:sub>
              <m:r>
                <m:t>m</m:t>
              </m:r>
            </m:sub>
            <m:sup>
              <m:r>
                <m:t>​</m:t>
              </m:r>
            </m:sup>
            <m:e>
              <m:sSub>
                <m:e>
                  <m:r>
                    <m:t>s</m:t>
                  </m:r>
                </m:e>
                <m:sub>
                  <m:r>
                    <m:t>m</m:t>
                  </m:r>
                  <m:r>
                    <m:rPr>
                      <m:sty m:val="p"/>
                    </m:rPr>
                    <m:t>,</m:t>
                  </m:r>
                  <m:r>
                    <m:t>t</m:t>
                  </m:r>
                </m:sub>
              </m:sSub>
            </m:e>
          </m:nary>
          <m:sSub>
            <m:e>
              <m:r>
                <m:t>γ</m:t>
              </m:r>
            </m:e>
            <m:sub>
              <m:r>
                <m:t>m</m:t>
              </m:r>
            </m:sub>
          </m:sSub>
        </m:oMath>
      </m:oMathPara>
    </w:p>
    <w:p>
      <w:pPr>
        <w:pStyle w:val="EquationNumber"/>
      </w:pPr>
      <w:r>
        <w:t>（4-44）</w:t>
      </w:r>
    </w:p>
    <w:p>
      <w:pPr>
        <w:pStyle w:val="BodyText"/>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62"/>
    <w:bookmarkStart w:id="63" w:name="城市水系统能源与运营碳排放"/>
    <w:p>
      <w:pPr>
        <w:pStyle w:val="Heading2"/>
        <w:keepNext/>
        <w:keepLines/>
        <w:ind w:firstLine="0"/>
      </w:pPr>
      <w:r>
        <w:t xml:space="preserve">4.15 城市水系统能源与运营碳排放</w:t>
      </w:r>
    </w:p>
    <w:p>
      <w:pPr>
        <w:pStyle w:val="FirstParagraph"/>
      </w:pPr>
      <w:r>
        <w:t xml:space="preserve">设城市水系统过程</w:t>
      </w:r>
      <w:r>
        <w:t xml:space="preserve"> </w:t>
      </w:r>
      <m:oMath>
        <m:r>
          <m:t>k</m:t>
        </m:r>
      </m:oMath>
      <w:r>
        <w:t xml:space="preserve"> </w:t>
      </w:r>
      <w:r>
        <w:t xml:space="preserve">的单位能耗为</w:t>
      </w:r>
      <w:r>
        <w:t xml:space="preserve"> </w:t>
      </w:r>
      <m:oMath>
        <m:sSub>
          <m:e>
            <m:r>
              <m:t>ε</m:t>
            </m:r>
          </m:e>
          <m:sub>
            <m:r>
              <m:t>k</m:t>
            </m:r>
          </m:sub>
        </m:sSub>
      </m:oMath>
      <w:r>
        <w:t xml:space="preserve">，流量为</w:t>
      </w:r>
      <w:r>
        <w:t xml:space="preserve"> </w:t>
      </w:r>
      <m:oMath>
        <m:sSub>
          <m:e>
            <m:r>
              <m:t>Q</m:t>
            </m:r>
          </m:e>
          <m:sub>
            <m:r>
              <m:t>k</m:t>
            </m:r>
            <m:r>
              <m:rPr>
                <m:sty m:val="p"/>
              </m:rPr>
              <m:t>,</m:t>
            </m:r>
            <m:r>
              <m:t>t</m:t>
            </m:r>
          </m:sub>
        </m:sSub>
      </m:oMath>
      <w:r>
        <w:t xml:space="preserve">：</w:t>
      </w:r>
    </w:p>
    <w:p>
      <w:pPr>
        <w:pStyle w:val="BodyText"/>
        <w:keepNext/>
        <w:spacing w:before="80" w:after="0"/>
        <w:ind w:firstLine="0"/>
        <w:jc w:val="center"/>
      </w:pPr>
      <m:oMathPara>
        <m:oMathParaPr>
          <m:jc m:val="center"/>
        </m:oMathParaPr>
        <m:oMath>
          <m:sSubSup>
            <m:e>
              <m:r>
                <m:t>E</m:t>
              </m:r>
            </m:e>
            <m:sub>
              <m:r>
                <m:t>t</m:t>
              </m:r>
            </m:sub>
            <m:sup>
              <m:r>
                <m:t>w</m:t>
              </m:r>
              <m:r>
                <m:t>a</m:t>
              </m:r>
              <m:r>
                <m:t>t</m:t>
              </m:r>
              <m:r>
                <m:t>e</m:t>
              </m:r>
              <m:r>
                <m:t>r</m:t>
              </m:r>
            </m:sup>
          </m:sSubSup>
          <m:r>
            <m:rPr>
              <m:sty m:val="p"/>
            </m:rPr>
            <m:t>=</m:t>
          </m:r>
          <m:nary>
            <m:naryPr>
              <m:chr m:val="∑"/>
              <m:limLoc m:val="undOvr"/>
              <m:subHide m:val="off"/>
              <m:supHide m:val="off"/>
            </m:naryPr>
            <m:sub>
              <m:r>
                <m:t>k</m:t>
              </m:r>
              <m:r>
                <m:rPr>
                  <m:sty m:val="p"/>
                </m:rPr>
                <m:t>=</m:t>
              </m:r>
              <m:r>
                <m:t>1</m:t>
              </m:r>
            </m:sub>
            <m:sup>
              <m:r>
                <m:t>K</m:t>
              </m:r>
            </m:sup>
            <m:e>
              <m:sSub>
                <m:e>
                  <m:r>
                    <m:t>ε</m:t>
                  </m:r>
                </m:e>
                <m:sub>
                  <m:r>
                    <m:t>k</m:t>
                  </m:r>
                </m:sub>
              </m:sSub>
            </m:e>
          </m:nary>
          <m:sSub>
            <m:e>
              <m:r>
                <m:t>Q</m:t>
              </m:r>
            </m:e>
            <m:sub>
              <m:r>
                <m:t>k</m:t>
              </m:r>
              <m:r>
                <m:rPr>
                  <m:sty m:val="p"/>
                </m:rPr>
                <m:t>,</m:t>
              </m:r>
              <m:r>
                <m:t>t</m:t>
              </m:r>
            </m:sub>
          </m:sSub>
        </m:oMath>
      </m:oMathPara>
    </w:p>
    <w:p>
      <w:pPr>
        <w:pStyle w:val="EquationNumber"/>
      </w:pPr>
      <w:r>
        <w:t>（4-45）</w:t>
      </w:r>
    </w:p>
    <w:p>
      <w:pPr>
        <w:pStyle w:val="BodyText"/>
      </w:pPr>
      <w:r>
        <w:t xml:space="preserve">AI情景相对于Baseline的水系统增量能耗：</w:t>
      </w:r>
    </w:p>
    <w:p>
      <w:pPr>
        <w:pStyle w:val="BodyText"/>
        <w:keepNext/>
        <w:spacing w:before="80" w:after="0"/>
        <w:ind w:firstLine="0"/>
        <w:jc w:val="center"/>
      </w:pPr>
      <m:oMathPara>
        <m:oMathParaPr>
          <m:jc m:val="center"/>
        </m:oMathParaPr>
        <m:oMath>
          <m:r>
            <m:t>Δ</m:t>
          </m:r>
          <m:sSubSup>
            <m:e>
              <m:r>
                <m:t>E</m:t>
              </m:r>
            </m:e>
            <m:sub>
              <m:r>
                <m:t>t</m:t>
              </m:r>
            </m:sub>
            <m:sup>
              <m:r>
                <m:t>w</m:t>
              </m:r>
              <m:r>
                <m:t>a</m:t>
              </m:r>
              <m:r>
                <m:t>t</m:t>
              </m:r>
              <m:r>
                <m:t>e</m:t>
              </m:r>
              <m:r>
                <m:t>r</m:t>
              </m:r>
            </m:sup>
          </m:sSubSup>
          <m:r>
            <m:rPr>
              <m:sty m:val="p"/>
            </m:rPr>
            <m:t>=</m:t>
          </m:r>
          <m:sSubSup>
            <m:e>
              <m:r>
                <m:t>E</m:t>
              </m:r>
            </m:e>
            <m:sub>
              <m:r>
                <m:t>t</m:t>
              </m:r>
              <m:r>
                <m:rPr>
                  <m:sty m:val="p"/>
                </m:rPr>
                <m:t>,</m:t>
              </m:r>
              <m:r>
                <m:t>A</m:t>
              </m:r>
              <m:r>
                <m:t>I</m:t>
              </m:r>
            </m:sub>
            <m:sup>
              <m:r>
                <m:t>w</m:t>
              </m:r>
              <m:r>
                <m:t>a</m:t>
              </m:r>
              <m:r>
                <m:t>t</m:t>
              </m:r>
              <m:r>
                <m:t>e</m:t>
              </m:r>
              <m:r>
                <m:t>r</m:t>
              </m:r>
            </m:sup>
          </m:sSubSup>
          <m:r>
            <m:rPr>
              <m:sty m:val="p"/>
            </m:rPr>
            <m:t>−</m:t>
          </m:r>
          <m:sSubSup>
            <m:e>
              <m:r>
                <m:t>E</m:t>
              </m:r>
            </m:e>
            <m:sub>
              <m:r>
                <m:t>t</m:t>
              </m:r>
              <m:r>
                <m:rPr>
                  <m:sty m:val="p"/>
                </m:rPr>
                <m:t>,</m:t>
              </m:r>
              <m:r>
                <m:t>b</m:t>
              </m:r>
              <m:r>
                <m:t>a</m:t>
              </m:r>
              <m:r>
                <m:t>s</m:t>
              </m:r>
              <m:r>
                <m:t>e</m:t>
              </m:r>
            </m:sub>
            <m:sup>
              <m:r>
                <m:t>w</m:t>
              </m:r>
              <m:r>
                <m:t>a</m:t>
              </m:r>
              <m:r>
                <m:t>t</m:t>
              </m:r>
              <m:r>
                <m:t>e</m:t>
              </m:r>
              <m:r>
                <m:t>r</m:t>
              </m:r>
            </m:sup>
          </m:sSubSup>
        </m:oMath>
      </m:oMathPara>
    </w:p>
    <w:p>
      <w:pPr>
        <w:pStyle w:val="EquationNumber"/>
      </w:pPr>
      <w:r>
        <w:t>（4-46）</w:t>
      </w:r>
    </w:p>
    <w:p>
      <w:pPr>
        <w:pStyle w:val="BodyText"/>
      </w:pPr>
      <w:r>
        <w:t xml:space="preserve">若电网碳强度为</w:t>
      </w:r>
      <w:r>
        <w:t xml:space="preserve"> </w:t>
      </w:r>
      <m:oMath>
        <m:r>
          <m:t>C</m:t>
        </m:r>
        <m:sSubSup>
          <m:e>
            <m:r>
              <m:t>I</m:t>
            </m:r>
          </m:e>
          <m:sub>
            <m:r>
              <m:t>t</m:t>
            </m:r>
          </m:sub>
          <m:sup>
            <m:r>
              <m:t>g</m:t>
            </m:r>
            <m:r>
              <m:t>r</m:t>
            </m:r>
            <m:r>
              <m:t>i</m:t>
            </m:r>
            <m:r>
              <m:t>d</m:t>
            </m:r>
          </m:sup>
        </m:sSubSup>
      </m:oMath>
      <w:r>
        <w:t xml:space="preserve">，运营阶段增量碳排放为：</w:t>
      </w:r>
    </w:p>
    <w:p>
      <w:pPr>
        <w:pStyle w:val="BodyText"/>
        <w:keepNext/>
        <w:spacing w:before="80" w:after="0"/>
        <w:ind w:firstLine="0"/>
        <w:jc w:val="center"/>
      </w:pPr>
      <m:oMathPara>
        <m:oMathParaPr>
          <m:jc m:val="center"/>
        </m:oMathParaPr>
        <m:oMath>
          <m:r>
            <m:t>Δ</m:t>
          </m:r>
          <m:r>
            <m:t>G</m:t>
          </m:r>
          <m:r>
            <m:t>H</m:t>
          </m:r>
          <m:sSubSup>
            <m:e>
              <m:r>
                <m:t>G</m:t>
              </m:r>
            </m:e>
            <m:sub>
              <m:r>
                <m:t>t</m:t>
              </m:r>
            </m:sub>
            <m:sup>
              <m:r>
                <m:t>o</m:t>
              </m:r>
              <m:r>
                <m:t>p</m:t>
              </m:r>
            </m:sup>
          </m:sSubSup>
          <m:r>
            <m:rPr>
              <m:sty m:val="p"/>
            </m:rPr>
            <m:t>=</m:t>
          </m:r>
          <m:sSubSup>
            <m:e>
              <m:r>
                <m:t>E</m:t>
              </m:r>
            </m:e>
            <m:sub>
              <m:r>
                <m:t>j</m:t>
              </m:r>
              <m:r>
                <m:rPr>
                  <m:sty m:val="p"/>
                </m:rPr>
                <m:t>,</m:t>
              </m:r>
              <m:r>
                <m:t>t</m:t>
              </m:r>
            </m:sub>
            <m:sup>
              <m:r>
                <m:t>f</m:t>
              </m:r>
              <m:r>
                <m:t>a</m:t>
              </m:r>
              <m:r>
                <m:t>c</m:t>
              </m:r>
              <m:r>
                <m:t>i</m:t>
              </m:r>
              <m:r>
                <m:t>l</m:t>
              </m:r>
              <m:r>
                <m:t>i</m:t>
              </m:r>
              <m:r>
                <m:t>t</m:t>
              </m:r>
              <m:r>
                <m:t>y</m:t>
              </m:r>
            </m:sup>
          </m:sSubSup>
          <m:r>
            <m:t>C</m:t>
          </m:r>
          <m:sSubSup>
            <m:e>
              <m:r>
                <m:t>I</m:t>
              </m:r>
            </m:e>
            <m:sub>
              <m:r>
                <m:t>t</m:t>
              </m:r>
            </m:sub>
            <m:sup>
              <m:r>
                <m:t>g</m:t>
              </m:r>
              <m:r>
                <m:t>r</m:t>
              </m:r>
              <m:r>
                <m:t>i</m:t>
              </m:r>
              <m:r>
                <m:t>d</m:t>
              </m:r>
            </m:sup>
          </m:sSubSup>
          <m:r>
            <m:rPr>
              <m:sty m:val="p"/>
            </m:rPr>
            <m:t>+</m:t>
          </m:r>
          <m:r>
            <m:t>Δ</m:t>
          </m:r>
          <m:sSubSup>
            <m:e>
              <m:r>
                <m:t>E</m:t>
              </m:r>
            </m:e>
            <m:sub>
              <m:r>
                <m:t>t</m:t>
              </m:r>
            </m:sub>
            <m:sup>
              <m:r>
                <m:t>w</m:t>
              </m:r>
              <m:r>
                <m:t>a</m:t>
              </m:r>
              <m:r>
                <m:t>t</m:t>
              </m:r>
              <m:r>
                <m:t>e</m:t>
              </m:r>
              <m:r>
                <m:t>r</m:t>
              </m:r>
            </m:sup>
          </m:sSubSup>
          <m:r>
            <m:t>C</m:t>
          </m:r>
          <m:sSubSup>
            <m:e>
              <m:r>
                <m:t>I</m:t>
              </m:r>
            </m:e>
            <m:sub>
              <m:r>
                <m:t>t</m:t>
              </m:r>
            </m:sub>
            <m:sup>
              <m:r>
                <m:t>g</m:t>
              </m:r>
              <m:r>
                <m:t>r</m:t>
              </m:r>
              <m:r>
                <m:t>i</m:t>
              </m:r>
              <m:r>
                <m:t>d</m:t>
              </m:r>
            </m:sup>
          </m:sSubSup>
          <m:r>
            <m:rPr>
              <m:sty m:val="p"/>
            </m:rPr>
            <m:t>+</m:t>
          </m:r>
          <m:r>
            <m:t>G</m:t>
          </m:r>
          <m:r>
            <m:t>H</m:t>
          </m:r>
          <m:sSubSup>
            <m:e>
              <m:r>
                <m:t>G</m:t>
              </m:r>
            </m:e>
            <m:sub>
              <m:r>
                <m:t>t</m:t>
              </m:r>
            </m:sub>
            <m:sup>
              <m:r>
                <m:t>d</m:t>
              </m:r>
              <m:r>
                <m:t>i</m:t>
              </m:r>
              <m:r>
                <m:t>r</m:t>
              </m:r>
              <m:r>
                <m:t>e</m:t>
              </m:r>
              <m:r>
                <m:t>c</m:t>
              </m:r>
              <m:r>
                <m:t>t</m:t>
              </m:r>
            </m:sup>
          </m:sSubSup>
        </m:oMath>
      </m:oMathPara>
    </w:p>
    <w:p>
      <w:pPr>
        <w:pStyle w:val="EquationNumber"/>
      </w:pPr>
      <w:r>
        <w:t>（4-47）</w:t>
      </w:r>
    </w:p>
    <w:p>
      <w:pPr>
        <w:pStyle w:val="BodyText"/>
      </w:pPr>
      <w:r>
        <w:rPr>
          <w:rFonts w:ascii="Times New Roman" w:hAnsi="Times New Roman" w:eastAsia="宋体"/>
          <w:sz w:val="21"/>
        </w:rPr>
        <w:t>基础设施建设和设备制造隐含碳作为扩展账户单列，不与运营期碳混合</w:t>
      </w:r>
      <w:r>
        <w:rPr>
          <w:rFonts w:ascii="Times New Roman" w:hAnsi="Times New Roman" w:eastAsia="宋体"/>
          <w:sz w:val="17"/>
          <w:vertAlign w:val="superscript"/>
        </w:rPr>
        <w:t>[23–28,35,40]</w:t>
      </w:r>
      <w:r>
        <w:rPr>
          <w:rFonts w:ascii="Times New Roman" w:hAnsi="Times New Roman" w:eastAsia="宋体"/>
          <w:sz w:val="21"/>
        </w:rPr>
        <w:t>。</w:t>
      </w:r>
    </w:p>
    <w:bookmarkEnd w:id="63"/>
    <w:bookmarkEnd w:id="64"/>
    <w:bookmarkStart w:id="76" w:name="第5章-参数化城市原型2035情景与模型可信度评估"/>
    <w:p>
      <w:pPr>
        <w:pStyle w:val="Heading1"/>
        <w:keepNext/>
        <w:keepLines/>
        <w:ind w:firstLine="0"/>
      </w:pPr>
      <w:r>
        <w:t xml:space="preserve">第5章 参数化城市原型、2035情景与模型可信度评估</w:t>
      </w:r>
    </w:p>
    <w:bookmarkStart w:id="65" w:name="参数化城市原型的作用"/>
    <w:p>
      <w:pPr>
        <w:pStyle w:val="Heading2"/>
        <w:keepNext/>
        <w:keepLines/>
        <w:ind w:firstLine="0"/>
      </w:pPr>
      <w:r>
        <w:t xml:space="preserve">5.1 参数化城市原型的作用</w:t>
      </w:r>
    </w:p>
    <w:p>
      <w:pPr>
        <w:pStyle w:val="FirstParagraph"/>
      </w:pPr>
      <w:r>
        <w:t xml:space="preserve">城市原型并非“用假参数伪装真实城市”，而是受控计算实验的解释工具。模型真正运行在连续高维参数空间，原型用于把结果映射为可理解的城市类型。</w:t>
      </w:r>
    </w:p>
    <w:p>
      <w:pPr>
        <w:pStyle w:val="BodyText"/>
      </w:pPr>
      <w:r>
        <w:t xml:space="preserve">设城市状态向量为：</w:t>
      </w:r>
    </w:p>
    <w:p>
      <w:pPr>
        <w:pStyle w:val="BodyText"/>
        <w:keepNext/>
        <w:spacing w:before="80" w:after="0"/>
        <w:ind w:firstLine="0"/>
        <w:jc w:val="center"/>
      </w:pPr>
      <m:oMathPara>
        <m:oMathParaPr>
          <m:jc m:val="center"/>
        </m:oMathParaPr>
        <m:oMath>
          <m:sSub>
            <m:e>
              <m:r>
                <m:rPr>
                  <m:sty m:val="b"/>
                </m:rPr>
                <m:t>θ</m:t>
              </m:r>
            </m:e>
            <m:sub>
              <m:r>
                <m:t>u</m:t>
              </m:r>
            </m:sub>
          </m:sSub>
          <m:r>
            <m:rPr>
              <m:sty m:val="p"/>
            </m:rPr>
            <m:t>=</m:t>
          </m:r>
          <m:d>
            <m:dPr>
              <m:begChr m:val="["/>
              <m:endChr m:val="]"/>
              <m:sepChr m:val=""/>
              <m:grow/>
            </m:dPr>
            <m:e>
              <m:sSub>
                <m:e>
                  <m:r>
                    <m:t>A</m:t>
                  </m:r>
                </m:e>
                <m:sub>
                  <m:r>
                    <m:t>w</m:t>
                  </m:r>
                </m:sub>
              </m:sSub>
              <m:r>
                <m:rPr>
                  <m:sty m:val="p"/>
                </m:rPr>
                <m:t>,</m:t>
              </m:r>
              <m:sSub>
                <m:e>
                  <m:r>
                    <m:t>D</m:t>
                  </m:r>
                </m:e>
                <m:sub>
                  <m:r>
                    <m:t>b</m:t>
                  </m:r>
                  <m:r>
                    <m:t>a</m:t>
                  </m:r>
                  <m:r>
                    <m:t>s</m:t>
                  </m:r>
                  <m:r>
                    <m:t>e</m:t>
                  </m:r>
                </m:sub>
              </m:sSub>
              <m:r>
                <m:rPr>
                  <m:sty m:val="p"/>
                </m:rPr>
                <m:t>,</m:t>
              </m:r>
              <m:sSub>
                <m:e>
                  <m:r>
                    <m:t>C</m:t>
                  </m:r>
                </m:e>
                <m:sub>
                  <m:r>
                    <m:t>W</m:t>
                  </m:r>
                  <m:r>
                    <m:t>T</m:t>
                  </m:r>
                  <m:r>
                    <m:t>W</m:t>
                  </m:r>
                </m:sub>
              </m:sSub>
              <m:r>
                <m:rPr>
                  <m:sty m:val="p"/>
                </m:rPr>
                <m:t>,</m:t>
              </m:r>
              <m:sSub>
                <m:e>
                  <m:r>
                    <m:t>C</m:t>
                  </m:r>
                </m:e>
                <m:sub>
                  <m:r>
                    <m:t>W</m:t>
                  </m:r>
                  <m:r>
                    <m:t>W</m:t>
                  </m:r>
                  <m:r>
                    <m:t>T</m:t>
                  </m:r>
                  <m:r>
                    <m:t>W</m:t>
                  </m:r>
                </m:sub>
              </m:sSub>
              <m:r>
                <m:rPr>
                  <m:sty m:val="p"/>
                </m:rPr>
                <m:t>,</m:t>
              </m:r>
              <m:sSub>
                <m:e>
                  <m:r>
                    <m:t>C</m:t>
                  </m:r>
                </m:e>
                <m:sub>
                  <m:r>
                    <m:t>r</m:t>
                  </m:r>
                  <m:r>
                    <m:t>e</m:t>
                  </m:r>
                  <m:r>
                    <m:t>c</m:t>
                  </m:r>
                </m:sub>
              </m:sSub>
              <m:r>
                <m:rPr>
                  <m:sty m:val="p"/>
                </m:rPr>
                <m:t>,</m:t>
              </m:r>
              <m:sSubSup>
                <m:e>
                  <m:r>
                    <m:t>C</m:t>
                  </m:r>
                </m:e>
                <m:sub>
                  <m:r>
                    <m:t>r</m:t>
                  </m:r>
                  <m:r>
                    <m:t>e</m:t>
                  </m:r>
                  <m:r>
                    <m:t>c</m:t>
                  </m:r>
                </m:sub>
                <m:sup>
                  <m:r>
                    <m:t>d</m:t>
                  </m:r>
                  <m:r>
                    <m:t>i</m:t>
                  </m:r>
                  <m:r>
                    <m:t>s</m:t>
                  </m:r>
                  <m:r>
                    <m:t>t</m:t>
                  </m:r>
                </m:sup>
              </m:sSubSup>
              <m:r>
                <m:rPr>
                  <m:sty m:val="p"/>
                </m:rPr>
                <m:t>,</m:t>
              </m:r>
              <m:r>
                <m:t>λ</m:t>
              </m:r>
              <m:r>
                <m:rPr>
                  <m:sty m:val="p"/>
                </m:rPr>
                <m:t>,</m:t>
              </m:r>
              <m:sSub>
                <m:e>
                  <m:r>
                    <m:t>T</m:t>
                  </m:r>
                </m:e>
                <m:sub>
                  <m:r>
                    <m:t>w</m:t>
                  </m:r>
                  <m:r>
                    <m:t>b</m:t>
                  </m:r>
                </m:sub>
              </m:sSub>
              <m:r>
                <m:rPr>
                  <m:sty m:val="p"/>
                </m:rPr>
                <m:t>,</m:t>
              </m:r>
              <m:r>
                <m:t>C</m:t>
              </m:r>
              <m:sSub>
                <m:e>
                  <m:r>
                    <m:t>I</m:t>
                  </m:r>
                </m:e>
                <m:sub>
                  <m:r>
                    <m:t>g</m:t>
                  </m:r>
                  <m:r>
                    <m:t>r</m:t>
                  </m:r>
                  <m:r>
                    <m:t>i</m:t>
                  </m:r>
                  <m:r>
                    <m:t>d</m:t>
                  </m:r>
                </m:sub>
              </m:sSub>
              <m:r>
                <m:rPr>
                  <m:sty m:val="p"/>
                </m:rPr>
                <m:t>,</m:t>
              </m:r>
              <m:sSub>
                <m:e>
                  <m:r>
                    <m:t>ε</m:t>
                  </m:r>
                </m:e>
                <m:sub>
                  <m:r>
                    <m:t>w</m:t>
                  </m:r>
                  <m:r>
                    <m:t>a</m:t>
                  </m:r>
                  <m:r>
                    <m:t>t</m:t>
                  </m:r>
                  <m:r>
                    <m:t>e</m:t>
                  </m:r>
                  <m:r>
                    <m:t>r</m:t>
                  </m:r>
                </m:sub>
              </m:sSub>
              <m:r>
                <m:rPr>
                  <m:sty m:val="p"/>
                </m:rPr>
                <m:t>,</m:t>
              </m:r>
              <m:r>
                <m:rPr>
                  <m:sty m:val="p"/>
                </m:rPr>
                <m:t>…</m:t>
              </m:r>
            </m:e>
          </m:d>
        </m:oMath>
      </m:oMathPara>
    </w:p>
    <w:p>
      <w:pPr>
        <w:pStyle w:val="EquationNumber"/>
      </w:pPr>
      <w:r>
        <w:t>（5-1）</w:t>
      </w:r>
    </w:p>
    <w:p>
      <w:pPr>
        <w:pStyle w:val="BodyText"/>
      </w:pPr>
      <w:r>
        <w:t xml:space="preserve">主要解释指标包括水资源裕度、给水设施裕度、再生水能力和热环境：</w:t>
      </w:r>
    </w:p>
    <w:p>
      <w:pPr>
        <w:pStyle w:val="BodyText"/>
        <w:keepNext/>
        <w:spacing w:before="80" w:after="0"/>
        <w:ind w:firstLine="0"/>
        <w:jc w:val="center"/>
      </w:pPr>
      <m:oMathPara>
        <m:oMathParaPr>
          <m:jc m:val="center"/>
        </m:oMathParaPr>
        <m:oMath>
          <m:sSub>
            <m:e>
              <m:r>
                <m:t>M</m:t>
              </m:r>
            </m:e>
            <m:sub>
              <m:r>
                <m:t>w</m:t>
              </m:r>
            </m:sub>
          </m:sSub>
          <m:r>
            <m:rPr>
              <m:sty m:val="p"/>
            </m:rPr>
            <m:t>=</m:t>
          </m:r>
          <m:f>
            <m:fPr>
              <m:type m:val="bar"/>
            </m:fPr>
            <m:num>
              <m:sSub>
                <m:e>
                  <m:r>
                    <m:t>A</m:t>
                  </m:r>
                </m:e>
                <m:sub>
                  <m:r>
                    <m:t>w</m:t>
                  </m:r>
                </m:sub>
              </m:sSub>
              <m:r>
                <m:rPr>
                  <m:sty m:val="p"/>
                </m:rPr>
                <m:t>−</m:t>
              </m:r>
              <m:sSub>
                <m:e>
                  <m:r>
                    <m:t>D</m:t>
                  </m:r>
                </m:e>
                <m:sub>
                  <m:r>
                    <m:t>b</m:t>
                  </m:r>
                  <m:r>
                    <m:t>a</m:t>
                  </m:r>
                  <m:r>
                    <m:t>s</m:t>
                  </m:r>
                  <m:r>
                    <m:t>e</m:t>
                  </m:r>
                </m:sub>
              </m:sSub>
            </m:num>
            <m:den>
              <m:sSub>
                <m:e>
                  <m:r>
                    <m:t>D</m:t>
                  </m:r>
                </m:e>
                <m:sub>
                  <m:r>
                    <m:t>b</m:t>
                  </m:r>
                  <m:r>
                    <m:t>a</m:t>
                  </m:r>
                  <m:r>
                    <m:t>s</m:t>
                  </m:r>
                  <m:r>
                    <m:t>e</m:t>
                  </m:r>
                </m:sub>
              </m:sSub>
            </m:den>
          </m:f>
        </m:oMath>
      </m:oMathPara>
    </w:p>
    <w:p>
      <w:pPr>
        <w:pStyle w:val="EquationNumber"/>
      </w:pPr>
      <w:r>
        <w:t>（5-2）</w:t>
      </w:r>
    </w:p>
    <w:p>
      <w:pPr>
        <w:pStyle w:val="BodyText"/>
        <w:keepNext/>
        <w:spacing w:before="80" w:after="0"/>
        <w:ind w:firstLine="0"/>
        <w:jc w:val="center"/>
      </w:pPr>
      <m:oMathPara>
        <m:oMathParaPr>
          <m:jc m:val="center"/>
        </m:oMathParaPr>
        <m:oMath>
          <m:sSub>
            <m:e>
              <m:r>
                <m:t>M</m:t>
              </m:r>
            </m:e>
            <m:sub>
              <m:r>
                <m:t>W</m:t>
              </m:r>
              <m:r>
                <m:t>T</m:t>
              </m:r>
              <m:r>
                <m:t>W</m:t>
              </m:r>
            </m:sub>
          </m:sSub>
          <m:r>
            <m:rPr>
              <m:sty m:val="p"/>
            </m:rPr>
            <m:t>=</m:t>
          </m:r>
          <m:f>
            <m:fPr>
              <m:type m:val="bar"/>
            </m:fPr>
            <m:num>
              <m:sSub>
                <m:e>
                  <m:r>
                    <m:t>C</m:t>
                  </m:r>
                </m:e>
                <m:sub>
                  <m:r>
                    <m:t>W</m:t>
                  </m:r>
                  <m:r>
                    <m:t>T</m:t>
                  </m:r>
                  <m:r>
                    <m:t>W</m:t>
                  </m:r>
                </m:sub>
              </m:sSub>
              <m:r>
                <m:rPr>
                  <m:sty m:val="p"/>
                </m:rPr>
                <m:t>−</m:t>
              </m:r>
              <m:sSubSup>
                <m:e>
                  <m:r>
                    <m:t>D</m:t>
                  </m:r>
                </m:e>
                <m:sub>
                  <m:r>
                    <m:t>p</m:t>
                  </m:r>
                  <m:r>
                    <m:t>e</m:t>
                  </m:r>
                  <m:r>
                    <m:t>a</m:t>
                  </m:r>
                  <m:r>
                    <m:t>k</m:t>
                  </m:r>
                </m:sub>
                <m:sup>
                  <m:r>
                    <m:t>b</m:t>
                  </m:r>
                  <m:r>
                    <m:t>a</m:t>
                  </m:r>
                  <m:r>
                    <m:t>s</m:t>
                  </m:r>
                  <m:r>
                    <m:t>e</m:t>
                  </m:r>
                </m:sup>
              </m:sSubSup>
            </m:num>
            <m:den>
              <m:sSubSup>
                <m:e>
                  <m:r>
                    <m:t>D</m:t>
                  </m:r>
                </m:e>
                <m:sub>
                  <m:r>
                    <m:t>p</m:t>
                  </m:r>
                  <m:r>
                    <m:t>e</m:t>
                  </m:r>
                  <m:r>
                    <m:t>a</m:t>
                  </m:r>
                  <m:r>
                    <m:t>k</m:t>
                  </m:r>
                </m:sub>
                <m:sup>
                  <m:r>
                    <m:t>b</m:t>
                  </m:r>
                  <m:r>
                    <m:t>a</m:t>
                  </m:r>
                  <m:r>
                    <m:t>s</m:t>
                  </m:r>
                  <m:r>
                    <m:t>e</m:t>
                  </m:r>
                </m:sup>
              </m:sSubSup>
            </m:den>
          </m:f>
        </m:oMath>
      </m:oMathPara>
    </w:p>
    <w:p>
      <w:pPr>
        <w:pStyle w:val="EquationNumber"/>
      </w:pPr>
      <w:r>
        <w:t>（5-3）</w:t>
      </w:r>
    </w:p>
    <w:p>
      <w:pPr>
        <w:pStyle w:val="BodyText"/>
        <w:keepNext/>
        <w:spacing w:before="80" w:after="0"/>
        <w:ind w:firstLine="0"/>
        <w:jc w:val="center"/>
      </w:pPr>
      <m:oMathPara>
        <m:oMathParaPr>
          <m:jc m:val="center"/>
        </m:oMathParaPr>
        <m:oMath>
          <m:sSub>
            <m:e>
              <m:r>
                <m:t>R</m:t>
              </m:r>
            </m:e>
            <m:sub>
              <m:r>
                <m:t>c</m:t>
              </m:r>
              <m:r>
                <m:t>a</m:t>
              </m:r>
              <m:r>
                <m:t>p</m:t>
              </m:r>
            </m:sub>
          </m:sSub>
          <m:r>
            <m:rPr>
              <m:sty m:val="p"/>
            </m:rPr>
            <m:t>=</m:t>
          </m:r>
          <m:f>
            <m:fPr>
              <m:type m:val="bar"/>
            </m:fPr>
            <m:num>
              <m:sSub>
                <m:e>
                  <m:r>
                    <m:t>C</m:t>
                  </m:r>
                </m:e>
                <m:sub>
                  <m:r>
                    <m:t>r</m:t>
                  </m:r>
                  <m:r>
                    <m:t>e</m:t>
                  </m:r>
                  <m:r>
                    <m:t>c</m:t>
                  </m:r>
                </m:sub>
              </m:sSub>
            </m:num>
            <m:den>
              <m:sSub>
                <m:e>
                  <m:r>
                    <m:t>D</m:t>
                  </m:r>
                </m:e>
                <m:sub>
                  <m:r>
                    <m:t>b</m:t>
                  </m:r>
                  <m:r>
                    <m:t>a</m:t>
                  </m:r>
                  <m:r>
                    <m:t>s</m:t>
                  </m:r>
                  <m:r>
                    <m:t>e</m:t>
                  </m:r>
                </m:sub>
              </m:sSub>
            </m:den>
          </m:f>
        </m:oMath>
      </m:oMathPara>
    </w:p>
    <w:p>
      <w:pPr>
        <w:pStyle w:val="EquationNumber"/>
      </w:pPr>
      <w:r>
        <w:t>（5-4）</w:t>
      </w:r>
    </w:p>
    <w:p>
      <w:pPr>
        <w:pStyle w:val="BodyText"/>
        <w:keepNext/>
        <w:spacing w:before="80" w:after="0"/>
        <w:ind w:firstLine="0"/>
        <w:jc w:val="center"/>
      </w:pPr>
      <m:oMathPara>
        <m:oMathParaPr>
          <m:jc m:val="center"/>
        </m:oMathParaPr>
        <m:oMath>
          <m:sSub>
            <m:e>
              <m:r>
                <m:t>H</m:t>
              </m:r>
            </m:e>
            <m:sub>
              <m:r>
                <m:t>t</m:t>
              </m:r>
              <m:r>
                <m:t>h</m:t>
              </m:r>
              <m:r>
                <m:t>e</m:t>
              </m:r>
              <m:r>
                <m:t>r</m:t>
              </m:r>
              <m:r>
                <m:t>m</m:t>
              </m:r>
              <m:r>
                <m:t>a</m:t>
              </m:r>
              <m:r>
                <m:t>l</m:t>
              </m:r>
            </m:sub>
          </m:sSub>
          <m:r>
            <m:rPr>
              <m:sty m:val="p"/>
            </m:rPr>
            <m:t>=</m:t>
          </m:r>
          <m:sSub>
            <m:e>
              <m:r>
                <m:t>P</m:t>
              </m:r>
            </m:e>
            <m:sub>
              <m:r>
                <m:t>95</m:t>
              </m:r>
            </m:sub>
          </m:sSub>
          <m:d>
            <m:dPr>
              <m:begChr m:val="("/>
              <m:endChr m:val=")"/>
              <m:sepChr m:val=""/>
              <m:grow/>
            </m:dPr>
            <m:e>
              <m:sSub>
                <m:e>
                  <m:r>
                    <m:t>T</m:t>
                  </m:r>
                </m:e>
                <m:sub>
                  <m:r>
                    <m:t>w</m:t>
                  </m:r>
                  <m:r>
                    <m:t>b</m:t>
                  </m:r>
                  <m:r>
                    <m:rPr>
                      <m:sty m:val="p"/>
                    </m:rPr>
                    <m:t>,</m:t>
                  </m:r>
                  <m:r>
                    <m:t>t</m:t>
                  </m:r>
                </m:sub>
              </m:sSub>
            </m:e>
          </m:d>
        </m:oMath>
      </m:oMathPara>
    </w:p>
    <w:p>
      <w:pPr>
        <w:pStyle w:val="EquationNumber"/>
      </w:pPr>
      <w:r>
        <w:t>（5-5）</w:t>
      </w:r>
    </w:p>
    <w:p>
      <w:pPr>
        <w:pStyle w:val="BodyText"/>
      </w:pPr>
      <w:r>
        <w:t xml:space="preserve">8类基础原型仍可用“水资源富裕/受限×冷凉/炎热×再生水高/低”解释，但正式划分优先采用连续样本的分位数或聚类结果，而不是人为固定一个2×2×2输入空间。WTW/WWTW等其他变量继续作为连续协变量进入分析。</w:t>
      </w:r>
    </w:p>
    <w:bookmarkEnd w:id="65"/>
    <w:bookmarkStart w:id="66" w:name="参数证据等级和联合抽样"/>
    <w:p>
      <w:pPr>
        <w:pStyle w:val="Heading2"/>
        <w:keepNext/>
        <w:keepLines/>
        <w:ind w:firstLine="0"/>
      </w:pPr>
      <w:r>
        <w:t xml:space="preserve">5.2 参数证据等级和联合抽样</w:t>
      </w:r>
    </w:p>
    <w:p>
      <w:pPr>
        <w:pStyle w:val="FirstParagraph"/>
      </w:pPr>
      <w:r>
        <w:t xml:space="preserve">所有参数记录value、unit、source、year、evidence level和uncertainty representation。证据等级划分为同行评议实测/工程数据、权威机构数据、企业正式披露、多文献归纳范围和纯情景变量。</w:t>
      </w:r>
    </w:p>
    <w:p>
      <w:pPr>
        <w:pStyle w:val="BodyText"/>
      </w:pPr>
      <w:r>
        <w:t xml:space="preserve">参数抽样不默认相互独立。冷却架构、PUE、湿球温度、CoC、水质和WUE之间采用架构条件化分布；城市需水、污水产量和再生水潜力之间通过物理关系或相关结构约束。形式上，以联合分布表示：</w:t>
      </w:r>
    </w:p>
    <w:p>
      <w:pPr>
        <w:pStyle w:val="BodyText"/>
        <w:keepNext/>
        <w:spacing w:before="80" w:after="0"/>
        <w:ind w:firstLine="0"/>
        <w:jc w:val="center"/>
      </w:pPr>
      <m:oMathPara>
        <m:oMathParaPr>
          <m:jc m:val="center"/>
        </m:oMathParaPr>
        <m:oMath>
          <m:r>
            <m:rPr>
              <m:sty m:val="b"/>
            </m:rPr>
            <m:t>Θ</m:t>
          </m:r>
          <m:r>
            <m:rPr>
              <m:sty m:val="p"/>
            </m:rPr>
            <m:t>∼</m:t>
          </m:r>
          <m:r>
            <m:t>p</m:t>
          </m:r>
          <m:d>
            <m:dPr>
              <m:begChr m:val="("/>
              <m:endChr m:val=")"/>
              <m:sepChr m:val=""/>
              <m:grow/>
            </m:dPr>
            <m:e>
              <m:sSub>
                <m:e>
                  <m:r>
                    <m:t>θ</m:t>
                  </m:r>
                </m:e>
                <m:sub>
                  <m:r>
                    <m:t>1</m:t>
                  </m:r>
                </m:sub>
              </m:sSub>
              <m:r>
                <m:rPr>
                  <m:sty m:val="p"/>
                </m:rPr>
                <m:t>,</m:t>
              </m:r>
              <m:sSub>
                <m:e>
                  <m:r>
                    <m:t>θ</m:t>
                  </m:r>
                </m:e>
                <m:sub>
                  <m:r>
                    <m:t>2</m:t>
                  </m:r>
                </m:sub>
              </m:sSub>
              <m:r>
                <m:rPr>
                  <m:sty m:val="p"/>
                </m:rPr>
                <m:t>,</m:t>
              </m:r>
              <m:r>
                <m:rPr>
                  <m:sty m:val="p"/>
                </m:rPr>
                <m:t>…</m:t>
              </m:r>
              <m:r>
                <m:rPr>
                  <m:sty m:val="p"/>
                </m:rPr>
                <m:t>,</m:t>
              </m:r>
              <m:sSub>
                <m:e>
                  <m:r>
                    <m:t>θ</m:t>
                  </m:r>
                </m:e>
                <m:sub>
                  <m:r>
                    <m:t>n</m:t>
                  </m:r>
                </m:sub>
              </m:sSub>
              <m:r>
                <m:rPr>
                  <m:sty m:val="p"/>
                </m:rPr>
                <m:t>∣</m:t>
              </m:r>
              <m:r>
                <m:t>a</m:t>
              </m:r>
              <m:r>
                <m:rPr>
                  <m:sty m:val="p"/>
                </m:rPr>
                <m:t>,</m:t>
              </m:r>
              <m:r>
                <m:t>s</m:t>
              </m:r>
            </m:e>
          </m:d>
        </m:oMath>
      </m:oMathPara>
    </w:p>
    <w:p>
      <w:pPr>
        <w:pStyle w:val="EquationNumber"/>
      </w:pPr>
      <w:r>
        <w:t>（5-6）</w:t>
      </w:r>
    </w:p>
    <w:p>
      <w:pPr>
        <w:pStyle w:val="BodyText"/>
      </w:pPr>
      <w:r>
        <w:t xml:space="preserve">其中</w:t>
      </w:r>
      <w:r>
        <w:t xml:space="preserve"> </w:t>
      </w:r>
      <m:oMath>
        <m:r>
          <m:t>a</m:t>
        </m:r>
      </m:oMath>
      <w:r>
        <w:t xml:space="preserve"> </w:t>
      </w:r>
      <w:r>
        <w:t xml:space="preserve">为冷却架构，</w:t>
      </w:r>
      <m:oMath>
        <m:r>
          <m:t>s</m:t>
        </m:r>
      </m:oMath>
      <w:r>
        <w:t xml:space="preserve"> </w:t>
      </w:r>
      <w:r>
        <w:t xml:space="preserve">为城市/政策情景。</w:t>
      </w:r>
    </w:p>
    <w:bookmarkEnd w:id="66"/>
    <w:bookmarkStart w:id="67" w:name="ai容量与技术情景"/>
    <w:p>
      <w:pPr>
        <w:pStyle w:val="Heading2"/>
        <w:keepNext/>
        <w:keepLines/>
        <w:ind w:firstLine="0"/>
      </w:pPr>
      <w:r>
        <w:t xml:space="preserve">5.3 2035 AI容量与技术情景</w:t>
      </w:r>
    </w:p>
    <w:p>
      <w:pPr>
        <w:pStyle w:val="FirstParagraph"/>
      </w:pPr>
      <w:r>
        <w:t xml:space="preserve">主实验采用：</w:t>
      </w:r>
    </w:p>
    <w:p>
      <w:pPr>
        <w:pStyle w:val="BodyText"/>
        <w:keepNext/>
        <w:spacing w:before="80" w:after="0"/>
        <w:ind w:firstLine="0"/>
        <w:jc w:val="center"/>
      </w:pPr>
      <m:oMathPara>
        <m:oMathParaPr>
          <m:jc m:val="center"/>
        </m:oMathParaPr>
        <m:oMath>
          <m:sSub>
            <m:e>
              <m:r>
                <m:t>C</m:t>
              </m:r>
            </m:e>
            <m:sub>
              <m:r>
                <m:t>A</m:t>
              </m:r>
              <m:r>
                <m:t>I</m:t>
              </m:r>
            </m:sub>
          </m:sSub>
          <m:r>
            <m:rPr>
              <m:sty m:val="p"/>
            </m:rPr>
            <m:t>∈</m:t>
          </m:r>
          <m:d>
            <m:dPr>
              <m:begChr m:val="["/>
              <m:endChr m:val="]"/>
              <m:sepChr m:val=""/>
              <m:grow/>
            </m:dPr>
            <m:e>
              <m:r>
                <m:t>0</m:t>
              </m:r>
              <m:r>
                <m:rPr>
                  <m:sty m:val="p"/>
                </m:rPr>
                <m:t>,</m:t>
              </m:r>
              <m:r>
                <m:t>3000</m:t>
              </m:r>
            </m:e>
          </m:d>
          <m:r>
            <m:t> </m:t>
          </m:r>
          <m:r>
            <m:rPr>
              <m:sty m:val="p"/>
            </m:rPr>
            <m:t>M</m:t>
          </m:r>
          <m:sSub>
            <m:e>
              <m:r>
                <m:rPr>
                  <m:sty m:val="p"/>
                </m:rPr>
                <m:t>W</m:t>
              </m:r>
            </m:e>
            <m:sub>
              <m:r>
                <m:rPr>
                  <m:sty m:val="p"/>
                </m:rPr>
                <m:t>I</m:t>
              </m:r>
              <m:r>
                <m:rPr>
                  <m:sty m:val="p"/>
                </m:rPr>
                <m:t>T</m:t>
              </m:r>
            </m:sub>
          </m:sSub>
        </m:oMath>
      </m:oMathPara>
    </w:p>
    <w:p>
      <w:pPr>
        <w:pStyle w:val="EquationNumber"/>
      </w:pPr>
      <w:r>
        <w:t>（5-7）</w:t>
      </w:r>
    </w:p>
    <w:p>
      <w:pPr>
        <w:pStyle w:val="BodyText"/>
      </w:pPr>
      <w:r>
        <w:rPr>
          <w:rFonts w:ascii="Times New Roman" w:hAnsi="Times New Roman" w:eastAsia="宋体"/>
          <w:sz w:val="21"/>
        </w:rPr>
        <w:t>并以25—50 MW为初始扫描步长，接近失效边界后采用二分搜索。2035增长路径只用于时间演化分析，不作为唯一未来预测</w:t>
      </w:r>
      <w:r>
        <w:rPr>
          <w:rFonts w:ascii="Times New Roman" w:hAnsi="Times New Roman" w:eastAsia="宋体"/>
          <w:sz w:val="17"/>
          <w:vertAlign w:val="superscript"/>
        </w:rPr>
        <w:t>[1–3,8,9,39]</w:t>
      </w:r>
      <w:r>
        <w:rPr>
          <w:rFonts w:ascii="Times New Roman" w:hAnsi="Times New Roman" w:eastAsia="宋体"/>
          <w:sz w:val="21"/>
        </w:rPr>
        <w:t>。</w:t>
      </w:r>
    </w:p>
    <w:p>
      <w:pPr>
        <w:pStyle w:val="BodyText"/>
      </w:pPr>
      <w:r>
        <w:rPr>
          <w:rFonts w:ascii="Times New Roman" w:hAnsi="Times New Roman" w:eastAsia="宋体"/>
          <w:sz w:val="21"/>
        </w:rPr>
        <w:t>冷却技术以热排散架构分类，包括蒸发湿冷、高效湿冷、干湿混合、完全干冷、液冷—空气末端和液冷—水侧末端</w:t>
      </w:r>
      <w:r>
        <w:rPr>
          <w:rFonts w:ascii="Times New Roman" w:hAnsi="Times New Roman" w:eastAsia="宋体"/>
          <w:sz w:val="17"/>
          <w:vertAlign w:val="superscript"/>
        </w:rPr>
        <w:t>[40–47]</w:t>
      </w:r>
      <w:r>
        <w:rPr>
          <w:rFonts w:ascii="Times New Roman" w:hAnsi="Times New Roman" w:eastAsia="宋体"/>
          <w:sz w:val="21"/>
        </w:rPr>
        <w:t>。水源方案包括淡水优先、不同目标再生水比例和reclaimed-first；基础设施方案包括保持现状、再生水处理/输配扩容、给水扩容、漏损降低和组合措施。</w:t>
      </w:r>
    </w:p>
    <w:bookmarkEnd w:id="67"/>
    <w:bookmarkStart w:id="68" w:name="高温干旱复合压力情景而非过度声称复合事件模型"/>
    <w:p>
      <w:pPr>
        <w:pStyle w:val="Heading2"/>
        <w:keepNext/>
        <w:keepLines/>
        <w:ind w:firstLine="0"/>
      </w:pPr>
      <w:r>
        <w:t xml:space="preserve">5.4 高温—干旱“复合压力情景”而非过度声称复合事件模型</w:t>
      </w:r>
    </w:p>
    <w:p>
      <w:pPr>
        <w:pStyle w:val="FirstParagraph"/>
      </w:pPr>
      <w:r>
        <w:t xml:space="preserve">本研究核心采用stress-test方法，不在缺乏事件联合概率和连续过程数据时声称建立严格的compound-event stochastic model。设基准序列为</w:t>
      </w:r>
      <w:r>
        <w:t xml:space="preserve"> </w:t>
      </w:r>
      <m:oMath>
        <m:sSubSup>
          <m:e>
            <m:r>
              <m:t>T</m:t>
            </m:r>
          </m:e>
          <m:sub>
            <m:r>
              <m:t>w</m:t>
            </m:r>
            <m:r>
              <m:t>b</m:t>
            </m:r>
            <m:r>
              <m:rPr>
                <m:sty m:val="p"/>
              </m:rPr>
              <m:t>,</m:t>
            </m:r>
            <m:r>
              <m:t>t</m:t>
            </m:r>
          </m:sub>
          <m:sup>
            <m:r>
              <m:t>0</m:t>
            </m:r>
          </m:sup>
        </m:sSubSup>
      </m:oMath>
      <w:r>
        <w:t xml:space="preserve">、</w:t>
      </w:r>
      <m:oMath>
        <m:sSubSup>
          <m:e>
            <m:r>
              <m:t>A</m:t>
            </m:r>
          </m:e>
          <m:sub>
            <m:r>
              <m:t>w</m:t>
            </m:r>
            <m:r>
              <m:rPr>
                <m:sty m:val="p"/>
              </m:rPr>
              <m:t>,</m:t>
            </m:r>
            <m:r>
              <m:t>t</m:t>
            </m:r>
          </m:sub>
          <m:sup>
            <m:r>
              <m:t>0</m:t>
            </m:r>
          </m:sup>
        </m:sSubSup>
      </m:oMath>
      <w:r>
        <w:t xml:space="preserve"> </w:t>
      </w:r>
      <w:r>
        <w:t xml:space="preserve">和</w:t>
      </w:r>
      <w:r>
        <w:t xml:space="preserve"> </w:t>
      </w:r>
      <m:oMath>
        <m:sSubSup>
          <m:e>
            <m:r>
              <m:t>D</m:t>
            </m:r>
          </m:e>
          <m:sub>
            <m:r>
              <m:t>b</m:t>
            </m:r>
            <m:r>
              <m:t>a</m:t>
            </m:r>
            <m:r>
              <m:t>s</m:t>
            </m:r>
            <m:r>
              <m:t>e</m:t>
            </m:r>
            <m:r>
              <m:rPr>
                <m:sty m:val="p"/>
              </m:rPr>
              <m:t>,</m:t>
            </m:r>
            <m:r>
              <m:t>t</m:t>
            </m:r>
          </m:sub>
          <m:sup>
            <m:r>
              <m:t>0</m:t>
            </m:r>
          </m:sup>
        </m:sSubSup>
      </m:oMath>
      <w:r>
        <w:t xml:space="preserve">：</w:t>
      </w:r>
    </w:p>
    <w:p>
      <w:pPr>
        <w:pStyle w:val="BodyText"/>
        <w:keepNext/>
        <w:spacing w:before="80" w:after="0"/>
        <w:ind w:firstLine="0"/>
        <w:jc w:val="center"/>
      </w:pPr>
      <m:oMathPara>
        <m:oMathParaPr>
          <m:jc m:val="center"/>
        </m:oMathParaPr>
        <m:oMath>
          <m:sSubSup>
            <m:e>
              <m:r>
                <m:t>T</m:t>
              </m:r>
            </m:e>
            <m:sub>
              <m:r>
                <m:t>w</m:t>
              </m:r>
              <m:r>
                <m:t>b</m:t>
              </m:r>
              <m:r>
                <m:rPr>
                  <m:sty m:val="p"/>
                </m:rPr>
                <m:t>,</m:t>
              </m:r>
              <m:r>
                <m:t>t</m:t>
              </m:r>
            </m:sub>
            <m:sup>
              <m:r>
                <m:t>h</m:t>
              </m:r>
              <m:r>
                <m:t>o</m:t>
              </m:r>
              <m:r>
                <m:t>t</m:t>
              </m:r>
            </m:sup>
          </m:sSubSup>
          <m:r>
            <m:rPr>
              <m:sty m:val="p"/>
            </m:rPr>
            <m:t>=</m:t>
          </m:r>
          <m:sSubSup>
            <m:e>
              <m:r>
                <m:t>T</m:t>
              </m:r>
            </m:e>
            <m:sub>
              <m:r>
                <m:t>w</m:t>
              </m:r>
              <m:r>
                <m:t>b</m:t>
              </m:r>
              <m:r>
                <m:rPr>
                  <m:sty m:val="p"/>
                </m:rPr>
                <m:t>,</m:t>
              </m:r>
              <m:r>
                <m:t>t</m:t>
              </m:r>
            </m:sub>
            <m:sup>
              <m:r>
                <m:t>0</m:t>
              </m:r>
            </m:sup>
          </m:sSubSup>
          <m:r>
            <m:rPr>
              <m:sty m:val="p"/>
            </m:rPr>
            <m:t>+</m:t>
          </m:r>
          <m:r>
            <m:t>Δ</m:t>
          </m:r>
          <m:sSub>
            <m:e>
              <m:r>
                <m:t>T</m:t>
              </m:r>
            </m:e>
            <m:sub>
              <m:r>
                <m:t>w</m:t>
              </m:r>
              <m:r>
                <m:t>b</m:t>
              </m:r>
              <m:r>
                <m:rPr>
                  <m:sty m:val="p"/>
                </m:rPr>
                <m:t>,</m:t>
              </m:r>
              <m:r>
                <m:t>t</m:t>
              </m:r>
            </m:sub>
          </m:sSub>
        </m:oMath>
      </m:oMathPara>
    </w:p>
    <w:p>
      <w:pPr>
        <w:pStyle w:val="EquationNumber"/>
      </w:pPr>
      <w:r>
        <w:t>（5-8）</w:t>
      </w:r>
    </w:p>
    <w:p>
      <w:pPr>
        <w:pStyle w:val="BodyText"/>
        <w:keepNext/>
        <w:spacing w:before="80" w:after="0"/>
        <w:ind w:firstLine="0"/>
        <w:jc w:val="center"/>
      </w:pPr>
      <m:oMathPara>
        <m:oMathParaPr>
          <m:jc m:val="center"/>
        </m:oMathParaPr>
        <m:oMath>
          <m:sSubSup>
            <m:e>
              <m:r>
                <m:t>A</m:t>
              </m:r>
            </m:e>
            <m:sub>
              <m:r>
                <m:t>w</m:t>
              </m:r>
              <m:r>
                <m:rPr>
                  <m:sty m:val="p"/>
                </m:rPr>
                <m:t>,</m:t>
              </m:r>
              <m:r>
                <m:t>t</m:t>
              </m:r>
            </m:sub>
            <m:sup>
              <m:r>
                <m:t>d</m:t>
              </m:r>
              <m:r>
                <m:t>r</m:t>
              </m:r>
              <m:r>
                <m:t>o</m:t>
              </m:r>
              <m:r>
                <m:t>u</m:t>
              </m:r>
              <m:r>
                <m:t>g</m:t>
              </m:r>
              <m:r>
                <m:t>h</m:t>
              </m:r>
              <m:r>
                <m:t>t</m:t>
              </m:r>
            </m:sup>
          </m:sSubSup>
          <m:r>
            <m:rPr>
              <m:sty m:val="p"/>
            </m:rPr>
            <m:t>=</m:t>
          </m:r>
          <m:d>
            <m:dPr>
              <m:begChr m:val="("/>
              <m:endChr m:val=")"/>
              <m:sepChr m:val=""/>
              <m:grow/>
            </m:dPr>
            <m:e>
              <m:r>
                <m:t>1</m:t>
              </m:r>
              <m:r>
                <m:rPr>
                  <m:sty m:val="p"/>
                </m:rPr>
                <m:t>−</m:t>
              </m:r>
              <m:sSub>
                <m:e>
                  <m:r>
                    <m:t>δ</m:t>
                  </m:r>
                </m:e>
                <m:sub>
                  <m:r>
                    <m:t>t</m:t>
                  </m:r>
                </m:sub>
              </m:sSub>
            </m:e>
          </m:d>
          <m:sSubSup>
            <m:e>
              <m:r>
                <m:t>A</m:t>
              </m:r>
            </m:e>
            <m:sub>
              <m:r>
                <m:t>w</m:t>
              </m:r>
              <m:r>
                <m:rPr>
                  <m:sty m:val="p"/>
                </m:rPr>
                <m:t>,</m:t>
              </m:r>
              <m:r>
                <m:t>t</m:t>
              </m:r>
            </m:sub>
            <m:sup>
              <m:r>
                <m:t>0</m:t>
              </m:r>
            </m:sup>
          </m:sSubSup>
        </m:oMath>
      </m:oMathPara>
    </w:p>
    <w:p>
      <w:pPr>
        <w:pStyle w:val="EquationNumber"/>
      </w:pPr>
      <w:r>
        <w:t>（5-9）</w:t>
      </w:r>
    </w:p>
    <w:p>
      <w:pPr>
        <w:pStyle w:val="BodyText"/>
      </w:pPr>
      <w:r>
        <w:t xml:space="preserve">高温影响传统城市需求可用条件化需求模型表达：</w:t>
      </w:r>
    </w:p>
    <w:p>
      <w:pPr>
        <w:pStyle w:val="BodyText"/>
        <w:keepNext/>
        <w:spacing w:before="80" w:after="0"/>
        <w:ind w:firstLine="0"/>
        <w:jc w:val="center"/>
      </w:pPr>
      <m:oMathPara>
        <m:oMathParaPr>
          <m:jc m:val="center"/>
        </m:oMathParaPr>
        <m:oMath>
          <m:sSubSup>
            <m:e>
              <m:r>
                <m:t>D</m:t>
              </m:r>
            </m:e>
            <m:sub>
              <m:r>
                <m:t>b</m:t>
              </m:r>
              <m:r>
                <m:t>a</m:t>
              </m:r>
              <m:r>
                <m:t>s</m:t>
              </m:r>
              <m:r>
                <m:t>e</m:t>
              </m:r>
              <m:r>
                <m:rPr>
                  <m:sty m:val="p"/>
                </m:rPr>
                <m:t>,</m:t>
              </m:r>
              <m:r>
                <m:t>t</m:t>
              </m:r>
            </m:sub>
            <m:sup>
              <m:r>
                <m:t>h</m:t>
              </m:r>
              <m:r>
                <m:t>o</m:t>
              </m:r>
              <m:r>
                <m:t>t</m:t>
              </m:r>
            </m:sup>
          </m:sSubSup>
          <m:r>
            <m:rPr>
              <m:sty m:val="p"/>
            </m:rPr>
            <m:t>=</m:t>
          </m:r>
          <m:sSubSup>
            <m:e>
              <m:r>
                <m:t>D</m:t>
              </m:r>
            </m:e>
            <m:sub>
              <m:r>
                <m:t>b</m:t>
              </m:r>
              <m:r>
                <m:t>a</m:t>
              </m:r>
              <m:r>
                <m:t>s</m:t>
              </m:r>
              <m:r>
                <m:t>e</m:t>
              </m:r>
              <m:r>
                <m:rPr>
                  <m:sty m:val="p"/>
                </m:rPr>
                <m:t>,</m:t>
              </m:r>
              <m:r>
                <m:t>t</m:t>
              </m:r>
            </m:sub>
            <m:sup>
              <m:r>
                <m:t>0</m:t>
              </m:r>
            </m:sup>
          </m:sSubSup>
          <m:d>
            <m:dPr>
              <m:begChr m:val="["/>
              <m:endChr m:val="]"/>
              <m:sepChr m:val=""/>
              <m:grow/>
            </m:dPr>
            <m:e>
              <m:r>
                <m:t>1</m:t>
              </m:r>
              <m:r>
                <m:rPr>
                  <m:sty m:val="p"/>
                </m:rPr>
                <m:t>+</m:t>
              </m:r>
              <m:sSub>
                <m:e>
                  <m:r>
                    <m:t>β</m:t>
                  </m:r>
                </m:e>
                <m:sub>
                  <m:r>
                    <m:t>D</m:t>
                  </m:r>
                </m:sub>
              </m:sSub>
              <m:r>
                <m:rPr>
                  <m:sty m:val="p"/>
                </m:rPr>
                <m:t>max</m:t>
              </m:r>
              <m:d>
                <m:dPr>
                  <m:begChr m:val="("/>
                  <m:endChr m:val=")"/>
                  <m:sepChr m:val=""/>
                  <m:grow/>
                </m:dPr>
                <m:e>
                  <m:sSub>
                    <m:e>
                      <m:r>
                        <m:t>T</m:t>
                      </m:r>
                    </m:e>
                    <m:sub>
                      <m:r>
                        <m:t>t</m:t>
                      </m:r>
                    </m:sub>
                  </m:sSub>
                  <m:r>
                    <m:rPr>
                      <m:sty m:val="p"/>
                    </m:rPr>
                    <m:t>−</m:t>
                  </m:r>
                  <m:sSub>
                    <m:e>
                      <m:r>
                        <m:t>T</m:t>
                      </m:r>
                    </m:e>
                    <m:sub>
                      <m:r>
                        <m:t>r</m:t>
                      </m:r>
                      <m:r>
                        <m:t>e</m:t>
                      </m:r>
                      <m:r>
                        <m:t>f</m:t>
                      </m:r>
                    </m:sub>
                  </m:sSub>
                  <m:r>
                    <m:rPr>
                      <m:sty m:val="p"/>
                    </m:rPr>
                    <m:t>,</m:t>
                  </m:r>
                  <m:r>
                    <m:t>0</m:t>
                  </m:r>
                </m:e>
              </m:d>
            </m:e>
          </m:d>
        </m:oMath>
      </m:oMathPara>
    </w:p>
    <w:p>
      <w:pPr>
        <w:pStyle w:val="EquationNumber"/>
      </w:pPr>
      <w:r>
        <w:t>（5-10）</w:t>
      </w:r>
    </w:p>
    <w:p>
      <w:pPr>
        <w:pStyle w:val="BodyText"/>
      </w:pPr>
      <w:r>
        <w:rPr>
          <w:rFonts w:ascii="Times New Roman" w:hAnsi="Times New Roman" w:eastAsia="宋体"/>
          <w:sz w:val="21"/>
        </w:rPr>
        <w:t>复合压力情景同时施加温度升高、传统需求上升和水源可用量下降。情景范围参考CMIP6、IPCC AR6及复合风险文献</w:t>
      </w:r>
      <w:r>
        <w:rPr>
          <w:rFonts w:ascii="Times New Roman" w:hAnsi="Times New Roman" w:eastAsia="宋体"/>
          <w:sz w:val="17"/>
          <w:vertAlign w:val="superscript"/>
        </w:rPr>
        <w:t>[76,77,80]</w:t>
      </w:r>
      <w:r>
        <w:rPr>
          <w:rFonts w:ascii="Times New Roman" w:hAnsi="Times New Roman" w:eastAsia="宋体"/>
          <w:sz w:val="21"/>
        </w:rPr>
        <w:t>，但不把情景成员赋予主观“真实发生概率”。</w:t>
      </w:r>
    </w:p>
    <w:bookmarkEnd w:id="68"/>
    <w:bookmarkStart w:id="69" w:name="baseline反事实设计"/>
    <w:p>
      <w:pPr>
        <w:pStyle w:val="Heading2"/>
        <w:keepNext/>
        <w:keepLines/>
        <w:ind w:firstLine="0"/>
      </w:pPr>
      <w:r>
        <w:t xml:space="preserve">5.5 Baseline反事实设计</w:t>
      </w:r>
    </w:p>
    <w:p>
      <w:pPr>
        <w:pStyle w:val="FirstParagraph"/>
      </w:pPr>
      <w:r>
        <w:t xml:space="preserve">对任意相同城市状态与未来情景</w:t>
      </w:r>
      <w:r>
        <w:t xml:space="preserve"> </w:t>
      </w:r>
      <m:oMath>
        <m:r>
          <m:rPr>
            <m:sty m:val="b"/>
          </m:rPr>
          <m:t>θ</m:t>
        </m:r>
        <m:r>
          <m:rPr>
            <m:sty m:val="p"/>
          </m:rPr>
          <m:t>,</m:t>
        </m:r>
        <m:r>
          <m:t>s</m:t>
        </m:r>
      </m:oMath>
      <w:r>
        <w:t xml:space="preserve">，AI边际响应为：</w:t>
      </w:r>
    </w:p>
    <w:p>
      <w:pPr>
        <w:pStyle w:val="BodyText"/>
        <w:keepNext/>
        <w:spacing w:before="80" w:after="0"/>
        <w:ind w:firstLine="0"/>
        <w:jc w:val="center"/>
      </w:pPr>
      <m:oMathPara>
        <m:oMathParaPr>
          <m:jc m:val="center"/>
        </m:oMathParaPr>
        <m:oMath>
          <m:r>
            <m:t>Δ</m:t>
          </m:r>
          <m:r>
            <m:t>Y</m:t>
          </m:r>
          <m:r>
            <m:rPr>
              <m:sty m:val="p"/>
            </m:rPr>
            <m:t>=</m:t>
          </m:r>
          <m:r>
            <m:t>Y</m:t>
          </m:r>
          <m:d>
            <m:dPr>
              <m:begChr m:val="("/>
              <m:endChr m:val=")"/>
              <m:sepChr m:val=""/>
              <m:grow/>
            </m:dPr>
            <m:e>
              <m:sSub>
                <m:e>
                  <m:r>
                    <m:t>C</m:t>
                  </m:r>
                </m:e>
                <m:sub>
                  <m:r>
                    <m:t>A</m:t>
                  </m:r>
                  <m:r>
                    <m:t>I</m:t>
                  </m:r>
                </m:sub>
              </m:sSub>
              <m:r>
                <m:rPr>
                  <m:sty m:val="p"/>
                </m:rPr>
                <m:t>&gt;</m:t>
              </m:r>
              <m:r>
                <m:t>0</m:t>
              </m:r>
              <m:r>
                <m:rPr>
                  <m:sty m:val="p"/>
                </m:rPr>
                <m:t>,</m:t>
              </m:r>
              <m:r>
                <m:rPr>
                  <m:sty m:val="b"/>
                </m:rPr>
                <m:t>θ</m:t>
              </m:r>
              <m:r>
                <m:rPr>
                  <m:sty m:val="p"/>
                </m:rPr>
                <m:t>,</m:t>
              </m:r>
              <m:r>
                <m:t>s</m:t>
              </m:r>
            </m:e>
          </m:d>
          <m:r>
            <m:rPr>
              <m:sty m:val="p"/>
            </m:rPr>
            <m:t>−</m:t>
          </m:r>
          <m:r>
            <m:t>Y</m:t>
          </m:r>
          <m:d>
            <m:dPr>
              <m:begChr m:val="("/>
              <m:endChr m:val=")"/>
              <m:sepChr m:val=""/>
              <m:grow/>
            </m:dPr>
            <m:e>
              <m:sSub>
                <m:e>
                  <m:r>
                    <m:t>C</m:t>
                  </m:r>
                </m:e>
                <m:sub>
                  <m:r>
                    <m:t>A</m:t>
                  </m:r>
                  <m:r>
                    <m:t>I</m:t>
                  </m:r>
                </m:sub>
              </m:sSub>
              <m:r>
                <m:rPr>
                  <m:sty m:val="p"/>
                </m:rPr>
                <m:t>=</m:t>
              </m:r>
              <m:r>
                <m:t>0</m:t>
              </m:r>
              <m:r>
                <m:rPr>
                  <m:sty m:val="p"/>
                </m:rPr>
                <m:t>,</m:t>
              </m:r>
              <m:r>
                <m:rPr>
                  <m:sty m:val="b"/>
                </m:rPr>
                <m:t>θ</m:t>
              </m:r>
              <m:r>
                <m:rPr>
                  <m:sty m:val="p"/>
                </m:rPr>
                <m:t>,</m:t>
              </m:r>
              <m:r>
                <m:t>s</m:t>
              </m:r>
            </m:e>
          </m:d>
        </m:oMath>
      </m:oMathPara>
    </w:p>
    <w:p>
      <w:pPr>
        <w:pStyle w:val="EquationNumber"/>
      </w:pPr>
      <w:r>
        <w:t>（5-11）</w:t>
      </w:r>
    </w:p>
    <w:p>
      <w:pPr>
        <w:pStyle w:val="BodyText"/>
      </w:pPr>
      <w:r>
        <w:t xml:space="preserve">两组模拟中的气候、普通城市需水、基础设施和其他政策保持一致。该设计称为“模型情景反事实”或“AI边际增量模拟”，不使用观测因果推断术语。</w:t>
      </w:r>
    </w:p>
    <w:bookmarkEnd w:id="69"/>
    <w:bookmarkStart w:id="70" w:name="日尺度主模型与小时尺度极端周校核"/>
    <w:p>
      <w:pPr>
        <w:pStyle w:val="Heading2"/>
        <w:keepNext/>
        <w:keepLines/>
        <w:ind w:firstLine="0"/>
      </w:pPr>
      <w:r>
        <w:t xml:space="preserve">5.6 日尺度主模型与小时尺度极端周校核</w:t>
      </w:r>
    </w:p>
    <w:p>
      <w:pPr>
        <w:pStyle w:val="FirstParagraph"/>
      </w:pPr>
      <w:r>
        <w:t xml:space="preserve">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pPr>
        <w:pStyle w:val="BodyText"/>
      </w:pPr>
      <w:r>
        <w:t xml:space="preserve">定义日尺度与小时尺度CAWCC偏差：</w:t>
      </w:r>
    </w:p>
    <w:p>
      <w:pPr>
        <w:pStyle w:val="BodyText"/>
        <w:keepNext/>
        <w:spacing w:before="80" w:after="0"/>
        <w:ind w:firstLine="0"/>
        <w:jc w:val="center"/>
      </w:pPr>
      <m:oMathPara>
        <m:oMathParaPr>
          <m:jc m:val="center"/>
        </m:oMathParaPr>
        <m:oMath>
          <m:sSub>
            <m:e>
              <m:r>
                <m:t>B</m:t>
              </m:r>
            </m:e>
            <m:sub>
              <m:r>
                <m:t>h</m:t>
              </m:r>
              <m:r>
                <m:t>o</m:t>
              </m:r>
              <m:r>
                <m:t>u</m:t>
              </m:r>
              <m:r>
                <m:t>r</m:t>
              </m:r>
            </m:sub>
          </m:sSub>
          <m:r>
            <m:rPr>
              <m:sty m:val="p"/>
            </m:rPr>
            <m:t>=</m:t>
          </m:r>
          <m:f>
            <m:fPr>
              <m:type m:val="bar"/>
            </m:fPr>
            <m:num>
              <m:sSubSup>
                <m:e>
                  <m:r>
                    <m:t>C</m:t>
                  </m:r>
                </m:e>
                <m:sub>
                  <m:r>
                    <m:t>A</m:t>
                  </m:r>
                  <m:r>
                    <m:t>I</m:t>
                  </m:r>
                  <m:r>
                    <m:rPr>
                      <m:sty m:val="p"/>
                    </m:rPr>
                    <m:t>,</m:t>
                  </m:r>
                  <m:r>
                    <m:t>d</m:t>
                  </m:r>
                  <m:r>
                    <m:t>a</m:t>
                  </m:r>
                  <m:r>
                    <m:t>y</m:t>
                  </m:r>
                </m:sub>
                <m:sup>
                  <m:r>
                    <m:t>c</m:t>
                  </m:r>
                  <m:r>
                    <m:t>a</m:t>
                  </m:r>
                  <m:r>
                    <m:t>p</m:t>
                  </m:r>
                </m:sup>
              </m:sSubSup>
              <m:r>
                <m:rPr>
                  <m:sty m:val="p"/>
                </m:rPr>
                <m:t>−</m:t>
              </m:r>
              <m:sSubSup>
                <m:e>
                  <m:r>
                    <m:t>C</m:t>
                  </m:r>
                </m:e>
                <m:sub>
                  <m:r>
                    <m:t>A</m:t>
                  </m:r>
                  <m:r>
                    <m:t>I</m:t>
                  </m:r>
                  <m:r>
                    <m:rPr>
                      <m:sty m:val="p"/>
                    </m:rPr>
                    <m:t>,</m:t>
                  </m:r>
                  <m:r>
                    <m:t>h</m:t>
                  </m:r>
                  <m:r>
                    <m:t>o</m:t>
                  </m:r>
                  <m:r>
                    <m:t>u</m:t>
                  </m:r>
                  <m:r>
                    <m:t>r</m:t>
                  </m:r>
                </m:sub>
                <m:sup>
                  <m:r>
                    <m:t>c</m:t>
                  </m:r>
                  <m:r>
                    <m:t>a</m:t>
                  </m:r>
                  <m:r>
                    <m:t>p</m:t>
                  </m:r>
                </m:sup>
              </m:sSubSup>
            </m:num>
            <m:den>
              <m:sSubSup>
                <m:e>
                  <m:r>
                    <m:t>C</m:t>
                  </m:r>
                </m:e>
                <m:sub>
                  <m:r>
                    <m:t>A</m:t>
                  </m:r>
                  <m:r>
                    <m:t>I</m:t>
                  </m:r>
                  <m:r>
                    <m:rPr>
                      <m:sty m:val="p"/>
                    </m:rPr>
                    <m:t>,</m:t>
                  </m:r>
                  <m:r>
                    <m:t>h</m:t>
                  </m:r>
                  <m:r>
                    <m:t>o</m:t>
                  </m:r>
                  <m:r>
                    <m:t>u</m:t>
                  </m:r>
                  <m:r>
                    <m:t>r</m:t>
                  </m:r>
                </m:sub>
                <m:sup>
                  <m:r>
                    <m:t>c</m:t>
                  </m:r>
                  <m:r>
                    <m:t>a</m:t>
                  </m:r>
                  <m:r>
                    <m:t>p</m:t>
                  </m:r>
                </m:sup>
              </m:sSubSup>
            </m:den>
          </m:f>
        </m:oMath>
      </m:oMathPara>
    </w:p>
    <w:p>
      <w:pPr>
        <w:pStyle w:val="EquationNumber"/>
      </w:pPr>
      <w:r>
        <w:t>（5-12）</w:t>
      </w:r>
    </w:p>
    <w:p>
      <w:pPr>
        <w:pStyle w:val="BodyText"/>
      </w:pPr>
      <w:r>
        <w:t xml:space="preserve">若</w:t>
      </w:r>
      <w:r>
        <w:t xml:space="preserve"> </w:t>
      </w:r>
      <m:oMath>
        <m:sSub>
          <m:e>
            <m:r>
              <m:t>B</m:t>
            </m:r>
          </m:e>
          <m:sub>
            <m:r>
              <m:t>h</m:t>
            </m:r>
            <m:r>
              <m:t>o</m:t>
            </m:r>
            <m:r>
              <m:t>u</m:t>
            </m:r>
            <m:r>
              <m:t>r</m:t>
            </m:r>
          </m:sub>
        </m:sSub>
      </m:oMath>
      <w:r>
        <w:t xml:space="preserve"> </w:t>
      </w:r>
      <w:r>
        <w:t xml:space="preserve">在多数原型中较小，则支持日尺度作为战略模型；若偏差显著，则将小时校核结果用于修正峰值安全系数，而不是把整个2035模型扩展为小时级高成本模拟。</w:t>
      </w:r>
    </w:p>
    <w:bookmarkEnd w:id="70"/>
    <w:bookmarkStart w:id="71" w:name="X94589a16f7e6976de9f910ae7c3cd8866fbbb2f"/>
    <w:p>
      <w:pPr>
        <w:pStyle w:val="Heading2"/>
        <w:keepNext/>
        <w:keepLines/>
        <w:ind w:firstLine="0"/>
      </w:pPr>
      <w:r>
        <w:t xml:space="preserve">5.7 模型Verification、Benchmark与Robustness Evaluation体系</w:t>
      </w:r>
    </w:p>
    <w:p>
      <w:pPr>
        <w:pStyle w:val="FirstParagraph"/>
      </w:pPr>
      <w:r>
        <w:t xml:space="preserve">本研究不在缺少现实城市—数据中心联合逐日观测数据时笼统声称“完成外部验证”，而区分以下层次。</w:t>
      </w:r>
    </w:p>
    <w:p>
      <w:pPr>
        <w:pStyle w:val="BodyText"/>
      </w:pPr>
      <w:r>
        <w:rPr>
          <w:b/>
          <w:bCs/>
        </w:rPr>
        <w:t xml:space="preserve">第一层：Verification。</w:t>
      </w:r>
      <w:r>
        <w:t xml:space="preserve"> </w:t>
      </w:r>
      <w:r>
        <w:t xml:space="preserve">检查逐日总体与各子系统质量守恒、非负流量、容量限制、存储更新和随机复现。定义质量平衡残差：</w:t>
      </w:r>
    </w:p>
    <w:p>
      <w:pPr>
        <w:pStyle w:val="BodyText"/>
        <w:keepNext/>
        <w:spacing w:before="80" w:after="0"/>
        <w:ind w:firstLine="0"/>
        <w:jc w:val="center"/>
      </w:pPr>
      <m:oMathPara>
        <m:oMathParaPr>
          <m:jc m:val="center"/>
        </m:oMathParaPr>
        <m:oMath>
          <m:sSubSup>
            <m:e>
              <m:r>
                <m:t>ε</m:t>
              </m:r>
            </m:e>
            <m:sub>
              <m:r>
                <m:t>t</m:t>
              </m:r>
            </m:sub>
            <m:sup>
              <m:r>
                <m:t>W</m:t>
              </m:r>
              <m:r>
                <m:t>B</m:t>
              </m:r>
            </m:sup>
          </m:sSubSup>
          <m:r>
            <m:rPr>
              <m:sty m:val="p"/>
            </m:rPr>
            <m:t>=</m:t>
          </m:r>
          <m:r>
            <m:t>I</m:t>
          </m:r>
          <m:r>
            <m:t>n</m:t>
          </m:r>
          <m:r>
            <m:t>p</m:t>
          </m:r>
          <m:r>
            <m:t>u</m:t>
          </m:r>
          <m:r>
            <m:t>t</m:t>
          </m:r>
          <m:sSub>
            <m:e>
              <m:r>
                <m:t>s</m:t>
              </m:r>
            </m:e>
            <m:sub>
              <m:r>
                <m:t>t</m:t>
              </m:r>
            </m:sub>
          </m:sSub>
          <m:r>
            <m:rPr>
              <m:sty m:val="p"/>
            </m:rPr>
            <m:t>−</m:t>
          </m:r>
          <m:r>
            <m:t>O</m:t>
          </m:r>
          <m:r>
            <m:t>u</m:t>
          </m:r>
          <m:r>
            <m:t>t</m:t>
          </m:r>
          <m:r>
            <m:t>p</m:t>
          </m:r>
          <m:r>
            <m:t>u</m:t>
          </m:r>
          <m:r>
            <m:t>t</m:t>
          </m:r>
          <m:sSub>
            <m:e>
              <m:r>
                <m:t>s</m:t>
              </m:r>
            </m:e>
            <m:sub>
              <m:r>
                <m:t>t</m:t>
              </m:r>
            </m:sub>
          </m:sSub>
          <m:r>
            <m:rPr>
              <m:sty m:val="p"/>
            </m:rPr>
            <m:t>−</m:t>
          </m:r>
          <m:r>
            <m:t>Δ</m:t>
          </m:r>
          <m:sSub>
            <m:e>
              <m:r>
                <m:t>S</m:t>
              </m:r>
            </m:e>
            <m:sub>
              <m:r>
                <m:t>t</m:t>
              </m:r>
            </m:sub>
          </m:sSub>
        </m:oMath>
      </m:oMathPara>
    </w:p>
    <w:p>
      <w:pPr>
        <w:pStyle w:val="EquationNumber"/>
      </w:pPr>
      <w:r>
        <w:t>（5-13）</w:t>
      </w:r>
    </w:p>
    <w:p>
      <w:pPr>
        <w:pStyle w:val="BodyText"/>
      </w:pPr>
      <w:r>
        <w:t xml:space="preserve">要求误差低于数值容差。</w:t>
      </w:r>
    </w:p>
    <w:p>
      <w:pPr>
        <w:pStyle w:val="BodyText"/>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pPr>
        <w:pStyle w:val="BodyText"/>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pPr>
        <w:pStyle w:val="BodyText"/>
      </w:pPr>
      <w:r>
        <w:rPr>
          <w:b/>
          <w:bCs/>
        </w:rPr>
        <w:t xml:space="preserve">第四层：Structural Robustness。</w:t>
      </w:r>
      <w:r>
        <w:t xml:space="preserve"> </w:t>
      </w:r>
      <w:r>
        <w:t xml:space="preserve">对比机理冷却模型与经验WUE模型，测试关键结论和CAWCC是否对模型结构稳定。</w:t>
      </w:r>
    </w:p>
    <w:p>
      <w:pPr>
        <w:pStyle w:val="BodyText"/>
      </w:pPr>
      <w:r>
        <w:rPr>
          <w:rFonts w:ascii="Times New Roman" w:hAnsi="Times New Roman" w:eastAsia="宋体"/>
          <w:sz w:val="21"/>
        </w:rPr>
        <w:t>若某些子模型具有可用观测时间序列，再采用RMSE、PBIAS、NSE/KGE等统计指标补充评价</w:t>
      </w:r>
      <w:r>
        <w:rPr>
          <w:rFonts w:ascii="Times New Roman" w:hAnsi="Times New Roman" w:eastAsia="宋体"/>
          <w:sz w:val="17"/>
          <w:vertAlign w:val="superscript"/>
        </w:rPr>
        <w:t>[63]</w:t>
      </w:r>
      <w:r>
        <w:rPr>
          <w:rFonts w:ascii="Times New Roman" w:hAnsi="Times New Roman" w:eastAsia="宋体"/>
          <w:sz w:val="21"/>
        </w:rPr>
        <w:t>；不存在观测数据时不把Benchmark包装成现实预测验证。</w:t>
      </w:r>
    </w:p>
    <w:bookmarkEnd w:id="71"/>
    <w:bookmarkStart w:id="75" w:name="三层不确定性框架"/>
    <w:p>
      <w:pPr>
        <w:pStyle w:val="Heading2"/>
        <w:keepNext/>
        <w:keepLines/>
        <w:ind w:firstLine="0"/>
      </w:pPr>
      <w:r>
        <w:t xml:space="preserve">5.8 三层不确定性框架</w:t>
      </w:r>
    </w:p>
    <w:bookmarkStart w:id="72" w:name="参数不确定性"/>
    <w:p>
      <w:pPr>
        <w:pStyle w:val="Heading3"/>
        <w:keepNext/>
        <w:keepLines/>
        <w:ind w:firstLine="0"/>
      </w:pPr>
      <w:r>
        <w:t xml:space="preserve">参数不确定性</w:t>
      </w:r>
    </w:p>
    <w:p>
      <w:pPr>
        <w:pStyle w:val="FirstParagraph"/>
      </w:pPr>
      <w:r>
        <w:rPr>
          <w:rFonts w:ascii="Times New Roman" w:hAnsi="Times New Roman" w:eastAsia="宋体"/>
          <w:sz w:val="21"/>
        </w:rPr>
        <w:t>PUE、负载率、CoC、污水回流率等拥有经验范围的变量采用联合/条件概率分布，通过Monte Carlo传播，并用Morris/Sobol识别关键参数</w:t>
      </w:r>
      <w:r>
        <w:rPr>
          <w:rFonts w:ascii="Times New Roman" w:hAnsi="Times New Roman" w:eastAsia="宋体"/>
          <w:sz w:val="17"/>
          <w:vertAlign w:val="superscript"/>
        </w:rPr>
        <w:t>[64–68]</w:t>
      </w:r>
      <w:r>
        <w:rPr>
          <w:rFonts w:ascii="Times New Roman" w:hAnsi="Times New Roman" w:eastAsia="宋体"/>
          <w:sz w:val="21"/>
        </w:rPr>
        <w:t>。</w:t>
      </w:r>
    </w:p>
    <w:bookmarkEnd w:id="72"/>
    <w:bookmarkStart w:id="73" w:name="结构不确定性"/>
    <w:p>
      <w:pPr>
        <w:pStyle w:val="Heading3"/>
        <w:keepNext/>
        <w:keepLines/>
        <w:ind w:firstLine="0"/>
      </w:pPr>
      <w:r>
        <w:t xml:space="preserve">结构不确定性</w:t>
      </w:r>
    </w:p>
    <w:p>
      <w:pPr>
        <w:pStyle w:val="FirstParagraph"/>
      </w:pPr>
      <w:r>
        <w:t xml:space="preserve">采用机理冷却模型与WUE经验模型、不同城市需水响应函数等模型结构对照，报告结论是否发生变化。</w:t>
      </w:r>
    </w:p>
    <w:bookmarkEnd w:id="73"/>
    <w:bookmarkStart w:id="74" w:name="深度未来不确定性"/>
    <w:p>
      <w:pPr>
        <w:pStyle w:val="Heading3"/>
        <w:keepNext/>
        <w:keepLines/>
        <w:ind w:firstLine="0"/>
      </w:pPr>
      <w:r>
        <w:t xml:space="preserve">深度未来不确定性</w:t>
      </w:r>
    </w:p>
    <w:p>
      <w:pPr>
        <w:pStyle w:val="FirstParagraph"/>
      </w:pPr>
      <w:r>
        <w:rPr>
          <w:rFonts w:ascii="Times New Roman" w:hAnsi="Times New Roman" w:eastAsia="宋体"/>
          <w:sz w:val="21"/>
        </w:rPr>
        <w:t>AI增长、长期气候路径、政策、基础设施建设时点等无法可靠赋予概率的因素，以离散情景集合、scenario discovery和适应性路径处理</w:t>
      </w:r>
      <w:r>
        <w:rPr>
          <w:rFonts w:ascii="Times New Roman" w:hAnsi="Times New Roman" w:eastAsia="宋体"/>
          <w:sz w:val="17"/>
          <w:vertAlign w:val="superscript"/>
        </w:rPr>
        <w:t>[69–74]</w:t>
      </w:r>
      <w:r>
        <w:rPr>
          <w:rFonts w:ascii="Times New Roman" w:hAnsi="Times New Roman" w:eastAsia="宋体"/>
          <w:sz w:val="21"/>
        </w:rPr>
        <w:t>，不混入参数概率分布。</w:t>
      </w:r>
    </w:p>
    <w:p>
      <w:pPr>
        <w:pStyle w:val="BodyText"/>
      </w:pPr>
      <w:r>
        <w:t xml:space="preserve">同时定义结果相对不确定宽度：</w:t>
      </w:r>
    </w:p>
    <w:p>
      <w:pPr>
        <w:pStyle w:val="BodyText"/>
        <w:keepNext/>
        <w:spacing w:before="80" w:after="0"/>
        <w:ind w:firstLine="0"/>
        <w:jc w:val="center"/>
      </w:pPr>
      <m:oMathPara>
        <m:oMathParaPr>
          <m:jc m:val="center"/>
        </m:oMathParaPr>
        <m:oMath>
          <m:sSub>
            <m:e>
              <m:r>
                <m:t>U</m:t>
              </m:r>
            </m:e>
            <m:sub>
              <m:r>
                <m:t>C</m:t>
              </m:r>
            </m:sub>
          </m:sSub>
          <m:r>
            <m:rPr>
              <m:sty m:val="p"/>
            </m:rPr>
            <m:t>=</m:t>
          </m:r>
          <m:f>
            <m:fPr>
              <m:type m:val="bar"/>
            </m:fPr>
            <m:num>
              <m:sSub>
                <m:e>
                  <m:r>
                    <m:t>P</m:t>
                  </m:r>
                </m:e>
                <m:sub>
                  <m:r>
                    <m:t>95</m:t>
                  </m:r>
                </m:sub>
              </m:sSub>
              <m:d>
                <m:dPr>
                  <m:begChr m:val="("/>
                  <m:endChr m:val=")"/>
                  <m:sepChr m:val=""/>
                  <m:grow/>
                </m:dPr>
                <m:e>
                  <m:sSubSup>
                    <m:e>
                      <m:r>
                        <m:t>C</m:t>
                      </m:r>
                    </m:e>
                    <m:sub>
                      <m:r>
                        <m:t>A</m:t>
                      </m:r>
                      <m:r>
                        <m:t>I</m:t>
                      </m:r>
                    </m:sub>
                    <m:sup>
                      <m:r>
                        <m:t>c</m:t>
                      </m:r>
                      <m:r>
                        <m:t>a</m:t>
                      </m:r>
                      <m:r>
                        <m:t>p</m:t>
                      </m:r>
                    </m:sup>
                  </m:sSubSup>
                </m:e>
              </m:d>
              <m:r>
                <m:rPr>
                  <m:sty m:val="p"/>
                </m:rPr>
                <m:t>−</m:t>
              </m:r>
              <m:sSub>
                <m:e>
                  <m:r>
                    <m:t>P</m:t>
                  </m:r>
                </m:e>
                <m:sub>
                  <m:r>
                    <m:t>05</m:t>
                  </m:r>
                </m:sub>
              </m:sSub>
              <m:d>
                <m:dPr>
                  <m:begChr m:val="("/>
                  <m:endChr m:val=")"/>
                  <m:sepChr m:val=""/>
                  <m:grow/>
                </m:dPr>
                <m:e>
                  <m:sSubSup>
                    <m:e>
                      <m:r>
                        <m:t>C</m:t>
                      </m:r>
                    </m:e>
                    <m:sub>
                      <m:r>
                        <m:t>A</m:t>
                      </m:r>
                      <m:r>
                        <m:t>I</m:t>
                      </m:r>
                    </m:sub>
                    <m:sup>
                      <m:r>
                        <m:t>c</m:t>
                      </m:r>
                      <m:r>
                        <m:t>a</m:t>
                      </m:r>
                      <m:r>
                        <m:t>p</m:t>
                      </m:r>
                    </m:sup>
                  </m:sSubSup>
                </m:e>
              </m:d>
            </m:num>
            <m:den>
              <m:sSub>
                <m:e>
                  <m:r>
                    <m:t>P</m:t>
                  </m:r>
                </m:e>
                <m:sub>
                  <m:r>
                    <m:t>50</m:t>
                  </m:r>
                </m:sub>
              </m:sSub>
              <m:d>
                <m:dPr>
                  <m:begChr m:val="("/>
                  <m:endChr m:val=")"/>
                  <m:sepChr m:val=""/>
                  <m:grow/>
                </m:dPr>
                <m:e>
                  <m:sSubSup>
                    <m:e>
                      <m:r>
                        <m:t>C</m:t>
                      </m:r>
                    </m:e>
                    <m:sub>
                      <m:r>
                        <m:t>A</m:t>
                      </m:r>
                      <m:r>
                        <m:t>I</m:t>
                      </m:r>
                    </m:sub>
                    <m:sup>
                      <m:r>
                        <m:t>c</m:t>
                      </m:r>
                      <m:r>
                        <m:t>a</m:t>
                      </m:r>
                      <m:r>
                        <m:t>p</m:t>
                      </m:r>
                    </m:sup>
                  </m:sSubSup>
                </m:e>
              </m:d>
            </m:den>
          </m:f>
        </m:oMath>
      </m:oMathPara>
    </w:p>
    <w:p>
      <w:pPr>
        <w:pStyle w:val="EquationNumber"/>
      </w:pPr>
      <w:r>
        <w:t>（5-14）</w:t>
      </w:r>
    </w:p>
    <w:p>
      <w:pPr>
        <w:pStyle w:val="BodyText"/>
      </w:pPr>
      <w:r>
        <w:t xml:space="preserve">若关键情景下</w:t>
      </w:r>
      <w:r>
        <w:t xml:space="preserve"> </w:t>
      </w:r>
      <m:oMath>
        <m:sSub>
          <m:e>
            <m:r>
              <m:t>U</m:t>
            </m:r>
          </m:e>
          <m:sub>
            <m:r>
              <m:t>C</m:t>
            </m:r>
          </m:sub>
        </m:sSub>
      </m:oMath>
      <w:r>
        <w:t xml:space="preserve"> </w:t>
      </w:r>
      <w:r>
        <w:t xml:space="preserve">过大、技术排序频繁反转或结果主要由宽泛先验控制，则结论标记为“不可充分辨识”，并把相应变量列为优先数据需求，而不是强行输出精确规划值。</w:t>
      </w:r>
    </w:p>
    <w:bookmarkEnd w:id="74"/>
    <w:bookmarkEnd w:id="75"/>
    <w:bookmarkEnd w:id="76"/>
    <w:bookmarkStart w:id="90" w:name="第6章-城市水代谢响应cawcc与规划分析"/>
    <w:p>
      <w:pPr>
        <w:pStyle w:val="Heading1"/>
        <w:keepNext/>
        <w:keepLines/>
        <w:ind w:firstLine="0"/>
      </w:pPr>
      <w:r>
        <w:t xml:space="preserve">第6章 城市水代谢响应、CAWCC与规划分析</w:t>
      </w:r>
    </w:p>
    <w:bookmarkStart w:id="77" w:name="水量增量和代谢结构响应"/>
    <w:p>
      <w:pPr>
        <w:pStyle w:val="Heading2"/>
        <w:keepNext/>
        <w:keepLines/>
        <w:ind w:firstLine="0"/>
      </w:pPr>
      <w:r>
        <w:t xml:space="preserve">6.1 水量增量和代谢结构响应</w:t>
      </w:r>
    </w:p>
    <w:p>
      <w:pPr>
        <w:pStyle w:val="FirstParagraph"/>
      </w:pPr>
      <w:r>
        <w:t xml:space="preserve">首先计算AI相对于Baseline引起的淡水、消耗与回流变化：</w:t>
      </w:r>
    </w:p>
    <w:p>
      <w:pPr>
        <w:pStyle w:val="BodyText"/>
        <w:keepNext/>
        <w:spacing w:before="80" w:after="0"/>
        <w:ind w:firstLine="0"/>
        <w:jc w:val="center"/>
      </w:pPr>
      <m:oMathPara>
        <m:oMathParaPr>
          <m:jc m:val="center"/>
        </m:oMathParaPr>
        <m:oMath>
          <m:r>
            <m:t>Δ</m:t>
          </m:r>
          <m:sSup>
            <m:e>
              <m:r>
                <m:t>W</m:t>
              </m:r>
            </m:e>
            <m:sup>
              <m:r>
                <m:t>f</m:t>
              </m:r>
              <m:r>
                <m:t>r</m:t>
              </m:r>
              <m:r>
                <m:t>e</m:t>
              </m:r>
              <m:r>
                <m:t>s</m:t>
              </m:r>
              <m:r>
                <m:t>h</m:t>
              </m:r>
            </m:sup>
          </m:sSup>
          <m:r>
            <m:rPr>
              <m:sty m:val="p"/>
            </m:rPr>
            <m:t>=</m:t>
          </m:r>
          <m:sSubSup>
            <m:e>
              <m:r>
                <m:t>W</m:t>
              </m:r>
            </m:e>
            <m:sub>
              <m:r>
                <m:t>A</m:t>
              </m:r>
              <m:r>
                <m:t>I</m:t>
              </m:r>
            </m:sub>
            <m:sup>
              <m:r>
                <m:t>f</m:t>
              </m:r>
              <m:r>
                <m:t>r</m:t>
              </m:r>
              <m:r>
                <m:t>e</m:t>
              </m:r>
              <m:r>
                <m:t>s</m:t>
              </m:r>
              <m:r>
                <m:t>h</m:t>
              </m:r>
            </m:sup>
          </m:sSubSup>
          <m:r>
            <m:rPr>
              <m:sty m:val="p"/>
            </m:rPr>
            <m:t>−</m:t>
          </m:r>
          <m:sSubSup>
            <m:e>
              <m:r>
                <m:t>W</m:t>
              </m:r>
            </m:e>
            <m:sub>
              <m:r>
                <m:t>b</m:t>
              </m:r>
              <m:r>
                <m:t>a</m:t>
              </m:r>
              <m:r>
                <m:t>s</m:t>
              </m:r>
              <m:r>
                <m:t>e</m:t>
              </m:r>
            </m:sub>
            <m:sup>
              <m:r>
                <m:t>f</m:t>
              </m:r>
              <m:r>
                <m:t>r</m:t>
              </m:r>
              <m:r>
                <m:t>e</m:t>
              </m:r>
              <m:r>
                <m:t>s</m:t>
              </m:r>
              <m:r>
                <m:t>h</m:t>
              </m:r>
            </m:sup>
          </m:sSubSup>
        </m:oMath>
      </m:oMathPara>
    </w:p>
    <w:p>
      <w:pPr>
        <w:pStyle w:val="EquationNumber"/>
      </w:pPr>
      <w:r>
        <w:t>（6-1）</w:t>
      </w:r>
    </w:p>
    <w:p>
      <w:pPr>
        <w:pStyle w:val="BodyText"/>
        <w:keepNext/>
        <w:spacing w:before="80" w:after="0"/>
        <w:ind w:firstLine="0"/>
        <w:jc w:val="center"/>
      </w:pPr>
      <m:oMathPara>
        <m:oMathParaPr>
          <m:jc m:val="center"/>
        </m:oMathParaPr>
        <m:oMath>
          <m:r>
            <m:t>Δ</m:t>
          </m:r>
          <m:r>
            <m:t>C</m:t>
          </m:r>
          <m:r>
            <m:rPr>
              <m:sty m:val="p"/>
            </m:rPr>
            <m:t>=</m:t>
          </m:r>
          <m:sSubSup>
            <m:e>
              <m:r>
                <m:t>C</m:t>
              </m:r>
            </m:e>
            <m:sub>
              <m:r>
                <m:t>A</m:t>
              </m:r>
              <m:r>
                <m:t>I</m:t>
              </m:r>
            </m:sub>
            <m:sup>
              <m:r>
                <m:t>s</m:t>
              </m:r>
              <m:r>
                <m:t>y</m:t>
              </m:r>
              <m:r>
                <m:t>s</m:t>
              </m:r>
            </m:sup>
          </m:sSubSup>
          <m:r>
            <m:rPr>
              <m:sty m:val="p"/>
            </m:rPr>
            <m:t>−</m:t>
          </m:r>
          <m:sSubSup>
            <m:e>
              <m:r>
                <m:t>C</m:t>
              </m:r>
            </m:e>
            <m:sub>
              <m:r>
                <m:t>b</m:t>
              </m:r>
              <m:r>
                <m:t>a</m:t>
              </m:r>
              <m:r>
                <m:t>s</m:t>
              </m:r>
              <m:r>
                <m:t>e</m:t>
              </m:r>
            </m:sub>
            <m:sup>
              <m:r>
                <m:t>s</m:t>
              </m:r>
              <m:r>
                <m:t>y</m:t>
              </m:r>
              <m:r>
                <m:t>s</m:t>
              </m:r>
            </m:sup>
          </m:sSubSup>
          <m:r>
            <m:rPr>
              <m:sty m:val="p"/>
            </m:rPr>
            <m:t>,</m:t>
          </m:r>
          <m:r>
            <m:t>  </m:t>
          </m:r>
          <m:r>
            <m:t>Δ</m:t>
          </m:r>
          <m:r>
            <m:t>R</m:t>
          </m:r>
          <m:r>
            <m:rPr>
              <m:sty m:val="p"/>
            </m:rPr>
            <m:t>=</m:t>
          </m:r>
          <m:sSubSup>
            <m:e>
              <m:r>
                <m:t>R</m:t>
              </m:r>
            </m:e>
            <m:sub>
              <m:r>
                <m:t>A</m:t>
              </m:r>
              <m:r>
                <m:t>I</m:t>
              </m:r>
            </m:sub>
            <m:sup>
              <m:r>
                <m:t>s</m:t>
              </m:r>
              <m:r>
                <m:t>y</m:t>
              </m:r>
              <m:r>
                <m:t>s</m:t>
              </m:r>
            </m:sup>
          </m:sSubSup>
          <m:r>
            <m:rPr>
              <m:sty m:val="p"/>
            </m:rPr>
            <m:t>−</m:t>
          </m:r>
          <m:sSubSup>
            <m:e>
              <m:r>
                <m:t>R</m:t>
              </m:r>
            </m:e>
            <m:sub>
              <m:r>
                <m:t>b</m:t>
              </m:r>
              <m:r>
                <m:t>a</m:t>
              </m:r>
              <m:r>
                <m:t>s</m:t>
              </m:r>
              <m:r>
                <m:t>e</m:t>
              </m:r>
            </m:sub>
            <m:sup>
              <m:r>
                <m:t>s</m:t>
              </m:r>
              <m:r>
                <m:t>y</m:t>
              </m:r>
              <m:r>
                <m:t>s</m:t>
              </m:r>
            </m:sup>
          </m:sSubSup>
        </m:oMath>
      </m:oMathPara>
    </w:p>
    <w:p>
      <w:pPr>
        <w:pStyle w:val="EquationNumber"/>
      </w:pPr>
      <w:r>
        <w:t>（6-2）</w:t>
      </w:r>
    </w:p>
    <w:p>
      <w:pPr>
        <w:pStyle w:val="BodyText"/>
      </w:pPr>
      <w:r>
        <w:t xml:space="preserve">同时计算淡水依赖率、再生水利用率、内部循环率、消耗比例和回流比例：</w:t>
      </w:r>
    </w:p>
    <w:p>
      <w:pPr>
        <w:pStyle w:val="BodyText"/>
        <w:keepNext/>
        <w:spacing w:before="80" w:after="0"/>
        <w:ind w:firstLine="0"/>
        <w:jc w:val="center"/>
      </w:pPr>
      <m:oMathPara>
        <m:oMathParaPr>
          <m:jc m:val="center"/>
        </m:oMathParaPr>
        <m:oMath>
          <m:r>
            <m:t>F</m:t>
          </m:r>
          <m:r>
            <m:t>D</m:t>
          </m:r>
          <m:r>
            <m:t>R</m:t>
          </m:r>
          <m:r>
            <m:rPr>
              <m:sty m:val="p"/>
            </m:rPr>
            <m:t>=</m:t>
          </m:r>
          <m:f>
            <m:fPr>
              <m:type m:val="bar"/>
            </m:fPr>
            <m:num>
              <m:sSup>
                <m:e>
                  <m:r>
                    <m:t>W</m:t>
                  </m:r>
                </m:e>
                <m:sup>
                  <m:r>
                    <m:t>f</m:t>
                  </m:r>
                  <m:r>
                    <m:t>r</m:t>
                  </m:r>
                  <m:r>
                    <m:t>e</m:t>
                  </m:r>
                  <m:r>
                    <m:t>s</m:t>
                  </m:r>
                  <m:r>
                    <m:t>h</m:t>
                  </m:r>
                </m:sup>
              </m:sSup>
            </m:num>
            <m:den>
              <m:sSup>
                <m:e>
                  <m:r>
                    <m:t>D</m:t>
                  </m:r>
                </m:e>
                <m:sup>
                  <m:r>
                    <m:t>g</m:t>
                  </m:r>
                  <m:r>
                    <m:t>r</m:t>
                  </m:r>
                  <m:r>
                    <m:t>o</m:t>
                  </m:r>
                  <m:r>
                    <m:t>s</m:t>
                  </m:r>
                  <m:r>
                    <m:t>s</m:t>
                  </m:r>
                </m:sup>
              </m:sSup>
            </m:den>
          </m:f>
        </m:oMath>
      </m:oMathPara>
    </w:p>
    <w:p>
      <w:pPr>
        <w:pStyle w:val="EquationNumber"/>
      </w:pPr>
      <w:r>
        <w:t>（6-3）</w:t>
      </w:r>
    </w:p>
    <w:p>
      <w:pPr>
        <w:pStyle w:val="BodyText"/>
        <w:keepNext/>
        <w:spacing w:before="80" w:after="0"/>
        <w:ind w:firstLine="0"/>
        <w:jc w:val="center"/>
      </w:pPr>
      <m:oMathPara>
        <m:oMathParaPr>
          <m:jc m:val="center"/>
        </m:oMathParaPr>
        <m:oMath>
          <m:r>
            <m:t>R</m:t>
          </m:r>
          <m:r>
            <m:t>U</m:t>
          </m:r>
          <m:r>
            <m:t>R</m:t>
          </m:r>
          <m:r>
            <m:rPr>
              <m:sty m:val="p"/>
            </m:rPr>
            <m:t>=</m:t>
          </m:r>
          <m:f>
            <m:fPr>
              <m:type m:val="bar"/>
            </m:fPr>
            <m:num>
              <m:sSup>
                <m:e>
                  <m:r>
                    <m:t>W</m:t>
                  </m:r>
                </m:e>
                <m:sup>
                  <m:r>
                    <m:t>r</m:t>
                  </m:r>
                  <m:r>
                    <m:t>e</m:t>
                  </m:r>
                  <m:r>
                    <m:t>c</m:t>
                  </m:r>
                  <m:r>
                    <m:t>l</m:t>
                  </m:r>
                  <m:r>
                    <m:t>a</m:t>
                  </m:r>
                  <m:r>
                    <m:t>i</m:t>
                  </m:r>
                  <m:r>
                    <m:t>m</m:t>
                  </m:r>
                  <m:r>
                    <m:t>e</m:t>
                  </m:r>
                  <m:r>
                    <m:t>d</m:t>
                  </m:r>
                </m:sup>
              </m:sSup>
            </m:num>
            <m:den>
              <m:sSup>
                <m:e>
                  <m:r>
                    <m:t>D</m:t>
                  </m:r>
                </m:e>
                <m:sup>
                  <m:r>
                    <m:t>g</m:t>
                  </m:r>
                  <m:r>
                    <m:t>r</m:t>
                  </m:r>
                  <m:r>
                    <m:t>o</m:t>
                  </m:r>
                  <m:r>
                    <m:t>s</m:t>
                  </m:r>
                  <m:r>
                    <m:t>s</m:t>
                  </m:r>
                </m:sup>
              </m:sSup>
            </m:den>
          </m:f>
        </m:oMath>
      </m:oMathPara>
    </w:p>
    <w:p>
      <w:pPr>
        <w:pStyle w:val="EquationNumber"/>
      </w:pPr>
      <w:r>
        <w:t>（6-4）</w:t>
      </w:r>
    </w:p>
    <w:p>
      <w:pPr>
        <w:pStyle w:val="BodyText"/>
        <w:keepNext/>
        <w:spacing w:before="80" w:after="0"/>
        <w:ind w:firstLine="0"/>
        <w:jc w:val="center"/>
      </w:pPr>
      <m:oMathPara>
        <m:oMathParaPr>
          <m:jc m:val="center"/>
        </m:oMathParaPr>
        <m:oMath>
          <m:r>
            <m:t>U</m:t>
          </m:r>
          <m:r>
            <m:t>W</m:t>
          </m:r>
          <m:r>
            <m:t>C</m:t>
          </m:r>
          <m:r>
            <m:rPr>
              <m:sty m:val="p"/>
            </m:rPr>
            <m:t>=</m:t>
          </m:r>
          <m:f>
            <m:fPr>
              <m:type m:val="bar"/>
            </m:fPr>
            <m:num>
              <m:sSup>
                <m:e>
                  <m:r>
                    <m:t>W</m:t>
                  </m:r>
                </m:e>
                <m:sup>
                  <m:r>
                    <m:t>r</m:t>
                  </m:r>
                  <m:r>
                    <m:t>e</m:t>
                  </m:r>
                  <m:r>
                    <m:t>u</m:t>
                  </m:r>
                  <m:r>
                    <m:t>s</m:t>
                  </m:r>
                  <m:r>
                    <m:t>e</m:t>
                  </m:r>
                </m:sup>
              </m:sSup>
            </m:num>
            <m:den>
              <m:sSup>
                <m:e>
                  <m:r>
                    <m:t>W</m:t>
                  </m:r>
                </m:e>
                <m:sup>
                  <m:r>
                    <m:t>f</m:t>
                  </m:r>
                  <m:r>
                    <m:t>r</m:t>
                  </m:r>
                  <m:r>
                    <m:t>e</m:t>
                  </m:r>
                  <m:r>
                    <m:t>s</m:t>
                  </m:r>
                  <m:r>
                    <m:t>h</m:t>
                  </m:r>
                </m:sup>
              </m:sSup>
              <m:r>
                <m:rPr>
                  <m:sty m:val="p"/>
                </m:rPr>
                <m:t>+</m:t>
              </m:r>
              <m:sSup>
                <m:e>
                  <m:r>
                    <m:t>W</m:t>
                  </m:r>
                </m:e>
                <m:sup>
                  <m:r>
                    <m:t>r</m:t>
                  </m:r>
                  <m:r>
                    <m:t>e</m:t>
                  </m:r>
                  <m:r>
                    <m:t>u</m:t>
                  </m:r>
                  <m:r>
                    <m:t>s</m:t>
                  </m:r>
                  <m:r>
                    <m:t>e</m:t>
                  </m:r>
                </m:sup>
              </m:sSup>
            </m:den>
          </m:f>
        </m:oMath>
      </m:oMathPara>
    </w:p>
    <w:p>
      <w:pPr>
        <w:pStyle w:val="EquationNumber"/>
      </w:pPr>
      <w:r>
        <w:t>（6-5）</w:t>
      </w:r>
    </w:p>
    <w:p>
      <w:pPr>
        <w:pStyle w:val="BodyText"/>
        <w:keepNext/>
        <w:spacing w:before="80" w:after="0"/>
        <w:ind w:firstLine="0"/>
        <w:jc w:val="center"/>
      </w:pPr>
      <m:oMathPara>
        <m:oMathParaPr>
          <m:jc m:val="center"/>
        </m:oMathParaPr>
        <m:oMath>
          <m:r>
            <m:t>C</m:t>
          </m:r>
          <m:r>
            <m:t>U</m:t>
          </m:r>
          <m:r>
            <m:t>F</m:t>
          </m:r>
          <m:r>
            <m:rPr>
              <m:sty m:val="p"/>
            </m:rPr>
            <m:t>=</m:t>
          </m:r>
          <m:f>
            <m:fPr>
              <m:type m:val="bar"/>
            </m:fPr>
            <m:num>
              <m:sSup>
                <m:e>
                  <m:r>
                    <m:t>C</m:t>
                  </m:r>
                </m:e>
                <m:sup>
                  <m:r>
                    <m:t>s</m:t>
                  </m:r>
                  <m:r>
                    <m:t>y</m:t>
                  </m:r>
                  <m:r>
                    <m:t>s</m:t>
                  </m:r>
                </m:sup>
              </m:sSup>
            </m:num>
            <m:den>
              <m:sSup>
                <m:e>
                  <m:r>
                    <m:t>W</m:t>
                  </m:r>
                </m:e>
                <m:sup>
                  <m:r>
                    <m:t>w</m:t>
                  </m:r>
                  <m:r>
                    <m:t>i</m:t>
                  </m:r>
                  <m:r>
                    <m:t>t</m:t>
                  </m:r>
                  <m:r>
                    <m:t>h</m:t>
                  </m:r>
                  <m:r>
                    <m:t>d</m:t>
                  </m:r>
                  <m:r>
                    <m:t>r</m:t>
                  </m:r>
                  <m:r>
                    <m:t>a</m:t>
                  </m:r>
                  <m:r>
                    <m:t>w</m:t>
                  </m:r>
                  <m:r>
                    <m:t>a</m:t>
                  </m:r>
                  <m:r>
                    <m:t>l</m:t>
                  </m:r>
                </m:sup>
              </m:sSup>
            </m:den>
          </m:f>
          <m:r>
            <m:rPr>
              <m:sty m:val="p"/>
            </m:rPr>
            <m:t>,</m:t>
          </m:r>
          <m:r>
            <m:t>  </m:t>
          </m:r>
          <m:r>
            <m:t>R</m:t>
          </m:r>
          <m:r>
            <m:t>F</m:t>
          </m:r>
          <m:r>
            <m:t>R</m:t>
          </m:r>
          <m:r>
            <m:rPr>
              <m:sty m:val="p"/>
            </m:rPr>
            <m:t>=</m:t>
          </m:r>
          <m:f>
            <m:fPr>
              <m:type m:val="bar"/>
            </m:fPr>
            <m:num>
              <m:sSup>
                <m:e>
                  <m:r>
                    <m:t>R</m:t>
                  </m:r>
                </m:e>
                <m:sup>
                  <m:r>
                    <m:t>s</m:t>
                  </m:r>
                  <m:r>
                    <m:t>y</m:t>
                  </m:r>
                  <m:r>
                    <m:t>s</m:t>
                  </m:r>
                </m:sup>
              </m:sSup>
            </m:num>
            <m:den>
              <m:sSup>
                <m:e>
                  <m:r>
                    <m:t>W</m:t>
                  </m:r>
                </m:e>
                <m:sup>
                  <m:r>
                    <m:t>w</m:t>
                  </m:r>
                  <m:r>
                    <m:t>i</m:t>
                  </m:r>
                  <m:r>
                    <m:t>t</m:t>
                  </m:r>
                  <m:r>
                    <m:t>h</m:t>
                  </m:r>
                  <m:r>
                    <m:t>d</m:t>
                  </m:r>
                  <m:r>
                    <m:t>r</m:t>
                  </m:r>
                  <m:r>
                    <m:t>a</m:t>
                  </m:r>
                  <m:r>
                    <m:t>w</m:t>
                  </m:r>
                  <m:r>
                    <m:t>a</m:t>
                  </m:r>
                  <m:r>
                    <m:t>l</m:t>
                  </m:r>
                </m:sup>
              </m:sSup>
            </m:den>
          </m:f>
        </m:oMath>
      </m:oMathPara>
    </w:p>
    <w:p>
      <w:pPr>
        <w:pStyle w:val="EquationNumber"/>
      </w:pPr>
      <w:r>
        <w:t>（6-6）</w:t>
      </w:r>
    </w:p>
    <w:p>
      <w:pPr>
        <w:pStyle w:val="BodyText"/>
      </w:pPr>
      <w:r>
        <w:t xml:space="preserve">这些指标与第3章的流路径结构距离联合使用，以区分“单纯规模放大”和“城市水代谢重构”。</w:t>
      </w:r>
    </w:p>
    <w:bookmarkEnd w:id="77"/>
    <w:bookmarkStart w:id="78" w:name="潜在基础设施压力而非截断后利用率"/>
    <w:p>
      <w:pPr>
        <w:pStyle w:val="Heading2"/>
        <w:keepNext/>
        <w:keepLines/>
        <w:ind w:firstLine="0"/>
      </w:pPr>
      <w:r>
        <w:t xml:space="preserve">6.2 潜在基础设施压力而非截断后利用率</w:t>
      </w:r>
    </w:p>
    <w:p>
      <w:pPr>
        <w:pStyle w:val="FirstParagraph"/>
      </w:pPr>
      <w:r>
        <w:t xml:space="preserve">给水设施潜在负荷率定义为所有待处理需求对应的水厂负荷与能力之比：</w:t>
      </w:r>
    </w:p>
    <w:p>
      <w:pPr>
        <w:pStyle w:val="BodyText"/>
        <w:keepNext/>
        <w:spacing w:before="80" w:after="0"/>
        <w:ind w:firstLine="0"/>
        <w:jc w:val="center"/>
      </w:pPr>
      <m:oMathPara>
        <m:oMathParaPr>
          <m:jc m:val="center"/>
        </m:oMathParaPr>
        <m:oMath>
          <m:sSubSup>
            <m:e>
              <m:r>
                <m:t>U</m:t>
              </m:r>
            </m:e>
            <m:sub>
              <m:r>
                <m:t>W</m:t>
              </m:r>
              <m:r>
                <m:t>T</m:t>
              </m:r>
              <m:r>
                <m:t>W</m:t>
              </m:r>
              <m:r>
                <m:rPr>
                  <m:sty m:val="p"/>
                </m:rPr>
                <m:t>,</m:t>
              </m:r>
              <m:r>
                <m:t>t</m:t>
              </m:r>
            </m:sub>
            <m:sup>
              <m:r>
                <m:t>p</m:t>
              </m:r>
              <m:r>
                <m:t>o</m:t>
              </m:r>
              <m:r>
                <m:t>t</m:t>
              </m:r>
            </m:sup>
          </m:sSubSup>
          <m:r>
            <m:rPr>
              <m:sty m:val="p"/>
            </m:rPr>
            <m:t>=</m:t>
          </m:r>
          <m:f>
            <m:fPr>
              <m:type m:val="bar"/>
            </m:fPr>
            <m:num>
              <m:sSubSup>
                <m:e>
                  <m:r>
                    <m:t>Q</m:t>
                  </m:r>
                </m:e>
                <m:sub>
                  <m:r>
                    <m:t>t</m:t>
                  </m:r>
                </m:sub>
                <m:sup>
                  <m:r>
                    <m:t>W</m:t>
                  </m:r>
                  <m:r>
                    <m:t>T</m:t>
                  </m:r>
                  <m:r>
                    <m:t>W</m:t>
                  </m:r>
                  <m:r>
                    <m:rPr>
                      <m:sty m:val="p"/>
                    </m:rPr>
                    <m:t>,</m:t>
                  </m:r>
                  <m:r>
                    <m:t>d</m:t>
                  </m:r>
                  <m:r>
                    <m:t>e</m:t>
                  </m:r>
                  <m:r>
                    <m:t>m</m:t>
                  </m:r>
                  <m:r>
                    <m:t>a</m:t>
                  </m:r>
                  <m:r>
                    <m:t>n</m:t>
                  </m:r>
                  <m:r>
                    <m:t>d</m:t>
                  </m:r>
                </m:sup>
              </m:sSubSup>
            </m:num>
            <m:den>
              <m:sSub>
                <m:e>
                  <m:r>
                    <m:t>C</m:t>
                  </m:r>
                </m:e>
                <m:sub>
                  <m:r>
                    <m:t>W</m:t>
                  </m:r>
                  <m:r>
                    <m:t>T</m:t>
                  </m:r>
                  <m:r>
                    <m:t>W</m:t>
                  </m:r>
                </m:sub>
              </m:sSub>
            </m:den>
          </m:f>
        </m:oMath>
      </m:oMathPara>
    </w:p>
    <w:p>
      <w:pPr>
        <w:pStyle w:val="EquationNumber"/>
      </w:pPr>
      <w:r>
        <w:t>（6-7）</w:t>
      </w:r>
    </w:p>
    <w:p>
      <w:pPr>
        <w:pStyle w:val="BodyText"/>
      </w:pPr>
      <w:r>
        <w:t xml:space="preserve">污水设施采用前述：</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（6-8）</w:t>
      </w:r>
    </w:p>
    <w:p>
      <w:pPr>
        <w:pStyle w:val="BodyText"/>
      </w:pPr>
      <w:r>
        <w:t xml:space="preserve">再生水系统同时报告“处理能力压力”和“供需满足率”，避免用已被min截断的实际产量构造永不超过1的指标：</w:t>
      </w:r>
    </w:p>
    <w:p>
      <w:pPr>
        <w:pStyle w:val="BodyText"/>
        <w:keepNext/>
        <w:spacing w:before="80" w:after="0"/>
        <w:ind w:firstLine="0"/>
        <w:jc w:val="center"/>
      </w:pPr>
      <m:oMathPara>
        <m:oMathParaPr>
          <m:jc m:val="center"/>
        </m:oMathParaPr>
        <m:oMath>
          <m:sSubSup>
            <m:e>
              <m:r>
                <m:t>U</m:t>
              </m:r>
            </m:e>
            <m:sub>
              <m:r>
                <m:t>r</m:t>
              </m:r>
              <m:r>
                <m:t>e</m:t>
              </m:r>
              <m:r>
                <m:t>c</m:t>
              </m:r>
              <m:r>
                <m:rPr>
                  <m:sty m:val="p"/>
                </m:rPr>
                <m:t>,</m:t>
              </m:r>
              <m:r>
                <m:t>t</m:t>
              </m:r>
            </m:sub>
            <m:sup>
              <m:r>
                <m:t>p</m:t>
              </m:r>
              <m:r>
                <m:t>o</m:t>
              </m:r>
              <m:r>
                <m:t>t</m:t>
              </m:r>
            </m:sup>
          </m:sSubSup>
          <m:r>
            <m:rPr>
              <m:sty m:val="p"/>
            </m:rPr>
            <m:t>=</m:t>
          </m:r>
          <m:f>
            <m:fPr>
              <m:type m:val="bar"/>
            </m:fPr>
            <m:num>
              <m:sSubSup>
                <m:e>
                  <m:r>
                    <m:t>Q</m:t>
                  </m:r>
                </m:e>
                <m:sub>
                  <m:r>
                    <m:t>t</m:t>
                  </m:r>
                </m:sub>
                <m:sup>
                  <m:r>
                    <m:t>r</m:t>
                  </m:r>
                  <m:r>
                    <m:t>e</m:t>
                  </m:r>
                  <m:r>
                    <m:t>c</m:t>
                  </m:r>
                  <m:r>
                    <m:rPr>
                      <m:sty m:val="p"/>
                    </m:rPr>
                    <m:t>,</m:t>
                  </m:r>
                  <m:r>
                    <m:t>f</m:t>
                  </m:r>
                  <m:r>
                    <m:t>e</m:t>
                  </m:r>
                  <m:r>
                    <m:t>e</m:t>
                  </m:r>
                  <m:r>
                    <m:t>d</m:t>
                  </m:r>
                </m:sup>
              </m:sSubSup>
            </m:num>
            <m:den>
              <m:sSub>
                <m:e>
                  <m:r>
                    <m:t>C</m:t>
                  </m:r>
                </m:e>
                <m:sub>
                  <m:r>
                    <m:t>r</m:t>
                  </m:r>
                  <m:r>
                    <m:t>e</m:t>
                  </m:r>
                  <m:r>
                    <m:t>c</m:t>
                  </m:r>
                </m:sub>
              </m:sSub>
            </m:den>
          </m:f>
        </m:oMath>
      </m:oMathPara>
    </w:p>
    <w:p>
      <w:pPr>
        <w:pStyle w:val="EquationNumber"/>
      </w:pPr>
      <w:r>
        <w:t>（6-9）</w:t>
      </w:r>
    </w:p>
    <w:p>
      <w:pPr>
        <w:pStyle w:val="BodyText"/>
        <w:keepNext/>
        <w:spacing w:before="80" w:after="0"/>
        <w:ind w:firstLine="0"/>
        <w:jc w:val="center"/>
      </w:pPr>
      <m:oMathPara>
        <m:oMathParaPr>
          <m:jc m:val="center"/>
        </m:oMathParaPr>
        <m:oMath>
          <m:r>
            <m:t>S</m:t>
          </m:r>
          <m:sSub>
            <m:e>
              <m:r>
                <m:t>R</m:t>
              </m:r>
            </m:e>
            <m:sub>
              <m:r>
                <m:t>r</m:t>
              </m:r>
              <m:r>
                <m:t>e</m:t>
              </m:r>
              <m:r>
                <m:t>c</m:t>
              </m:r>
              <m:r>
                <m:rPr>
                  <m:sty m:val="p"/>
                </m:rPr>
                <m:t>,</m:t>
              </m:r>
              <m:r>
                <m:t>t</m:t>
              </m:r>
            </m:sub>
          </m:sSub>
          <m:r>
            <m:rPr>
              <m:sty m:val="p"/>
            </m:rPr>
            <m:t>=</m:t>
          </m:r>
          <m:f>
            <m:fPr>
              <m:type m:val="bar"/>
            </m:fPr>
            <m:num>
              <m:sSubSup>
                <m:e>
                  <m:r>
                    <m:t>Q</m:t>
                  </m:r>
                </m:e>
                <m:sub>
                  <m:r>
                    <m:t>t</m:t>
                  </m:r>
                </m:sub>
                <m:sup>
                  <m:r>
                    <m:t>r</m:t>
                  </m:r>
                  <m:r>
                    <m:t>e</m:t>
                  </m:r>
                  <m:r>
                    <m:t>c</m:t>
                  </m:r>
                  <m:r>
                    <m:rPr>
                      <m:sty m:val="p"/>
                    </m:rPr>
                    <m:t>,</m:t>
                  </m:r>
                  <m:r>
                    <m:t>s</m:t>
                  </m:r>
                  <m:r>
                    <m:t>e</m:t>
                  </m:r>
                  <m:r>
                    <m:t>r</m:t>
                  </m:r>
                  <m:r>
                    <m:t>v</m:t>
                  </m:r>
                  <m:r>
                    <m:t>e</m:t>
                  </m:r>
                  <m:r>
                    <m:t>d</m:t>
                  </m:r>
                </m:sup>
              </m:sSubSup>
            </m:num>
            <m:den>
              <m:sSubSup>
                <m:e>
                  <m:r>
                    <m:t>D</m:t>
                  </m:r>
                </m:e>
                <m:sub>
                  <m:r>
                    <m:t>t</m:t>
                  </m:r>
                </m:sub>
                <m:sup>
                  <m:r>
                    <m:t>r</m:t>
                  </m:r>
                  <m:r>
                    <m:t>e</m:t>
                  </m:r>
                  <m:r>
                    <m:t>c</m:t>
                  </m:r>
                  <m:r>
                    <m:rPr>
                      <m:sty m:val="p"/>
                    </m:rPr>
                    <m:t>,</m:t>
                  </m:r>
                  <m:r>
                    <m:t>t</m:t>
                  </m:r>
                  <m:r>
                    <m:t>a</m:t>
                  </m:r>
                  <m:r>
                    <m:t>r</m:t>
                  </m:r>
                  <m:r>
                    <m:t>g</m:t>
                  </m:r>
                  <m:r>
                    <m:t>e</m:t>
                  </m:r>
                  <m:r>
                    <m:t>t</m:t>
                  </m:r>
                </m:sup>
              </m:sSubSup>
            </m:den>
          </m:f>
        </m:oMath>
      </m:oMathPara>
    </w:p>
    <w:p>
      <w:pPr>
        <w:pStyle w:val="EquationNumber"/>
      </w:pPr>
      <w:r>
        <w:t>（6-10）</w:t>
      </w:r>
    </w:p>
    <w:p>
      <w:pPr>
        <w:pStyle w:val="BodyText"/>
      </w:pPr>
      <w:r>
        <w:t xml:space="preserve">同时单独报告</w:t>
      </w:r>
      <w:r>
        <w:t xml:space="preserve"> </w:t>
      </w:r>
      <m:oMath>
        <m:sSubSup>
          <m:e>
            <m:r>
              <m:t>Q</m:t>
            </m:r>
          </m:e>
          <m:sub>
            <m:r>
              <m:t>t</m:t>
            </m:r>
          </m:sub>
          <m:sup>
            <m:r>
              <m:t>w</m:t>
            </m:r>
            <m:r>
              <m:t>w</m:t>
            </m:r>
            <m:r>
              <m:rPr>
                <m:sty m:val="p"/>
              </m:rPr>
              <m:t>,</m:t>
            </m:r>
            <m:r>
              <m:t>o</m:t>
            </m:r>
            <m:r>
              <m:t>v</m:t>
            </m:r>
          </m:sup>
        </m:sSubSup>
      </m:oMath>
      <w:r>
        <w:t xml:space="preserve">、</w:t>
      </w:r>
      <m:oMath>
        <m:sSubSup>
          <m:e>
            <m:r>
              <m:t>U</m:t>
            </m:r>
          </m:e>
          <m:sub>
            <m:r>
              <m:t>t</m:t>
            </m:r>
          </m:sub>
          <m:sup>
            <m:r>
              <m:t>A</m:t>
            </m:r>
            <m:r>
              <m:t>I</m:t>
            </m:r>
          </m:sup>
        </m:sSubSup>
      </m:oMath>
      <w:r>
        <w:t xml:space="preserve"> </w:t>
      </w:r>
      <w:r>
        <w:t xml:space="preserve">和其他未满足需求。</w:t>
      </w:r>
    </w:p>
    <w:bookmarkEnd w:id="78"/>
    <w:bookmarkStart w:id="79" w:name="峰值与连续高负荷压力"/>
    <w:p>
      <w:pPr>
        <w:pStyle w:val="Heading2"/>
        <w:keepNext/>
        <w:keepLines/>
        <w:ind w:firstLine="0"/>
      </w:pPr>
      <w:r>
        <w:t xml:space="preserve">6.3 峰值与连续高负荷压力</w:t>
      </w:r>
    </w:p>
    <w:p>
      <w:pPr>
        <w:pStyle w:val="FirstParagraph"/>
      </w:pPr>
      <w:r>
        <w:t xml:space="preserve">总城市供水需求为：</w:t>
      </w:r>
    </w:p>
    <w:p>
      <w:pPr>
        <w:pStyle w:val="BodyText"/>
        <w:keepNext/>
        <w:spacing w:before="80" w:after="0"/>
        <w:ind w:firstLine="0"/>
        <w:jc w:val="center"/>
      </w:pPr>
      <m:oMathPara>
        <m:oMathParaPr>
          <m:jc m:val="center"/>
        </m:oMathParaPr>
        <m:oMath>
          <m:sSubSup>
            <m:e>
              <m:r>
                <m:t>D</m:t>
              </m:r>
            </m:e>
            <m:sub>
              <m:r>
                <m:t>t</m:t>
              </m:r>
            </m:sub>
            <m:sup>
              <m:r>
                <m:t>t</m:t>
              </m:r>
              <m:r>
                <m:t>o</m:t>
              </m:r>
              <m:r>
                <m:t>t</m:t>
              </m:r>
            </m:sup>
          </m:sSubSup>
          <m:r>
            <m:rPr>
              <m:sty m:val="p"/>
            </m:rPr>
            <m:t>=</m:t>
          </m:r>
          <m:sSubSup>
            <m:e>
              <m:r>
                <m:t>D</m:t>
              </m:r>
            </m:e>
            <m:sub>
              <m:r>
                <m:t>t</m:t>
              </m:r>
            </m:sub>
            <m:sup>
              <m:r>
                <m:t>b</m:t>
              </m:r>
              <m:r>
                <m:t>a</m:t>
              </m:r>
              <m:r>
                <m:t>s</m:t>
              </m:r>
              <m:r>
                <m:t>e</m:t>
              </m:r>
            </m:sup>
          </m:sSubSup>
          <m:r>
            <m:rPr>
              <m:sty m:val="p"/>
            </m:rPr>
            <m:t>+</m:t>
          </m:r>
          <m:sSubSup>
            <m:e>
              <m:r>
                <m:t>W</m:t>
              </m:r>
            </m:e>
            <m:sub>
              <m:r>
                <m:t>t</m:t>
              </m:r>
            </m:sub>
            <m:sup>
              <m:r>
                <m:t>A</m:t>
              </m:r>
              <m:r>
                <m:t>I</m:t>
              </m:r>
            </m:sup>
          </m:sSubSup>
        </m:oMath>
      </m:oMathPara>
    </w:p>
    <w:p>
      <w:pPr>
        <w:pStyle w:val="EquationNumber"/>
      </w:pPr>
      <w:r>
        <w:t>（6-11）</w:t>
      </w:r>
    </w:p>
    <w:p>
      <w:pPr>
        <w:pStyle w:val="BodyText"/>
      </w:pPr>
      <w:r>
        <w:t xml:space="preserve">峰值容量比：</w:t>
      </w:r>
    </w:p>
    <w:p>
      <w:pPr>
        <w:pStyle w:val="BodyText"/>
        <w:keepNext/>
        <w:spacing w:before="80" w:after="0"/>
        <w:ind w:firstLine="0"/>
        <w:jc w:val="center"/>
      </w:pPr>
      <m:oMathPara>
        <m:oMathParaPr>
          <m:jc m:val="center"/>
        </m:oMathParaPr>
        <m:oMath>
          <m:r>
            <m:t>P</m:t>
          </m:r>
          <m:r>
            <m:t>C</m:t>
          </m:r>
          <m:r>
            <m:t>R</m:t>
          </m:r>
          <m:r>
            <m:rPr>
              <m:sty m:val="p"/>
            </m:rPr>
            <m:t>=</m:t>
          </m:r>
          <m:f>
            <m:fPr>
              <m:type m:val="bar"/>
            </m:fPr>
            <m:num>
              <m:limLow>
                <m:e>
                  <m:r>
                    <m:rPr>
                      <m:sty m:val="p"/>
                    </m:rPr>
                    <m:t>max</m:t>
                  </m:r>
                </m:e>
                <m:lim>
                  <m:r>
                    <m:t>t</m:t>
                  </m:r>
                </m:lim>
              </m:limLow>
              <m:sSubSup>
                <m:e>
                  <m:r>
                    <m:t>D</m:t>
                  </m:r>
                </m:e>
                <m:sub>
                  <m:r>
                    <m:t>t</m:t>
                  </m:r>
                </m:sub>
                <m:sup>
                  <m:r>
                    <m:t>t</m:t>
                  </m:r>
                  <m:r>
                    <m:t>o</m:t>
                  </m:r>
                  <m:r>
                    <m:t>t</m:t>
                  </m:r>
                </m:sup>
              </m:sSubSup>
            </m:num>
            <m:den>
              <m:sSubSup>
                <m:e>
                  <m:r>
                    <m:t>C</m:t>
                  </m:r>
                </m:e>
                <m:sub>
                  <m:r>
                    <m:t>s</m:t>
                  </m:r>
                  <m:r>
                    <m:t>u</m:t>
                  </m:r>
                  <m:r>
                    <m:t>p</m:t>
                  </m:r>
                  <m:r>
                    <m:t>p</m:t>
                  </m:r>
                  <m:r>
                    <m:t>l</m:t>
                  </m:r>
                  <m:r>
                    <m:t>y</m:t>
                  </m:r>
                </m:sub>
                <m:sup>
                  <m:r>
                    <m:t>d</m:t>
                  </m:r>
                  <m:r>
                    <m:t>a</m:t>
                  </m:r>
                  <m:r>
                    <m:t>i</m:t>
                  </m:r>
                  <m:r>
                    <m:t>l</m:t>
                  </m:r>
                  <m:r>
                    <m:t>y</m:t>
                  </m:r>
                </m:sup>
              </m:sSubSup>
            </m:den>
          </m:f>
        </m:oMath>
      </m:oMathPara>
    </w:p>
    <w:p>
      <w:pPr>
        <w:pStyle w:val="EquationNumber"/>
      </w:pPr>
      <w:r>
        <w:t>（6-12）</w:t>
      </w:r>
    </w:p>
    <w:p>
      <w:pPr>
        <w:pStyle w:val="BodyText"/>
      </w:pPr>
      <w:r>
        <w:t xml:space="preserve">连续7日容量比：</w:t>
      </w:r>
    </w:p>
    <w:p>
      <w:pPr>
        <w:pStyle w:val="BodyText"/>
        <w:keepNext/>
        <w:spacing w:before="80" w:after="0"/>
        <w:ind w:firstLine="0"/>
        <w:jc w:val="center"/>
      </w:pPr>
      <m:oMathPara>
        <m:oMathParaPr>
          <m:jc m:val="center"/>
        </m:oMathParaPr>
        <m:oMath>
          <m:r>
            <m:t>P</m:t>
          </m:r>
          <m:r>
            <m:t>C</m:t>
          </m:r>
          <m:sSub>
            <m:e>
              <m:r>
                <m:t>R</m:t>
              </m:r>
            </m:e>
            <m:sub>
              <m:r>
                <m:t>7</m:t>
              </m:r>
            </m:sub>
          </m:sSub>
          <m:r>
            <m:rPr>
              <m:sty m:val="p"/>
            </m:rPr>
            <m:t>=</m:t>
          </m:r>
          <m:f>
            <m:fPr>
              <m:type m:val="bar"/>
            </m:fPr>
            <m:num>
              <m:limLow>
                <m:e>
                  <m:r>
                    <m:rPr>
                      <m:sty m:val="p"/>
                    </m:rPr>
                    <m:t>max</m:t>
                  </m:r>
                </m:e>
                <m:lim>
                  <m:r>
                    <m:t>t</m:t>
                  </m:r>
                </m:lim>
              </m:limLow>
              <m:d>
                <m:dPr>
                  <m:begChr m:val="("/>
                  <m:endChr m:val=")"/>
                  <m:sepChr m:val=""/>
                  <m:grow/>
                </m:dPr>
                <m:e>
                  <m:f>
                    <m:fPr>
                      <m:type m:val="bar"/>
                    </m:fPr>
                    <m:num>
                      <m:r>
                        <m:t>1</m:t>
                      </m:r>
                    </m:num>
                    <m:den>
                      <m:r>
                        <m:t>7</m:t>
                      </m:r>
                    </m:den>
                  </m:f>
                  <m:nary>
                    <m:naryPr>
                      <m:chr m:val="∑"/>
                      <m:limLoc m:val="undOvr"/>
                      <m:subHide m:val="off"/>
                      <m:supHide m:val="off"/>
                    </m:naryPr>
                    <m:sub>
                      <m:r>
                        <m:t>τ</m:t>
                      </m:r>
                      <m:r>
                        <m:rPr>
                          <m:sty m:val="p"/>
                        </m:rPr>
                        <m:t>=</m:t>
                      </m:r>
                      <m:r>
                        <m:t>t</m:t>
                      </m:r>
                    </m:sub>
                    <m:sup>
                      <m:r>
                        <m:t>t</m:t>
                      </m:r>
                      <m:r>
                        <m:rPr>
                          <m:sty m:val="p"/>
                        </m:rPr>
                        <m:t>+</m:t>
                      </m:r>
                      <m:r>
                        <m:t>6</m:t>
                      </m:r>
                    </m:sup>
                    <m:e>
                      <m:sSubSup>
                        <m:e>
                          <m:r>
                            <m:t>D</m:t>
                          </m:r>
                        </m:e>
                        <m:sub>
                          <m:r>
                            <m:t>τ</m:t>
                          </m:r>
                        </m:sub>
                        <m:sup>
                          <m:r>
                            <m:t>t</m:t>
                          </m:r>
                          <m:r>
                            <m:t>o</m:t>
                          </m:r>
                          <m:r>
                            <m:t>t</m:t>
                          </m:r>
                        </m:sup>
                      </m:sSubSup>
                    </m:e>
                  </m:nary>
                </m:e>
              </m:d>
            </m:num>
            <m:den>
              <m:sSubSup>
                <m:e>
                  <m:r>
                    <m:t>C</m:t>
                  </m:r>
                </m:e>
                <m:sub>
                  <m:r>
                    <m:t>s</m:t>
                  </m:r>
                  <m:r>
                    <m:t>u</m:t>
                  </m:r>
                  <m:r>
                    <m:t>p</m:t>
                  </m:r>
                  <m:r>
                    <m:t>p</m:t>
                  </m:r>
                  <m:r>
                    <m:t>l</m:t>
                  </m:r>
                  <m:r>
                    <m:t>y</m:t>
                  </m:r>
                </m:sub>
                <m:sup>
                  <m:r>
                    <m:t>d</m:t>
                  </m:r>
                  <m:r>
                    <m:t>a</m:t>
                  </m:r>
                  <m:r>
                    <m:t>i</m:t>
                  </m:r>
                  <m:r>
                    <m:t>l</m:t>
                  </m:r>
                  <m:r>
                    <m:t>y</m:t>
                  </m:r>
                </m:sup>
              </m:sSubSup>
            </m:den>
          </m:f>
        </m:oMath>
      </m:oMathPara>
    </w:p>
    <w:p>
      <w:pPr>
        <w:pStyle w:val="EquationNumber"/>
      </w:pPr>
      <w:r>
        <w:t>（6-13）</w:t>
      </w:r>
    </w:p>
    <w:p>
      <w:pPr>
        <w:pStyle w:val="BodyText"/>
      </w:pPr>
      <w:r>
        <w:rPr>
          <w:rFonts w:ascii="Times New Roman" w:hAnsi="Times New Roman" w:eastAsia="宋体"/>
          <w:sz w:val="21"/>
        </w:rPr>
        <w:t>上述指标直接用于检验“年均尚安全但峰值先达到瓶颈”的情况，并与最新公共供水容量研究形成可比而不重复的分析</w:t>
      </w:r>
      <w:r>
        <w:rPr>
          <w:rFonts w:ascii="Times New Roman" w:hAnsi="Times New Roman" w:eastAsia="宋体"/>
          <w:sz w:val="17"/>
          <w:vertAlign w:val="superscript"/>
        </w:rPr>
        <w:t>[78,79]</w:t>
      </w:r>
      <w:r>
        <w:rPr>
          <w:rFonts w:ascii="Times New Roman" w:hAnsi="Times New Roman" w:eastAsia="宋体"/>
          <w:sz w:val="21"/>
        </w:rPr>
        <w:t>。</w:t>
      </w:r>
    </w:p>
    <w:bookmarkEnd w:id="79"/>
    <w:bookmarkStart w:id="80" w:name="ai峰值与传统城市需求峰值同步"/>
    <w:p>
      <w:pPr>
        <w:pStyle w:val="Heading2"/>
        <w:keepNext/>
        <w:keepLines/>
        <w:ind w:firstLine="0"/>
      </w:pPr>
      <w:r>
        <w:t xml:space="preserve">6.4 AI峰值与传统城市需求峰值同步</w:t>
      </w:r>
    </w:p>
    <w:p>
      <w:pPr>
        <w:pStyle w:val="FirstParagraph"/>
      </w:pPr>
      <w:r>
        <w:t xml:space="preserve">定义AI高需求日集合与传统城市高需求日集合：</w:t>
      </w:r>
    </w:p>
    <w:p>
      <w:pPr>
        <w:pStyle w:val="BodyText"/>
        <w:keepNext/>
        <w:spacing w:before="80" w:after="0"/>
        <w:ind w:firstLine="0"/>
        <w:jc w:val="center"/>
      </w:pPr>
      <m:oMathPara>
        <m:oMathParaPr>
          <m:jc m:val="center"/>
        </m:oMathParaPr>
        <m:oMath>
          <m:sSub>
            <m:e>
              <m:r>
                <m:rPr>
                  <m:sty m:val="p"/>
                  <m:scr m:val="script"/>
                </m:rPr>
                <m:t>P</m:t>
              </m:r>
            </m:e>
            <m:sub>
              <m:r>
                <m:t>A</m:t>
              </m:r>
              <m:r>
                <m:t>I</m:t>
              </m:r>
            </m:sub>
          </m:sSub>
          <m:r>
            <m:rPr>
              <m:sty m:val="p"/>
            </m:rPr>
            <m:t>=</m:t>
          </m:r>
          <m:r>
            <m:rPr>
              <m:sty m:val="p"/>
            </m:rPr>
            <m:t>{</m:t>
          </m:r>
          <m:r>
            <m:t>t</m:t>
          </m:r>
          <m:r>
            <m:rPr>
              <m:sty m:val="p"/>
            </m:rPr>
            <m:t>:</m:t>
          </m:r>
          <m:sSubSup>
            <m:e>
              <m:r>
                <m:t>W</m:t>
              </m:r>
            </m:e>
            <m:sub>
              <m:r>
                <m:t>t</m:t>
              </m:r>
            </m:sub>
            <m:sup>
              <m:r>
                <m:t>A</m:t>
              </m:r>
              <m:r>
                <m:t>I</m:t>
              </m:r>
            </m:sup>
          </m:sSubSup>
          <m:r>
            <m:rPr>
              <m:sty m:val="p"/>
            </m:rPr>
            <m:t>≥</m:t>
          </m:r>
          <m:sSub>
            <m:e>
              <m:r>
                <m:t>P</m:t>
              </m:r>
            </m:e>
            <m:sub>
              <m:r>
                <m:t>95</m:t>
              </m:r>
            </m:sub>
          </m:sSub>
          <m:d>
            <m:dPr>
              <m:begChr m:val="("/>
              <m:endChr m:val=")"/>
              <m:sepChr m:val=""/>
              <m:grow/>
            </m:dPr>
            <m:e>
              <m:sSup>
                <m:e>
                  <m:r>
                    <m:t>W</m:t>
                  </m:r>
                </m:e>
                <m:sup>
                  <m:r>
                    <m:t>A</m:t>
                  </m:r>
                  <m:r>
                    <m:t>I</m:t>
                  </m:r>
                </m:sup>
              </m:sSup>
            </m:e>
          </m:d>
          <m:r>
            <m:rPr>
              <m:sty m:val="p"/>
            </m:rPr>
            <m:t>}</m:t>
          </m:r>
        </m:oMath>
      </m:oMathPara>
    </w:p>
    <w:p>
      <w:pPr>
        <w:pStyle w:val="EquationNumber"/>
      </w:pPr>
      <w:r>
        <w:t>（6-14）</w:t>
      </w:r>
    </w:p>
    <w:p>
      <w:pPr>
        <w:pStyle w:val="BodyText"/>
        <w:keepNext/>
        <w:spacing w:before="80" w:after="0"/>
        <w:ind w:firstLine="0"/>
        <w:jc w:val="center"/>
      </w:pPr>
      <m:oMathPara>
        <m:oMathParaPr>
          <m:jc m:val="center"/>
        </m:oMathParaPr>
        <m:oMath>
          <m:sSub>
            <m:e>
              <m:r>
                <m:rPr>
                  <m:sty m:val="p"/>
                  <m:scr m:val="script"/>
                </m:rPr>
                <m:t>P</m:t>
              </m:r>
            </m:e>
            <m:sub>
              <m:r>
                <m:t>U</m:t>
              </m:r>
            </m:sub>
          </m:sSub>
          <m:r>
            <m:rPr>
              <m:sty m:val="p"/>
            </m:rPr>
            <m:t>=</m:t>
          </m:r>
          <m:r>
            <m:rPr>
              <m:sty m:val="p"/>
            </m:rPr>
            <m:t>{</m:t>
          </m:r>
          <m:r>
            <m:t>t</m:t>
          </m:r>
          <m:r>
            <m:rPr>
              <m:sty m:val="p"/>
            </m:rPr>
            <m:t>:</m:t>
          </m:r>
          <m:sSubSup>
            <m:e>
              <m:r>
                <m:t>D</m:t>
              </m:r>
            </m:e>
            <m:sub>
              <m:r>
                <m:t>t</m:t>
              </m:r>
            </m:sub>
            <m:sup>
              <m:r>
                <m:t>b</m:t>
              </m:r>
              <m:r>
                <m:t>a</m:t>
              </m:r>
              <m:r>
                <m:t>s</m:t>
              </m:r>
              <m:r>
                <m:t>e</m:t>
              </m:r>
            </m:sup>
          </m:sSubSup>
          <m:r>
            <m:rPr>
              <m:sty m:val="p"/>
            </m:rPr>
            <m:t>≥</m:t>
          </m:r>
          <m:sSub>
            <m:e>
              <m:r>
                <m:t>P</m:t>
              </m:r>
            </m:e>
            <m:sub>
              <m:r>
                <m:t>95</m:t>
              </m:r>
            </m:sub>
          </m:sSub>
          <m:d>
            <m:dPr>
              <m:begChr m:val="("/>
              <m:endChr m:val=")"/>
              <m:sepChr m:val=""/>
              <m:grow/>
            </m:dPr>
            <m:e>
              <m:sSup>
                <m:e>
                  <m:r>
                    <m:t>D</m:t>
                  </m:r>
                </m:e>
                <m:sup>
                  <m:r>
                    <m:t>b</m:t>
                  </m:r>
                  <m:r>
                    <m:t>a</m:t>
                  </m:r>
                  <m:r>
                    <m:t>s</m:t>
                  </m:r>
                  <m:r>
                    <m:t>e</m:t>
                  </m:r>
                </m:sup>
              </m:sSup>
            </m:e>
          </m:d>
          <m:r>
            <m:rPr>
              <m:sty m:val="p"/>
            </m:rPr>
            <m:t>}</m:t>
          </m:r>
        </m:oMath>
      </m:oMathPara>
    </w:p>
    <w:p>
      <w:pPr>
        <w:pStyle w:val="EquationNumber"/>
      </w:pPr>
      <w:r>
        <w:t>（6-15）</w:t>
      </w:r>
    </w:p>
    <w:p>
      <w:pPr>
        <w:pStyle w:val="BodyText"/>
      </w:pPr>
      <w:r>
        <w:t xml:space="preserve">峰值重合指数：</w:t>
      </w:r>
    </w:p>
    <w:p>
      <w:pPr>
        <w:pStyle w:val="BodyText"/>
        <w:keepNext/>
        <w:spacing w:before="80" w:after="0"/>
        <w:ind w:firstLine="0"/>
        <w:jc w:val="center"/>
      </w:pPr>
      <m:oMathPara>
        <m:oMathParaPr>
          <m:jc m:val="center"/>
        </m:oMathParaPr>
        <m:oMath>
          <m:r>
            <m:t>C</m:t>
          </m:r>
          <m:r>
            <m:t>O</m:t>
          </m:r>
          <m:r>
            <m:t>I</m:t>
          </m:r>
          <m:r>
            <m:rPr>
              <m:sty m:val="p"/>
            </m:rPr>
            <m:t>=</m:t>
          </m:r>
          <m:f>
            <m:fPr>
              <m:type m:val="bar"/>
            </m:fPr>
            <m:num>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num>
            <m:den>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den>
          </m:f>
        </m:oMath>
      </m:oMathPara>
    </w:p>
    <w:p>
      <w:pPr>
        <w:pStyle w:val="EquationNumber"/>
      </w:pPr>
      <w:r>
        <w:t>（6-16）</w:t>
      </w:r>
    </w:p>
    <w:p>
      <w:pPr>
        <w:pStyle w:val="BodyText"/>
      </w:pPr>
      <m:oMath>
        <m:r>
          <m:t>C</m:t>
        </m:r>
        <m:r>
          <m:t>O</m:t>
        </m:r>
        <m:r>
          <m:t>I</m:t>
        </m:r>
      </m:oMath>
      <w:r>
        <w:t xml:space="preserve">用于解释为什么具有相同年AI取水量的两个城市可能具有不同峰值容量风险。</w:t>
      </w:r>
    </w:p>
    <w:bookmarkEnd w:id="80"/>
    <w:bookmarkStart w:id="81" w:name="可靠性恢复性和脆弱性"/>
    <w:p>
      <w:pPr>
        <w:pStyle w:val="Heading2"/>
        <w:keepNext/>
        <w:keepLines/>
        <w:ind w:firstLine="0"/>
      </w:pPr>
      <w:r>
        <w:t xml:space="preserve">6.5 可靠性、恢复性和脆弱性</w:t>
      </w:r>
    </w:p>
    <w:p>
      <w:pPr>
        <w:pStyle w:val="FirstParagraph"/>
      </w:pPr>
      <m:oMath>
        <m:r>
          <m:t>t</m:t>
        </m:r>
      </m:oMath>
      <m:oMath>
        <m:sSub>
          <m:e>
            <m:r>
              <m:t>Z</m:t>
            </m:r>
          </m:e>
          <m:sub>
            <m:r>
              <m:t>t</m:t>
            </m:r>
          </m:sub>
        </m:sSub>
        <m:r>
          <m:rPr>
            <m:sty m:val="p"/>
          </m:rPr>
          <m:t>=</m:t>
        </m:r>
        <m: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pPr>
        <w:pStyle w:val="BodyText"/>
        <w:keepNext/>
        <w:spacing w:before="80" w:after="0"/>
        <w:ind w:firstLine="0"/>
        <w:jc w:val="center"/>
      </w:pPr>
      <m:oMathPara>
        <m:oMathParaPr>
          <m:jc m:val="center"/>
        </m:oMathParaPr>
        <m:oMath>
          <m:r>
            <m:t>R</m:t>
          </m:r>
          <m:r>
            <m:t>e</m:t>
          </m:r>
          <m:r>
            <m:t>l</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Z</m:t>
                  </m:r>
                </m:e>
                <m:sub>
                  <m:r>
                    <m:t>t</m:t>
                  </m:r>
                </m:sub>
              </m:sSub>
            </m:e>
          </m:nary>
        </m:oMath>
      </m:oMathPara>
    </w:p>
    <w:p>
      <w:pPr>
        <w:pStyle w:val="EquationNumber"/>
      </w:pPr>
      <w:r>
        <w:t>（6-17）</w:t>
      </w:r>
    </w:p>
    <w:p>
      <w:pPr>
        <w:pStyle w:val="BodyText"/>
        <w:keepNext/>
        <w:spacing w:before="80" w:after="0"/>
        <w:ind w:firstLine="0"/>
        <w:jc w:val="center"/>
      </w:pPr>
      <m:oMathPara>
        <m:oMathParaPr>
          <m:jc m:val="center"/>
        </m:oMathParaPr>
        <m:oMath>
          <m:r>
            <m:t>R</m:t>
          </m:r>
          <m:r>
            <m:t>e</m:t>
          </m:r>
          <m:r>
            <m:t>s</m:t>
          </m:r>
          <m:r>
            <m:rPr>
              <m:sty m:val="p"/>
            </m:rPr>
            <m:t>=</m:t>
          </m:r>
          <m:f>
            <m:fPr>
              <m:type m:val="bar"/>
            </m:fPr>
            <m:num>
              <m:r>
                <m:t>N</m:t>
              </m:r>
              <m:d>
                <m:dPr>
                  <m:begChr m:val="("/>
                  <m:endChr m:val=")"/>
                  <m:sepChr m:val=""/>
                  <m:grow/>
                </m:dPr>
                <m:e>
                  <m:sSub>
                    <m:e>
                      <m:r>
                        <m:t>Z</m:t>
                      </m:r>
                    </m:e>
                    <m:sub>
                      <m:r>
                        <m:t>t</m:t>
                      </m:r>
                    </m:sub>
                  </m:sSub>
                  <m:r>
                    <m:rPr>
                      <m:sty m:val="p"/>
                    </m:rPr>
                    <m:t>=</m:t>
                  </m:r>
                  <m:r>
                    <m:t>0</m:t>
                  </m:r>
                  <m:r>
                    <m:rPr>
                      <m:sty m:val="p"/>
                    </m:rPr>
                    <m:t>,</m:t>
                  </m:r>
                  <m:sSub>
                    <m:e>
                      <m:r>
                        <m:t>Z</m:t>
                      </m:r>
                    </m:e>
                    <m:sub>
                      <m:r>
                        <m:t>t</m:t>
                      </m:r>
                      <m:r>
                        <m:rPr>
                          <m:sty m:val="p"/>
                        </m:rPr>
                        <m:t>+</m:t>
                      </m:r>
                      <m:r>
                        <m:t>1</m:t>
                      </m:r>
                    </m:sub>
                  </m:sSub>
                  <m:r>
                    <m:rPr>
                      <m:sty m:val="p"/>
                    </m:rPr>
                    <m:t>=</m:t>
                  </m:r>
                  <m:r>
                    <m:t>1</m:t>
                  </m:r>
                </m:e>
              </m:d>
            </m:num>
            <m:den>
              <m:r>
                <m:t>N</m:t>
              </m:r>
              <m:d>
                <m:dPr>
                  <m:begChr m:val="("/>
                  <m:endChr m:val=")"/>
                  <m:sepChr m:val=""/>
                  <m:grow/>
                </m:dPr>
                <m:e>
                  <m:sSub>
                    <m:e>
                      <m:r>
                        <m:t>Z</m:t>
                      </m:r>
                    </m:e>
                    <m:sub>
                      <m:r>
                        <m:t>t</m:t>
                      </m:r>
                    </m:sub>
                  </m:sSub>
                  <m:r>
                    <m:rPr>
                      <m:sty m:val="p"/>
                    </m:rPr>
                    <m:t>=</m:t>
                  </m:r>
                  <m:r>
                    <m:t>0</m:t>
                  </m:r>
                </m:e>
              </m:d>
            </m:den>
          </m:f>
        </m:oMath>
      </m:oMathPara>
    </w:p>
    <w:p>
      <w:pPr>
        <w:pStyle w:val="EquationNumber"/>
      </w:pPr>
      <w:r>
        <w:t>（6-18）</w:t>
      </w:r>
    </w:p>
    <w:p>
      <w:pPr>
        <w:pStyle w:val="BodyText"/>
      </w:pPr>
      <w:r>
        <w:t xml:space="preserve">设总缺水量为：</w:t>
      </w:r>
    </w:p>
    <w:p>
      <w:pPr>
        <w:pStyle w:val="BodyText"/>
        <w:keepNext/>
        <w:spacing w:before="80" w:after="0"/>
        <w:ind w:firstLine="0"/>
        <w:jc w:val="center"/>
      </w:pPr>
      <m:oMathPara>
        <m:oMathParaPr>
          <m:jc m:val="center"/>
        </m:oMathParaPr>
        <m:oMath>
          <m:r>
            <m:t>D</m:t>
          </m:r>
          <m:r>
            <m:t>e</m:t>
          </m:r>
          <m:sSub>
            <m:e>
              <m:r>
                <m:t>f</m:t>
              </m:r>
            </m:e>
            <m:sub>
              <m:r>
                <m:t>t</m:t>
              </m:r>
            </m:sub>
          </m:sSub>
          <m:r>
            <m:rPr>
              <m:sty m:val="p"/>
            </m:rPr>
            <m:t>=</m:t>
          </m:r>
          <m:r>
            <m:rPr>
              <m:sty m:val="p"/>
            </m:rPr>
            <m:t>max</m:t>
          </m:r>
          <m:d>
            <m:dPr>
              <m:begChr m:val="("/>
              <m:endChr m:val=")"/>
              <m:sepChr m:val=""/>
              <m:grow/>
            </m:dPr>
            <m:e>
              <m:sSubSup>
                <m:e>
                  <m:r>
                    <m:t>D</m:t>
                  </m:r>
                </m:e>
                <m:sub>
                  <m:r>
                    <m:t>t</m:t>
                  </m:r>
                </m:sub>
                <m:sup>
                  <m:r>
                    <m:t>t</m:t>
                  </m:r>
                  <m:r>
                    <m:t>o</m:t>
                  </m:r>
                  <m:r>
                    <m:t>t</m:t>
                  </m:r>
                </m:sup>
              </m:sSubSup>
              <m:r>
                <m:rPr>
                  <m:sty m:val="p"/>
                </m:rPr>
                <m:t>−</m:t>
              </m:r>
              <m:sSubSup>
                <m:e>
                  <m:r>
                    <m:t>S</m:t>
                  </m:r>
                </m:e>
                <m:sub>
                  <m:r>
                    <m:t>t</m:t>
                  </m:r>
                </m:sub>
                <m:sup>
                  <m:r>
                    <m:t>a</m:t>
                  </m:r>
                  <m:r>
                    <m:t>v</m:t>
                  </m:r>
                  <m:r>
                    <m:t>a</m:t>
                  </m:r>
                  <m:r>
                    <m:t>i</m:t>
                  </m:r>
                  <m:r>
                    <m:t>l</m:t>
                  </m:r>
                </m:sup>
              </m:sSubSup>
              <m:r>
                <m:rPr>
                  <m:sty m:val="p"/>
                </m:rPr>
                <m:t>,</m:t>
              </m:r>
              <m:r>
                <m:t>0</m:t>
              </m:r>
            </m:e>
          </m:d>
        </m:oMath>
      </m:oMathPara>
    </w:p>
    <w:p>
      <w:pPr>
        <w:pStyle w:val="EquationNumber"/>
      </w:pPr>
      <w:r>
        <w:t>（6-19）</w:t>
      </w:r>
    </w:p>
    <w:p>
      <w:pPr>
        <w:pStyle w:val="BodyText"/>
      </w:pPr>
      <w:r>
        <w:t xml:space="preserve">归一化脆弱性：</w:t>
      </w:r>
    </w:p>
    <w:p>
      <w:pPr>
        <w:pStyle w:val="BodyText"/>
        <w:keepNext/>
        <w:spacing w:before="80" w:after="0"/>
        <w:ind w:firstLine="0"/>
        <w:jc w:val="center"/>
      </w:pPr>
      <m:oMathPara>
        <m:oMathParaPr>
          <m:jc m:val="center"/>
        </m:oMathParaPr>
        <m:oMath>
          <m:r>
            <m:t>V</m:t>
          </m:r>
          <m:r>
            <m:t>u</m:t>
          </m:r>
          <m:r>
            <m:t>l</m:t>
          </m:r>
          <m:r>
            <m:rPr>
              <m:sty m:val="p"/>
            </m:rPr>
            <m:t>=</m:t>
          </m:r>
          <m:f>
            <m:fPr>
              <m:type m:val="bar"/>
            </m:fPr>
            <m:num>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r>
                    <m:t>D</m:t>
                  </m:r>
                </m:e>
              </m:nary>
              <m:r>
                <m:t>e</m:t>
              </m:r>
              <m:sSub>
                <m:e>
                  <m:r>
                    <m:t>f</m:t>
                  </m:r>
                </m:e>
                <m:sub>
                  <m:r>
                    <m:t>t</m:t>
                  </m:r>
                </m:sub>
              </m:sSub>
            </m:num>
            <m:den>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sSubSup>
                    <m:e>
                      <m:r>
                        <m:t>D</m:t>
                      </m:r>
                    </m:e>
                    <m:sub>
                      <m:r>
                        <m:t>t</m:t>
                      </m:r>
                    </m:sub>
                    <m:sup>
                      <m:r>
                        <m:t>t</m:t>
                      </m:r>
                      <m:r>
                        <m:t>o</m:t>
                      </m:r>
                      <m:r>
                        <m:t>t</m:t>
                      </m:r>
                    </m:sup>
                  </m:sSubSup>
                </m:e>
              </m:nary>
            </m:den>
          </m:f>
        </m:oMath>
      </m:oMathPara>
    </w:p>
    <w:p>
      <w:pPr>
        <w:pStyle w:val="EquationNumber"/>
      </w:pPr>
      <w:r>
        <w:t>（6-20）</w:t>
      </w:r>
    </w:p>
    <w:bookmarkEnd w:id="81"/>
    <w:bookmarkStart w:id="82" w:name="cawcc的操作化定义"/>
    <w:p>
      <w:pPr>
        <w:pStyle w:val="Heading2"/>
        <w:keepNext/>
        <w:keepLines/>
        <w:ind w:firstLine="0"/>
      </w:pPr>
      <w:r>
        <w:t xml:space="preserve">6.6 CAWCC的操作化定义</w:t>
      </w:r>
    </w:p>
    <w:p>
      <w:pPr>
        <w:pStyle w:val="FirstParagraph"/>
      </w:pPr>
      <w:r>
        <w:rPr>
          <w:rFonts w:ascii="Times New Roman" w:hAnsi="Times New Roman" w:eastAsia="宋体"/>
          <w:sz w:val="21"/>
        </w:rPr>
        <w:t>本研究将CAWCC定位为“传统水资源承载能力面向AI基础设施规划的条件化容量操作化”，而非声称提出完全独立的新承载理论</w:t>
      </w:r>
      <w:r>
        <w:rPr>
          <w:rFonts w:ascii="Times New Roman" w:hAnsi="Times New Roman" w:eastAsia="宋体"/>
          <w:sz w:val="17"/>
          <w:vertAlign w:val="superscript"/>
        </w:rPr>
        <w:t>[53–61]</w:t>
      </w:r>
      <w:r>
        <w:rPr>
          <w:rFonts w:ascii="Times New Roman" w:hAnsi="Times New Roman" w:eastAsia="宋体"/>
          <w:sz w:val="21"/>
        </w:rPr>
        <w:t>。</w:t>
      </w:r>
    </w:p>
    <w:p>
      <w:pPr>
        <w:pStyle w:val="BodyText"/>
      </w:pPr>
      <w:r>
        <w:t xml:space="preserve">对于给定城市状态、技术架构和未来情景</w:t>
      </w:r>
      <w:r>
        <w:t xml:space="preserve"> </w:t>
      </w:r>
      <m:oMath>
        <m:r>
          <m:rPr>
            <m:sty m:val="b"/>
          </m:rPr>
          <m:t>θ</m:t>
        </m:r>
        <m:r>
          <m:rPr>
            <m:sty m:val="p"/>
          </m:rPr>
          <m:t>,</m:t>
        </m:r>
        <m:r>
          <m:t>a</m:t>
        </m:r>
        <m:r>
          <m:rPr>
            <m:sty m:val="p"/>
          </m:rPr>
          <m:t>,</m:t>
        </m:r>
        <m:r>
          <m:t>s</m:t>
        </m:r>
      </m:oMath>
      <w:r>
        <w:t xml:space="preserve">：</w:t>
      </w:r>
    </w:p>
    <w:p>
      <w:pPr>
        <w:pStyle w:val="BodyText"/>
        <w:keepNext/>
        <w:spacing w:before="80" w:after="0"/>
        <w:ind w:firstLine="0"/>
        <w:jc w:val="center"/>
      </w:pPr>
      <m:oMathPara>
        <m:oMathParaPr>
          <m:jc m:val="center"/>
        </m:oMathParaPr>
        <m:oMath>
          <m:sSubSup>
            <m:e>
              <m:r>
                <m:t>C</m:t>
              </m:r>
            </m:e>
            <m:sub>
              <m:r>
                <m:t>A</m:t>
              </m:r>
              <m:r>
                <m:t>I</m:t>
              </m:r>
            </m:sub>
            <m:sup>
              <m:r>
                <m:t>c</m:t>
              </m:r>
              <m:r>
                <m:t>a</m:t>
              </m:r>
              <m:r>
                <m:t>p</m:t>
              </m:r>
            </m:sup>
          </m:sSubSup>
          <m:d>
            <m:dPr>
              <m:begChr m:val="("/>
              <m:endChr m:val=")"/>
              <m:sepChr m:val=""/>
              <m:grow/>
            </m:dPr>
            <m:e>
              <m:r>
                <m:rPr>
                  <m:sty m:val="b"/>
                </m:rPr>
                <m:t>θ</m:t>
              </m:r>
              <m:r>
                <m:rPr>
                  <m:sty m:val="p"/>
                </m:rPr>
                <m:t>,</m:t>
              </m:r>
              <m:r>
                <m:t>a</m:t>
              </m:r>
              <m:r>
                <m:rPr>
                  <m:sty m:val="p"/>
                </m:rPr>
                <m:t>,</m:t>
              </m:r>
              <m:r>
                <m:t>s</m:t>
              </m:r>
            </m:e>
          </m:d>
          <m:r>
            <m:rPr>
              <m:sty m:val="p"/>
            </m:rPr>
            <m:t>=</m:t>
          </m:r>
          <m:r>
            <m:rPr>
              <m:sty m:val="p"/>
            </m:rPr>
            <m:t>max</m:t>
          </m:r>
          <m:d>
            <m:dPr>
              <m:begChr m:val="{"/>
              <m:endChr m:val="}"/>
              <m:sepChr m:val=""/>
              <m:grow/>
            </m:dPr>
            <m:e>
              <m:sSub>
                <m:e>
                  <m:r>
                    <m:t>C</m:t>
                  </m:r>
                </m:e>
                <m:sub>
                  <m:r>
                    <m:t>A</m:t>
                  </m:r>
                  <m:r>
                    <m:t>I</m:t>
                  </m:r>
                </m:sub>
              </m:sSub>
              <m:r>
                <m:rPr>
                  <m:sty m:val="p"/>
                </m:rPr>
                <m:t>∣</m:t>
              </m:r>
              <m:sSub>
                <m:e>
                  <m:r>
                    <m:t>g</m:t>
                  </m:r>
                </m:e>
                <m:sub>
                  <m:r>
                    <m:t>k</m:t>
                  </m:r>
                </m:sub>
              </m:sSub>
              <m:d>
                <m:dPr>
                  <m:begChr m:val="("/>
                  <m:endChr m:val=")"/>
                  <m:sepChr m:val=""/>
                  <m:grow/>
                </m:dPr>
                <m:e>
                  <m:sSub>
                    <m:e>
                      <m:r>
                        <m:t>C</m:t>
                      </m:r>
                    </m:e>
                    <m:sub>
                      <m:r>
                        <m:t>A</m:t>
                      </m:r>
                      <m:r>
                        <m:t>I</m:t>
                      </m:r>
                    </m:sub>
                  </m:sSub>
                  <m:r>
                    <m:rPr>
                      <m:sty m:val="p"/>
                    </m:rPr>
                    <m:t>,</m:t>
                  </m:r>
                  <m:r>
                    <m:rPr>
                      <m:sty m:val="b"/>
                    </m:rPr>
                    <m:t>θ</m:t>
                  </m:r>
                  <m:r>
                    <m:rPr>
                      <m:sty m:val="p"/>
                    </m:rPr>
                    <m:t>,</m:t>
                  </m:r>
                  <m:r>
                    <m:t>a</m:t>
                  </m:r>
                  <m:r>
                    <m:rPr>
                      <m:sty m:val="p"/>
                    </m:rPr>
                    <m:t>,</m:t>
                  </m:r>
                  <m:r>
                    <m:t>s</m:t>
                  </m:r>
                </m:e>
              </m:d>
              <m:r>
                <m:rPr>
                  <m:sty m:val="p"/>
                </m:rPr>
                <m:t>≤</m:t>
              </m:r>
              <m:r>
                <m:t>0</m:t>
              </m:r>
              <m:r>
                <m:rPr>
                  <m:sty m:val="p"/>
                </m:rPr>
                <m:t>,</m:t>
              </m:r>
              <m:r>
                <m:t> </m:t>
              </m:r>
              <m:r>
                <m:rPr>
                  <m:sty m:val="p"/>
                </m:rPr>
                <m:t>∀</m:t>
              </m:r>
              <m:r>
                <m:t>k</m:t>
              </m:r>
            </m:e>
          </m:d>
        </m:oMath>
      </m:oMathPara>
    </w:p>
    <w:p>
      <w:pPr>
        <w:pStyle w:val="EquationNumber"/>
      </w:pPr>
      <w:r>
        <w:t>（6-21）</w:t>
      </w:r>
    </w:p>
    <w:p>
      <w:pPr>
        <w:pStyle w:val="BodyText"/>
      </w:pPr>
      <w:r>
        <w:t xml:space="preserve">核心约束包括：</w:t>
      </w:r>
    </w:p>
    <w:p>
      <w:pPr>
        <w:pStyle w:val="BodyText"/>
      </w:pPr>
      <w:r>
        <w:t xml:space="preserve">外部水源压力：</w:t>
      </w:r>
    </w:p>
    <w:p>
      <w:pPr>
        <w:pStyle w:val="BodyText"/>
        <w:keepNext/>
        <w:spacing w:before="80" w:after="0"/>
        <w:ind w:firstLine="0"/>
        <w:jc w:val="center"/>
      </w:pPr>
      <m:oMathPara>
        <m:oMathParaPr>
          <m:jc m:val="center"/>
        </m:oMathParaPr>
        <m:oMath>
          <m:limLow>
            <m:e>
              <m:r>
                <m:rPr>
                  <m:sty m:val="p"/>
                </m:rPr>
                <m:t>max</m:t>
              </m:r>
            </m:e>
            <m:lim>
              <m:r>
                <m:t>t</m:t>
              </m:r>
            </m:lim>
          </m:limLow>
          <m:f>
            <m:fPr>
              <m:type m:val="bar"/>
            </m:fPr>
            <m:num>
              <m:sSubSup>
                <m:e>
                  <m:r>
                    <m:t>W</m:t>
                  </m:r>
                </m:e>
                <m:sub>
                  <m:r>
                    <m:t>t</m:t>
                  </m:r>
                </m:sub>
                <m:sup>
                  <m:r>
                    <m:t>e</m:t>
                  </m:r>
                  <m:r>
                    <m:t>x</m:t>
                  </m:r>
                  <m:r>
                    <m:t>t</m:t>
                  </m:r>
                  <m:r>
                    <m:rPr>
                      <m:sty m:val="p"/>
                    </m:rPr>
                    <m:t>,</m:t>
                  </m:r>
                  <m:r>
                    <m:t>d</m:t>
                  </m:r>
                  <m:r>
                    <m:t>e</m:t>
                  </m:r>
                  <m:r>
                    <m:t>m</m:t>
                  </m:r>
                  <m:r>
                    <m:t>a</m:t>
                  </m:r>
                  <m:r>
                    <m:t>n</m:t>
                  </m:r>
                  <m:r>
                    <m:t>d</m:t>
                  </m:r>
                </m:sup>
              </m:sSubSup>
            </m:num>
            <m:den>
              <m:sSub>
                <m:e>
                  <m:r>
                    <m:t>A</m:t>
                  </m:r>
                </m:e>
                <m:sub>
                  <m:r>
                    <m:t>w</m:t>
                  </m:r>
                  <m:r>
                    <m:rPr>
                      <m:sty m:val="p"/>
                    </m:rPr>
                    <m:t>,</m:t>
                  </m:r>
                  <m:r>
                    <m:t>t</m:t>
                  </m:r>
                </m:sub>
              </m:sSub>
            </m:den>
          </m:f>
          <m:r>
            <m:rPr>
              <m:sty m:val="p"/>
            </m:rPr>
            <m:t>≤</m:t>
          </m:r>
          <m:sSubSup>
            <m:e>
              <m:r>
                <m:t>U</m:t>
              </m:r>
            </m:e>
            <m:sub>
              <m:r>
                <m:t>s</m:t>
              </m:r>
              <m:r>
                <m:t>o</m:t>
              </m:r>
              <m:r>
                <m:t>u</m:t>
              </m:r>
              <m:r>
                <m:t>r</m:t>
              </m:r>
              <m:r>
                <m:t>c</m:t>
              </m:r>
              <m:r>
                <m:t>e</m:t>
              </m:r>
            </m:sub>
            <m:sup>
              <m:r>
                <m:t>m</m:t>
              </m:r>
              <m:r>
                <m:t>a</m:t>
              </m:r>
              <m:r>
                <m:t>x</m:t>
              </m:r>
            </m:sup>
          </m:sSubSup>
        </m:oMath>
      </m:oMathPara>
    </w:p>
    <w:p>
      <w:pPr>
        <w:pStyle w:val="EquationNumber"/>
      </w:pPr>
      <w:r>
        <w:t>（6-22）</w:t>
      </w:r>
    </w:p>
    <w:p>
      <w:pPr>
        <w:pStyle w:val="BodyText"/>
      </w:pPr>
      <w:r>
        <w:t xml:space="preserve">给水潜在负荷：</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T</m:t>
              </m:r>
              <m:r>
                <m:t>W</m:t>
              </m:r>
              <m:r>
                <m:rPr>
                  <m:sty m:val="p"/>
                </m:rPr>
                <m:t>,</m:t>
              </m:r>
              <m:r>
                <m:t>t</m:t>
              </m:r>
            </m:sub>
            <m:sup>
              <m:r>
                <m:t>p</m:t>
              </m:r>
              <m:r>
                <m:t>o</m:t>
              </m:r>
              <m:r>
                <m:t>t</m:t>
              </m:r>
            </m:sup>
          </m:sSubSup>
          <m:r>
            <m:rPr>
              <m:sty m:val="p"/>
            </m:rPr>
            <m:t>≤</m:t>
          </m:r>
          <m:sSubSup>
            <m:e>
              <m:r>
                <m:t>U</m:t>
              </m:r>
            </m:e>
            <m:sub>
              <m:r>
                <m:t>W</m:t>
              </m:r>
              <m:r>
                <m:t>T</m:t>
              </m:r>
              <m:r>
                <m:t>W</m:t>
              </m:r>
            </m:sub>
            <m:sup>
              <m:r>
                <m:t>m</m:t>
              </m:r>
              <m:r>
                <m:t>a</m:t>
              </m:r>
              <m:r>
                <m:t>x</m:t>
              </m:r>
            </m:sup>
          </m:sSubSup>
        </m:oMath>
      </m:oMathPara>
    </w:p>
    <w:p>
      <w:pPr>
        <w:pStyle w:val="EquationNumber"/>
      </w:pPr>
      <w:r>
        <w:t>（6-23）</w:t>
      </w:r>
    </w:p>
    <w:p>
      <w:pPr>
        <w:pStyle w:val="BodyText"/>
      </w:pPr>
      <w:r>
        <w:t xml:space="preserve">污水潜在负荷与溢流：</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W</m:t>
              </m:r>
              <m:r>
                <m:t>T</m:t>
              </m:r>
              <m:r>
                <m:t>W</m:t>
              </m:r>
              <m:r>
                <m:rPr>
                  <m:sty m:val="p"/>
                </m:rPr>
                <m:t>,</m:t>
              </m:r>
              <m:r>
                <m:t>t</m:t>
              </m:r>
            </m:sub>
            <m:sup>
              <m:r>
                <m:t>p</m:t>
              </m:r>
              <m:r>
                <m:t>o</m:t>
              </m:r>
              <m:r>
                <m:t>t</m:t>
              </m:r>
            </m:sup>
          </m:sSubSup>
          <m:r>
            <m:rPr>
              <m:sty m:val="p"/>
            </m:rPr>
            <m:t>≤</m:t>
          </m:r>
          <m:sSubSup>
            <m:e>
              <m:r>
                <m:t>U</m:t>
              </m:r>
            </m:e>
            <m:sub>
              <m:r>
                <m:t>W</m:t>
              </m:r>
              <m:r>
                <m:t>W</m:t>
              </m:r>
              <m:r>
                <m:t>T</m:t>
              </m:r>
              <m:r>
                <m:t>W</m:t>
              </m:r>
            </m:sub>
            <m:sup>
              <m:r>
                <m:t>m</m:t>
              </m:r>
              <m:r>
                <m:t>a</m:t>
              </m:r>
              <m:r>
                <m:t>x</m:t>
              </m:r>
            </m:sup>
          </m:sSubSup>
          <m:r>
            <m:rPr>
              <m:sty m:val="p"/>
            </m:rPr>
            <m:t>,</m:t>
          </m:r>
          <m:r>
            <m:t>  </m:t>
          </m:r>
          <m:nary>
            <m:naryPr>
              <m:chr m:val="∑"/>
              <m:limLoc m:val="undOvr"/>
              <m:subHide m:val="off"/>
              <m:supHide m:val="on"/>
            </m:naryPr>
            <m:sub>
              <m:r>
                <m:t>t</m:t>
              </m:r>
            </m:sub>
            <m:sup>
              <m:r>
                <m:t>​</m:t>
              </m:r>
            </m:sup>
            <m:e>
              <m:sSubSup>
                <m:e>
                  <m:r>
                    <m:t>Q</m:t>
                  </m:r>
                </m:e>
                <m:sub>
                  <m:r>
                    <m:t>t</m:t>
                  </m:r>
                </m:sub>
                <m:sup>
                  <m:r>
                    <m:t>w</m:t>
                  </m:r>
                  <m:r>
                    <m:t>w</m:t>
                  </m:r>
                  <m:r>
                    <m:rPr>
                      <m:sty m:val="p"/>
                    </m:rPr>
                    <m:t>,</m:t>
                  </m:r>
                  <m:r>
                    <m:t>o</m:t>
                  </m:r>
                  <m:r>
                    <m:t>v</m:t>
                  </m:r>
                </m:sup>
              </m:sSubSup>
            </m:e>
          </m:nary>
          <m:r>
            <m:rPr>
              <m:sty m:val="p"/>
            </m:rPr>
            <m:t>≤</m:t>
          </m:r>
          <m:r>
            <m:t>O</m:t>
          </m:r>
          <m:sSup>
            <m:e>
              <m:r>
                <m:t>V</m:t>
              </m:r>
            </m:e>
            <m:sup>
              <m:r>
                <m:t>m</m:t>
              </m:r>
              <m:r>
                <m:t>a</m:t>
              </m:r>
              <m:r>
                <m:t>x</m:t>
              </m:r>
            </m:sup>
          </m:sSup>
        </m:oMath>
      </m:oMathPara>
    </w:p>
    <w:p>
      <w:pPr>
        <w:pStyle w:val="EquationNumber"/>
      </w:pPr>
      <w:r>
        <w:t>（6-24）</w:t>
      </w:r>
    </w:p>
    <w:p>
      <w:pPr>
        <w:pStyle w:val="BodyText"/>
      </w:pPr>
      <w:r>
        <w:t xml:space="preserve">再生水服务：</w:t>
      </w:r>
    </w:p>
    <w:p>
      <w:pPr>
        <w:pStyle w:val="BodyText"/>
        <w:keepNext/>
        <w:spacing w:before="80" w:after="0"/>
        <w:ind w:firstLine="0"/>
        <w:jc w:val="center"/>
      </w:pPr>
      <m:oMathPara>
        <m:oMathParaPr>
          <m:jc m:val="center"/>
        </m:oMathParaPr>
        <m:oMath>
          <m:limLow>
            <m:e>
              <m:r>
                <m:rPr>
                  <m:sty m:val="p"/>
                </m:rPr>
                <m:t>min</m:t>
              </m:r>
            </m:e>
            <m:lim>
              <m:r>
                <m:t>t</m:t>
              </m:r>
            </m:lim>
          </m:limLow>
          <m:r>
            <m:t>S</m:t>
          </m:r>
          <m:sSub>
            <m:e>
              <m:r>
                <m:t>R</m:t>
              </m:r>
            </m:e>
            <m:sub>
              <m:r>
                <m:t>r</m:t>
              </m:r>
              <m:r>
                <m:t>e</m:t>
              </m:r>
              <m:r>
                <m:t>c</m:t>
              </m:r>
              <m:r>
                <m:rPr>
                  <m:sty m:val="p"/>
                </m:rPr>
                <m:t>,</m:t>
              </m:r>
              <m:r>
                <m:t>t</m:t>
              </m:r>
            </m:sub>
          </m:sSub>
          <m:r>
            <m:rPr>
              <m:sty m:val="p"/>
            </m:rPr>
            <m:t>≥</m:t>
          </m:r>
          <m:r>
            <m:t>S</m:t>
          </m:r>
          <m:sSubSup>
            <m:e>
              <m:r>
                <m:t>R</m:t>
              </m:r>
            </m:e>
            <m:sub>
              <m:r>
                <m:t>r</m:t>
              </m:r>
              <m:r>
                <m:t>e</m:t>
              </m:r>
              <m:r>
                <m:t>c</m:t>
              </m:r>
            </m:sub>
            <m:sup>
              <m:r>
                <m:t>m</m:t>
              </m:r>
              <m:r>
                <m:t>i</m:t>
              </m:r>
              <m:r>
                <m:t>n</m:t>
              </m:r>
            </m:sup>
          </m:sSubSup>
        </m:oMath>
      </m:oMathPara>
    </w:p>
    <w:p>
      <w:pPr>
        <w:pStyle w:val="EquationNumber"/>
      </w:pPr>
      <w:r>
        <w:t>（6-25）</w:t>
      </w:r>
    </w:p>
    <w:p>
      <w:pPr>
        <w:pStyle w:val="BodyText"/>
      </w:pPr>
      <w:r>
        <w:t xml:space="preserve">基本民生服务和AI运行服务：</w:t>
      </w:r>
    </w:p>
    <w:p>
      <w:pPr>
        <w:pStyle w:val="BodyText"/>
        <w:keepNext/>
        <w:spacing w:before="80" w:after="0"/>
        <w:ind w:firstLine="0"/>
        <w:jc w:val="center"/>
      </w:pPr>
      <m:oMathPara>
        <m:oMathParaPr>
          <m:jc m:val="center"/>
        </m:oMathParaPr>
        <m:oMath>
          <m:nary>
            <m:naryPr>
              <m:chr m:val="∑"/>
              <m:limLoc m:val="undOvr"/>
              <m:subHide m:val="off"/>
              <m:supHide m:val="on"/>
            </m:naryPr>
            <m:sub>
              <m:r>
                <m:t>t</m:t>
              </m:r>
            </m:sub>
            <m:sup>
              <m:r>
                <m:t>​</m:t>
              </m:r>
            </m:sup>
            <m:e>
              <m:r>
                <m:t>U</m:t>
              </m:r>
            </m:e>
          </m:nary>
          <m:r>
            <m:t>n</m:t>
          </m:r>
          <m:r>
            <m:t>m</m:t>
          </m:r>
          <m:r>
            <m:t>e</m:t>
          </m:r>
          <m:r>
            <m:t>t</m:t>
          </m:r>
          <m:r>
            <m:t>D</m:t>
          </m:r>
          <m:r>
            <m:t>e</m:t>
          </m:r>
          <m:r>
            <m:t>m</m:t>
          </m:r>
          <m:r>
            <m:t>a</m:t>
          </m:r>
          <m:r>
            <m:t>n</m:t>
          </m:r>
          <m:sSubSup>
            <m:e>
              <m:r>
                <m:t>d</m:t>
              </m:r>
            </m:e>
            <m:sub>
              <m:r>
                <m:t>t</m:t>
              </m:r>
            </m:sub>
            <m:sup>
              <m:r>
                <m:t>d</m:t>
              </m:r>
              <m:r>
                <m:t>o</m:t>
              </m:r>
              <m:r>
                <m:t>m</m:t>
              </m:r>
            </m:sup>
          </m:sSubSup>
          <m:r>
            <m:rPr>
              <m:sty m:val="p"/>
            </m:rPr>
            <m:t>≤</m:t>
          </m:r>
          <m:sSubSup>
            <m:e>
              <m:r>
                <m:t>U</m:t>
              </m:r>
            </m:e>
            <m:sub>
              <m:r>
                <m:t>d</m:t>
              </m:r>
              <m:r>
                <m:t>o</m:t>
              </m:r>
              <m:r>
                <m:t>m</m:t>
              </m:r>
            </m:sub>
            <m:sup>
              <m:r>
                <m:t>m</m:t>
              </m:r>
              <m:r>
                <m:t>a</m:t>
              </m:r>
              <m:r>
                <m:t>x</m:t>
              </m:r>
            </m:sup>
          </m:sSubSup>
          <m:r>
            <m:rPr>
              <m:sty m:val="p"/>
            </m:rPr>
            <m:t>,</m:t>
          </m:r>
          <m:r>
            <m:t>  </m:t>
          </m:r>
          <m:nary>
            <m:naryPr>
              <m:chr m:val="∑"/>
              <m:limLoc m:val="undOvr"/>
              <m:subHide m:val="off"/>
              <m:supHide m:val="on"/>
            </m:naryPr>
            <m:sub>
              <m:r>
                <m:t>t</m:t>
              </m:r>
            </m:sub>
            <m:sup>
              <m:r>
                <m:t>​</m:t>
              </m:r>
            </m:sup>
            <m:e>
              <m:sSubSup>
                <m:e>
                  <m:r>
                    <m:t>U</m:t>
                  </m:r>
                </m:e>
                <m:sub>
                  <m:r>
                    <m:t>t</m:t>
                  </m:r>
                </m:sub>
                <m:sup>
                  <m:r>
                    <m:t>A</m:t>
                  </m:r>
                  <m:r>
                    <m:t>I</m:t>
                  </m:r>
                </m:sup>
              </m:sSubSup>
            </m:e>
          </m:nary>
          <m:r>
            <m:rPr>
              <m:sty m:val="p"/>
            </m:rPr>
            <m:t>≤</m:t>
          </m:r>
          <m:sSubSup>
            <m:e>
              <m:r>
                <m:t>U</m:t>
              </m:r>
            </m:e>
            <m:sub>
              <m:r>
                <m:t>A</m:t>
              </m:r>
              <m:r>
                <m:t>I</m:t>
              </m:r>
            </m:sub>
            <m:sup>
              <m:r>
                <m:t>m</m:t>
              </m:r>
              <m:r>
                <m:t>a</m:t>
              </m:r>
              <m:r>
                <m:t>x</m:t>
              </m:r>
            </m:sup>
          </m:sSubSup>
        </m:oMath>
      </m:oMathPara>
    </w:p>
    <w:p>
      <w:pPr>
        <w:pStyle w:val="EquationNumber"/>
      </w:pPr>
      <w:r>
        <w:t>（6-26）</w:t>
      </w:r>
    </w:p>
    <w:p>
      <w:pPr>
        <w:pStyle w:val="BodyText"/>
      </w:pPr>
      <w:r>
        <w:t xml:space="preserve">系统可靠性与峰值：</w:t>
      </w:r>
    </w:p>
    <w:p>
      <w:pPr>
        <w:pStyle w:val="BodyText"/>
        <w:keepNext/>
        <w:spacing w:before="80" w:after="0"/>
        <w:ind w:firstLine="0"/>
        <w:jc w:val="center"/>
      </w:pPr>
      <m:oMathPara>
        <m:oMathParaPr>
          <m:jc m:val="center"/>
        </m:oMathParaPr>
        <m:oMath>
          <m:r>
            <m:t>R</m:t>
          </m:r>
          <m:r>
            <m:t>e</m:t>
          </m:r>
          <m:r>
            <m:t>l</m:t>
          </m:r>
          <m:r>
            <m:rPr>
              <m:sty m:val="p"/>
            </m:rPr>
            <m:t>≥</m:t>
          </m:r>
          <m:r>
            <m:t>R</m:t>
          </m:r>
          <m:r>
            <m:t>e</m:t>
          </m:r>
          <m:sSup>
            <m:e>
              <m:r>
                <m:t>l</m:t>
              </m:r>
            </m:e>
            <m:sup>
              <m:r>
                <m:t>m</m:t>
              </m:r>
              <m:r>
                <m:t>i</m:t>
              </m:r>
              <m:r>
                <m:t>n</m:t>
              </m:r>
            </m:sup>
          </m:sSup>
          <m:r>
            <m:rPr>
              <m:sty m:val="p"/>
            </m:rPr>
            <m:t>,</m:t>
          </m:r>
          <m:r>
            <m:t>  </m:t>
          </m:r>
          <m:r>
            <m:t>P</m:t>
          </m:r>
          <m:r>
            <m:t>C</m:t>
          </m:r>
          <m:r>
            <m:t>R</m:t>
          </m:r>
          <m:r>
            <m:rPr>
              <m:sty m:val="p"/>
            </m:rPr>
            <m:t>≤</m:t>
          </m:r>
          <m:r>
            <m:t>1</m:t>
          </m:r>
        </m:oMath>
      </m:oMathPara>
    </w:p>
    <w:p>
      <w:pPr>
        <w:pStyle w:val="EquationNumber"/>
      </w:pPr>
      <w:r>
        <w:t>（6-27）</w:t>
      </w:r>
    </w:p>
    <w:p>
      <w:pPr>
        <w:pStyle w:val="BodyText"/>
      </w:pPr>
      <w:r>
        <w:t xml:space="preserve">具体安全裕度不在开题阶段随意指定，将依据工程设计标准、Benchmark和敏感性分析确定。</w:t>
      </w:r>
    </w:p>
    <w:bookmarkEnd w:id="82"/>
    <w:bookmarkStart w:id="83" w:name="日均评价相对于峰值评价的边界提前量"/>
    <w:p>
      <w:pPr>
        <w:pStyle w:val="Heading2"/>
        <w:keepNext/>
        <w:keepLines/>
        <w:ind w:firstLine="0"/>
      </w:pPr>
      <w:r>
        <w:t xml:space="preserve">6.7 日均评价相对于峰值评价的边界提前量</w:t>
      </w:r>
    </w:p>
    <w:p>
      <w:pPr>
        <w:pStyle w:val="FirstParagraph"/>
      </w:pPr>
      <w:r>
        <w:t xml:space="preserve">分别计算只使用年/平均约束得到的</w:t>
      </w:r>
      <w:r>
        <w:t xml:space="preserve"> </w:t>
      </w:r>
      <m:oMath>
        <m:sSubSup>
          <m:e>
            <m:r>
              <m:t>C</m:t>
            </m:r>
          </m:e>
          <m:sub>
            <m:r>
              <m:t>A</m:t>
            </m:r>
            <m:r>
              <m:t>I</m:t>
            </m:r>
            <m:r>
              <m:rPr>
                <m:sty m:val="p"/>
              </m:rPr>
              <m:t>,</m:t>
            </m:r>
            <m:r>
              <m:t>a</m:t>
            </m:r>
            <m:r>
              <m:t>n</m:t>
            </m:r>
            <m:r>
              <m:t>n</m:t>
            </m:r>
            <m:r>
              <m:t>u</m:t>
            </m:r>
            <m:r>
              <m:t>a</m:t>
            </m:r>
            <m:r>
              <m:t>l</m:t>
            </m:r>
          </m:sub>
          <m:sup>
            <m:r>
              <m:t>c</m:t>
            </m:r>
            <m:r>
              <m:t>a</m:t>
            </m:r>
            <m:r>
              <m:t>p</m:t>
            </m:r>
          </m:sup>
        </m:sSubSup>
      </m:oMath>
      <w:r>
        <w:t xml:space="preserve"> </w:t>
      </w:r>
      <w:r>
        <w:t xml:space="preserve">与完整日尺度峰值约束得到的</w:t>
      </w:r>
      <w:r>
        <w:t xml:space="preserve"> </w:t>
      </w:r>
      <m:oMath>
        <m:sSubSup>
          <m:e>
            <m:r>
              <m:t>C</m:t>
            </m:r>
          </m:e>
          <m:sub>
            <m:r>
              <m:t>A</m:t>
            </m:r>
            <m:r>
              <m:t>I</m:t>
            </m:r>
            <m:r>
              <m:rPr>
                <m:sty m:val="p"/>
              </m:rPr>
              <m:t>,</m:t>
            </m:r>
            <m:r>
              <m:t>d</m:t>
            </m:r>
            <m:r>
              <m:t>a</m:t>
            </m:r>
            <m:r>
              <m:t>i</m:t>
            </m:r>
            <m:r>
              <m:t>l</m:t>
            </m:r>
            <m:r>
              <m:t>y</m:t>
            </m:r>
          </m:sub>
          <m:sup>
            <m:r>
              <m:t>c</m:t>
            </m:r>
            <m:r>
              <m:t>a</m:t>
            </m:r>
            <m:r>
              <m:t>p</m:t>
            </m:r>
          </m:sup>
        </m:sSubSup>
      </m:oMath>
      <w:r>
        <w:t xml:space="preserve">。定义边界提前比例：</w:t>
      </w:r>
    </w:p>
    <w:p>
      <w:pPr>
        <w:pStyle w:val="BodyText"/>
        <w:keepNext/>
        <w:spacing w:before="80" w:after="0"/>
        <w:ind w:firstLine="0"/>
        <w:jc w:val="center"/>
      </w:pPr>
      <m:oMathPara>
        <m:oMathParaPr>
          <m:jc m:val="center"/>
        </m:oMathParaPr>
        <m:oMath>
          <m:r>
            <m:t>B</m:t>
          </m:r>
          <m:r>
            <m:t>A</m:t>
          </m:r>
          <m:r>
            <m:t>R</m:t>
          </m:r>
          <m:r>
            <m:rPr>
              <m:sty m:val="p"/>
            </m:rPr>
            <m:t>=</m:t>
          </m:r>
          <m:f>
            <m:fPr>
              <m:type m:val="bar"/>
            </m:fPr>
            <m:num>
              <m:sSubSup>
                <m:e>
                  <m:r>
                    <m:t>C</m:t>
                  </m:r>
                </m:e>
                <m:sub>
                  <m:r>
                    <m:t>A</m:t>
                  </m:r>
                  <m:r>
                    <m:t>I</m:t>
                  </m:r>
                  <m:r>
                    <m:rPr>
                      <m:sty m:val="p"/>
                    </m:rPr>
                    <m:t>,</m:t>
                  </m:r>
                  <m:r>
                    <m:t>a</m:t>
                  </m:r>
                  <m:r>
                    <m:t>n</m:t>
                  </m:r>
                  <m:r>
                    <m:t>n</m:t>
                  </m:r>
                  <m:r>
                    <m:t>u</m:t>
                  </m:r>
                  <m:r>
                    <m:t>a</m:t>
                  </m:r>
                  <m:r>
                    <m:t>l</m:t>
                  </m:r>
                </m:sub>
                <m:sup>
                  <m:r>
                    <m:t>c</m:t>
                  </m:r>
                  <m:r>
                    <m:t>a</m:t>
                  </m:r>
                  <m:r>
                    <m:t>p</m:t>
                  </m:r>
                </m:sup>
              </m:sSubSup>
              <m:r>
                <m:rPr>
                  <m:sty m:val="p"/>
                </m:rPr>
                <m:t>−</m:t>
              </m:r>
              <m:sSubSup>
                <m:e>
                  <m:r>
                    <m:t>C</m:t>
                  </m:r>
                </m:e>
                <m:sub>
                  <m:r>
                    <m:t>A</m:t>
                  </m:r>
                  <m:r>
                    <m:t>I</m:t>
                  </m:r>
                  <m:r>
                    <m:rPr>
                      <m:sty m:val="p"/>
                    </m:rPr>
                    <m:t>,</m:t>
                  </m:r>
                  <m:r>
                    <m:t>d</m:t>
                  </m:r>
                  <m:r>
                    <m:t>a</m:t>
                  </m:r>
                  <m:r>
                    <m:t>i</m:t>
                  </m:r>
                  <m:r>
                    <m:t>l</m:t>
                  </m:r>
                  <m:r>
                    <m:t>y</m:t>
                  </m:r>
                </m:sub>
                <m:sup>
                  <m:r>
                    <m:t>c</m:t>
                  </m:r>
                  <m:r>
                    <m:t>a</m:t>
                  </m:r>
                  <m:r>
                    <m:t>p</m:t>
                  </m:r>
                </m:sup>
              </m:sSubSup>
            </m:num>
            <m:den>
              <m:sSubSup>
                <m:e>
                  <m:r>
                    <m:t>C</m:t>
                  </m:r>
                </m:e>
                <m:sub>
                  <m:r>
                    <m:t>A</m:t>
                  </m:r>
                  <m:r>
                    <m:t>I</m:t>
                  </m:r>
                  <m:r>
                    <m:rPr>
                      <m:sty m:val="p"/>
                    </m:rPr>
                    <m:t>,</m:t>
                  </m:r>
                  <m:r>
                    <m:t>a</m:t>
                  </m:r>
                  <m:r>
                    <m:t>n</m:t>
                  </m:r>
                  <m:r>
                    <m:t>n</m:t>
                  </m:r>
                  <m:r>
                    <m:t>u</m:t>
                  </m:r>
                  <m:r>
                    <m:t>a</m:t>
                  </m:r>
                  <m:r>
                    <m:t>l</m:t>
                  </m:r>
                </m:sub>
                <m:sup>
                  <m:r>
                    <m:t>c</m:t>
                  </m:r>
                  <m:r>
                    <m:t>a</m:t>
                  </m:r>
                  <m:r>
                    <m:t>p</m:t>
                  </m:r>
                </m:sup>
              </m:sSubSup>
            </m:den>
          </m:f>
        </m:oMath>
      </m:oMathPara>
    </w:p>
    <w:p>
      <w:pPr>
        <w:pStyle w:val="EquationNumber"/>
      </w:pPr>
      <w:r>
        <w:t>（6-28）</w:t>
      </w:r>
    </w:p>
    <w:p>
      <w:pPr>
        <w:pStyle w:val="BodyText"/>
      </w:pPr>
      <m:oMath>
        <m:r>
          <m:t>B</m:t>
        </m:r>
        <m:r>
          <m:t>A</m:t>
        </m:r>
        <m:r>
          <m:t>R</m:t>
        </m:r>
      </m:oMath>
      <w:r>
        <w:t xml:space="preserve">是检验H1的核心指标。研究重点不是“有没有阈值”，而是日尺度与复合压力究竟使规划边界提前多少，以及这一差值由哪些因素控制。</w:t>
      </w:r>
    </w:p>
    <w:bookmarkEnd w:id="83"/>
    <w:bookmarkStart w:id="84" w:name="主导瓶颈与转换机制"/>
    <w:p>
      <w:pPr>
        <w:pStyle w:val="Heading2"/>
        <w:keepNext/>
        <w:keepLines/>
        <w:ind w:firstLine="0"/>
      </w:pPr>
      <w:r>
        <w:t xml:space="preserve">6.8 主导瓶颈与转换机制</w:t>
      </w:r>
    </w:p>
    <w:p>
      <w:pPr>
        <w:pStyle w:val="FirstParagraph"/>
      </w:pPr>
      <w:r>
        <w:t xml:space="preserve">对于每个约束</w:t>
      </w:r>
      <w:r>
        <w:t xml:space="preserve"> </w:t>
      </w:r>
      <m:oMath>
        <m:r>
          <m:t>k</m:t>
        </m:r>
      </m:oMath>
      <w:r>
        <w:t xml:space="preserve">，单独寻找使其首次达到失效条件的AI容量</w:t>
      </w:r>
      <w:r>
        <w:t xml:space="preserve"> </w:t>
      </w:r>
      <m:oMath>
        <m:sSubSup>
          <m:e>
            <m:r>
              <m:t>C</m:t>
            </m:r>
          </m:e>
          <m:sub>
            <m:r>
              <m:t>A</m:t>
            </m:r>
            <m:r>
              <m:t>I</m:t>
            </m:r>
            <m:r>
              <m:rPr>
                <m:sty m:val="p"/>
              </m:rPr>
              <m:t>,</m:t>
            </m:r>
            <m:r>
              <m:t>k</m:t>
            </m:r>
          </m:sub>
          <m:sup>
            <m:r>
              <m:t>l</m:t>
            </m:r>
            <m:r>
              <m:t>i</m:t>
            </m:r>
            <m:r>
              <m:t>m</m:t>
            </m:r>
            <m:r>
              <m:t>i</m:t>
            </m:r>
            <m:r>
              <m:t>t</m:t>
            </m:r>
          </m:sup>
        </m:sSubSup>
      </m:oMath>
      <w:r>
        <w:t xml:space="preserve">：</w:t>
      </w:r>
    </w:p>
    <w:p>
      <w:pPr>
        <w:pStyle w:val="BodyText"/>
        <w:keepNext/>
        <w:spacing w:before="80" w:after="0"/>
        <w:ind w:firstLine="0"/>
        <w:jc w:val="center"/>
      </w:pPr>
      <m:oMathPara>
        <m:oMathParaPr>
          <m:jc m:val="center"/>
        </m:oMathParaPr>
        <m:oMath>
          <m:sSup>
            <m:e>
              <m:r>
                <m:t>k</m:t>
              </m:r>
            </m:e>
            <m:sup>
              <m:r>
                <m:t>d</m:t>
              </m:r>
              <m:r>
                <m:t>o</m:t>
              </m:r>
              <m:r>
                <m:t>m</m:t>
              </m:r>
            </m:sup>
          </m:sSup>
          <m:r>
            <m:rPr>
              <m:sty m:val="p"/>
            </m:rPr>
            <m:t>=</m:t>
          </m:r>
          <m:r>
            <m:rPr>
              <m:sty m:val="p"/>
            </m:rPr>
            <m:t>arg</m:t>
          </m:r>
          <m:limLow>
            <m:e>
              <m:r>
                <m:rPr>
                  <m:sty m:val="p"/>
                </m:rPr>
                <m:t>min</m:t>
              </m:r>
            </m:e>
            <m:lim>
              <m:r>
                <m:t>k</m:t>
              </m:r>
            </m:lim>
          </m:limLow>
          <m:sSubSup>
            <m:e>
              <m:r>
                <m:t>C</m:t>
              </m:r>
            </m:e>
            <m:sub>
              <m:r>
                <m:t>A</m:t>
              </m:r>
              <m:r>
                <m:t>I</m:t>
              </m:r>
              <m:r>
                <m:rPr>
                  <m:sty m:val="p"/>
                </m:rPr>
                <m:t>,</m:t>
              </m:r>
              <m:r>
                <m:t>k</m:t>
              </m:r>
            </m:sub>
            <m:sup>
              <m:r>
                <m:t>l</m:t>
              </m:r>
              <m:r>
                <m:t>i</m:t>
              </m:r>
              <m:r>
                <m:t>m</m:t>
              </m:r>
              <m:r>
                <m:t>i</m:t>
              </m:r>
              <m:r>
                <m:t>t</m:t>
              </m:r>
            </m:sup>
          </m:sSubSup>
        </m:oMath>
      </m:oMathPara>
    </w:p>
    <w:p>
      <w:pPr>
        <w:pStyle w:val="EquationNumber"/>
      </w:pPr>
      <w:r>
        <w:t>（6-29）</w:t>
      </w:r>
    </w:p>
    <w:p>
      <w:pPr>
        <w:pStyle w:val="BodyText"/>
      </w:pPr>
      <w:r>
        <w:t xml:space="preserve">通过随城市状态、AI容量和干预策略变化的</w:t>
      </w:r>
      <w:r>
        <w:t xml:space="preserve"> </w:t>
      </w:r>
      <m:oMath>
        <m:sSup>
          <m:e>
            <m:r>
              <m:t>k</m:t>
            </m:r>
          </m:e>
          <m:sup>
            <m:r>
              <m:t>d</m:t>
            </m:r>
            <m:r>
              <m:t>o</m:t>
            </m:r>
            <m:r>
              <m:t>m</m:t>
            </m:r>
          </m:sup>
        </m:sSup>
      </m:oMath>
      <w:r>
        <w:t xml:space="preserve">，建立“水源→WTW→WWTW→再生水→峰值容量”等瓶颈转换图谱。该分析直接对应H2，并是本研究相对于只计算单一峰值供水约束研究的重要增量。</w:t>
      </w:r>
    </w:p>
    <w:bookmarkEnd w:id="84"/>
    <w:bookmarkStart w:id="85" w:name="再生水边际转折及原因分解"/>
    <w:p>
      <w:pPr>
        <w:pStyle w:val="Heading2"/>
        <w:keepNext/>
        <w:keepLines/>
        <w:ind w:firstLine="0"/>
      </w:pPr>
      <w:r>
        <w:t xml:space="preserve">6.9 再生水边际转折及原因分解</w:t>
      </w:r>
    </w:p>
    <w:p>
      <w:pPr>
        <w:pStyle w:val="FirstParagraph"/>
      </w:pPr>
      <w:r>
        <w:t xml:space="preserve">对再生水能力或目标比例</w:t>
      </w:r>
      <w:r>
        <w:t xml:space="preserve"> </w:t>
      </w:r>
      <m:oMath>
        <m:r>
          <m:t>r</m:t>
        </m:r>
      </m:oMath>
      <w:r>
        <w:t xml:space="preserve">，定义单位增量再生水能力带来的CAWCC边际收益：</w:t>
      </w:r>
    </w:p>
    <w:p>
      <w:pPr>
        <w:pStyle w:val="BodyText"/>
        <w:keepNext/>
        <w:spacing w:before="80" w:after="0"/>
        <w:ind w:firstLine="0"/>
        <w:jc w:val="center"/>
      </w:pPr>
      <m:oMathPara>
        <m:oMathParaPr>
          <m:jc m:val="center"/>
        </m:oMathParaPr>
        <m:oMath>
          <m:r>
            <m:t>M</m:t>
          </m:r>
          <m:sSub>
            <m:e>
              <m:r>
                <m:t>B</m:t>
              </m:r>
            </m:e>
            <m:sub>
              <m:r>
                <m:t>r</m:t>
              </m:r>
              <m:r>
                <m:t>e</m:t>
              </m:r>
              <m:r>
                <m:t>c</m:t>
              </m:r>
            </m:sub>
          </m:sSub>
          <m:d>
            <m:dPr>
              <m:begChr m:val="("/>
              <m:endChr m:val=")"/>
              <m:sepChr m:val=""/>
              <m:grow/>
            </m:dPr>
            <m:e>
              <m:r>
                <m:t>r</m:t>
              </m:r>
            </m:e>
          </m:d>
          <m:r>
            <m:rPr>
              <m:sty m:val="p"/>
            </m:rPr>
            <m:t>=</m:t>
          </m:r>
          <m:f>
            <m:fPr>
              <m:type m:val="bar"/>
            </m:fPr>
            <m:num>
              <m:r>
                <m:rPr>
                  <m:sty m:val="p"/>
                </m:rPr>
                <m:t>∂</m:t>
              </m:r>
              <m:sSubSup>
                <m:e>
                  <m:r>
                    <m:t>C</m:t>
                  </m:r>
                </m:e>
                <m:sub>
                  <m:r>
                    <m:t>A</m:t>
                  </m:r>
                  <m:r>
                    <m:t>I</m:t>
                  </m:r>
                </m:sub>
                <m:sup>
                  <m:r>
                    <m:t>c</m:t>
                  </m:r>
                  <m:r>
                    <m:t>a</m:t>
                  </m:r>
                  <m:r>
                    <m:t>p</m:t>
                  </m:r>
                </m:sup>
              </m:sSubSup>
            </m:num>
            <m:den>
              <m:r>
                <m:rPr>
                  <m:sty m:val="p"/>
                </m:rPr>
                <m:t>∂</m:t>
              </m:r>
              <m:r>
                <m:t>r</m:t>
              </m:r>
            </m:den>
          </m:f>
        </m:oMath>
      </m:oMathPara>
    </w:p>
    <w:p>
      <w:pPr>
        <w:pStyle w:val="EquationNumber"/>
      </w:pPr>
      <w:r>
        <w:t>（6-30）</w:t>
      </w:r>
    </w:p>
    <w:p>
      <w:pPr>
        <w:pStyle w:val="BodyText"/>
      </w:pPr>
      <w:r>
        <w:t xml:space="preserve">不预先假设其下降必然来自</w:t>
      </w:r>
      <w:r>
        <w:t xml:space="preserve"> </w:t>
      </w:r>
      <m:oMath>
        <m:r>
          <m:rPr>
            <m:sty m:val="p"/>
          </m:rPr>
          <m:t>min</m:t>
        </m:r>
        <m:d>
          <m:dPr>
            <m:begChr m:val="("/>
            <m:endChr m:val=")"/>
            <m:sepChr m:val=""/>
            <m:grow/>
          </m:dPr>
          <m:e/>
        </m:d>
      </m:oMath>
      <w:r>
        <w:t xml:space="preserve">。在每个转折点同时记录污水源量、水质/CoC、处理能力、输配能力和既有用户竞争的活动约束，由此识别“边际收益为何下降”。</w:t>
      </w:r>
    </w:p>
    <w:bookmarkEnd w:id="85"/>
    <w:bookmarkStart w:id="86" w:name="概率化cawcc与参数敏感性"/>
    <w:p>
      <w:pPr>
        <w:pStyle w:val="Heading2"/>
        <w:keepNext/>
        <w:keepLines/>
        <w:ind w:firstLine="0"/>
      </w:pPr>
      <w:r>
        <w:t xml:space="preserve">6.10 概率化CAWCC与参数敏感性</w:t>
      </w:r>
    </w:p>
    <w:p>
      <w:pPr>
        <w:pStyle w:val="FirstParagraph"/>
      </w:pPr>
      <w:r>
        <w:t xml:space="preserve">在固定未来情景下，对可概率化参数联合抽样：</w:t>
      </w:r>
    </w:p>
    <w:p>
      <w:pPr>
        <w:pStyle w:val="BodyText"/>
        <w:keepNext/>
        <w:spacing w:before="80" w:after="0"/>
        <w:ind w:firstLine="0"/>
        <w:jc w:val="center"/>
      </w:pPr>
      <m:oMathPara>
        <m:oMathParaPr>
          <m:jc m:val="center"/>
        </m:oMathParaPr>
        <m:oMath>
          <m:sSup>
            <m:e>
              <m:r>
                <m:t>Y</m:t>
              </m:r>
            </m:e>
            <m:sup>
              <m:d>
                <m:dPr>
                  <m:begChr m:val="("/>
                  <m:endChr m:val=")"/>
                  <m:sepChr m:val=""/>
                  <m:grow/>
                </m:dPr>
                <m:e>
                  <m:r>
                    <m:t>n</m:t>
                  </m:r>
                </m:e>
              </m:d>
            </m:sup>
          </m:sSup>
          <m:r>
            <m:rPr>
              <m:sty m:val="p"/>
            </m:rPr>
            <m:t>=</m:t>
          </m:r>
          <m:r>
            <m:rPr>
              <m:sty m:val="p"/>
              <m:scr m:val="script"/>
            </m:rPr>
            <m:t>M</m:t>
          </m:r>
          <m:d>
            <m:dPr>
              <m:begChr m:val="("/>
              <m:endChr m:val=")"/>
              <m:sepChr m:val=""/>
              <m:grow/>
            </m:dPr>
            <m:e>
              <m:sSub>
                <m:e>
                  <m:r>
                    <m:t>C</m:t>
                  </m:r>
                </m:e>
                <m:sub>
                  <m:r>
                    <m:t>A</m:t>
                  </m:r>
                  <m:r>
                    <m:t>I</m:t>
                  </m:r>
                </m:sub>
              </m:sSub>
              <m:r>
                <m:rPr>
                  <m:sty m:val="p"/>
                </m:rPr>
                <m:t>,</m:t>
              </m:r>
              <m:sSup>
                <m:e>
                  <m:r>
                    <m:rPr>
                      <m:sty m:val="b"/>
                    </m:rPr>
                    <m:t>Θ</m:t>
                  </m:r>
                </m:e>
                <m:sup>
                  <m:d>
                    <m:dPr>
                      <m:begChr m:val="("/>
                      <m:endChr m:val=")"/>
                      <m:sepChr m:val=""/>
                      <m:grow/>
                    </m:dPr>
                    <m:e>
                      <m:r>
                        <m:t>n</m:t>
                      </m:r>
                    </m:e>
                  </m:d>
                </m:sup>
              </m:sSup>
              <m:r>
                <m:rPr>
                  <m:sty m:val="p"/>
                </m:rPr>
                <m:t>∣</m:t>
              </m:r>
              <m:r>
                <m:t>a</m:t>
              </m:r>
              <m:r>
                <m:rPr>
                  <m:sty m:val="p"/>
                </m:rPr>
                <m:t>,</m:t>
              </m:r>
              <m:r>
                <m:t>s</m:t>
              </m:r>
            </m:e>
          </m:d>
        </m:oMath>
      </m:oMathPara>
    </w:p>
    <w:p>
      <w:pPr>
        <w:pStyle w:val="EquationNumber"/>
      </w:pPr>
      <w:r>
        <w:t>（6-31）</w:t>
      </w:r>
    </w:p>
    <w:p>
      <w:pPr>
        <w:pStyle w:val="BodyText"/>
      </w:pPr>
      <w:r>
        <w:t xml:space="preserve">系统失效概率为：</w:t>
      </w:r>
    </w:p>
    <w:p>
      <w:pPr>
        <w:pStyle w:val="BodyText"/>
        <w:keepNext/>
        <w:spacing w:before="80" w:after="0"/>
        <w:ind w:firstLine="0"/>
        <w:jc w:val="center"/>
      </w:pPr>
      <m:oMathPara>
        <m:oMathParaPr>
          <m:jc m:val="center"/>
        </m:oMathParaPr>
        <m:oMath>
          <m:sSub>
            <m:e>
              <m:r>
                <m:t>P</m:t>
              </m:r>
            </m:e>
            <m:sub>
              <m:r>
                <m:t>f</m:t>
              </m:r>
              <m:r>
                <m:t>a</m:t>
              </m:r>
              <m:r>
                <m:t>i</m:t>
              </m:r>
              <m:r>
                <m:t>l</m:t>
              </m:r>
            </m:sub>
          </m:sSub>
          <m:d>
            <m:dPr>
              <m:begChr m:val="("/>
              <m:endChr m:val=")"/>
              <m:sepChr m:val=""/>
              <m:grow/>
            </m:dPr>
            <m:e>
              <m:sSub>
                <m:e>
                  <m:r>
                    <m:t>C</m:t>
                  </m:r>
                </m:e>
                <m:sub>
                  <m:r>
                    <m:t>A</m:t>
                  </m:r>
                  <m:r>
                    <m:t>I</m:t>
                  </m:r>
                </m:sub>
              </m:sSub>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t>I</m:t>
              </m:r>
            </m:e>
          </m:nary>
          <m:d>
            <m:dPr>
              <m:begChr m:val="["/>
              <m:endChr m:val="]"/>
              <m:sepChr m:val=""/>
              <m:grow/>
            </m:dPr>
            <m:e>
              <m:r>
                <m:rPr>
                  <m:sty m:val="p"/>
                </m:rPr>
                <m:t>∃</m:t>
              </m:r>
              <m:r>
                <m:t>k</m:t>
              </m:r>
              <m:r>
                <m:rPr>
                  <m:sty m:val="p"/>
                </m:rPr>
                <m:t>:</m:t>
              </m:r>
              <m:sSubSup>
                <m:e>
                  <m:r>
                    <m:t>g</m:t>
                  </m:r>
                </m:e>
                <m:sub>
                  <m:r>
                    <m:t>k</m:t>
                  </m:r>
                </m:sub>
                <m:sup>
                  <m:d>
                    <m:dPr>
                      <m:begChr m:val="("/>
                      <m:endChr m:val=")"/>
                      <m:sepChr m:val=""/>
                      <m:grow/>
                    </m:dPr>
                    <m:e>
                      <m:r>
                        <m:t>n</m:t>
                      </m:r>
                    </m:e>
                  </m:d>
                </m:sup>
              </m:sSubSup>
              <m:r>
                <m:rPr>
                  <m:sty m:val="p"/>
                </m:rPr>
                <m:t>&gt;</m:t>
              </m:r>
              <m:r>
                <m:t>0</m:t>
              </m:r>
            </m:e>
          </m:d>
        </m:oMath>
      </m:oMathPara>
    </w:p>
    <w:p>
      <w:pPr>
        <w:pStyle w:val="EquationNumber"/>
      </w:pPr>
      <w:r>
        <w:t>（6-32）</w:t>
      </w:r>
    </w:p>
    <w:p>
      <w:pPr>
        <w:pStyle w:val="BodyText"/>
      </w:pPr>
      <w:r>
        <w:t xml:space="preserve">风险容忍水平</w:t>
      </w:r>
      <w:r>
        <w:t xml:space="preserve"> </w:t>
      </w:r>
      <m:oMath>
        <m:r>
          <m:t>p</m:t>
        </m:r>
      </m:oMath>
      <w:r>
        <w:t xml:space="preserve"> </w:t>
      </w:r>
      <w:r>
        <w:t xml:space="preserve">下的安全容量：</w:t>
      </w:r>
    </w:p>
    <w:p>
      <w:pPr>
        <w:pStyle w:val="BodyText"/>
        <w:keepNext/>
        <w:spacing w:before="80" w:after="0"/>
        <w:ind w:firstLine="0"/>
        <w:jc w:val="center"/>
      </w:pPr>
      <m:oMathPara>
        <m:oMathParaPr>
          <m:jc m:val="center"/>
        </m:oMathParaPr>
        <m:oMath>
          <m:sSubSup>
            <m:e>
              <m:r>
                <m:t>C</m:t>
              </m:r>
            </m:e>
            <m:sub>
              <m:r>
                <m:t>A</m:t>
              </m:r>
              <m:r>
                <m:t>I</m:t>
              </m:r>
              <m:r>
                <m:rPr>
                  <m:sty m:val="p"/>
                </m:rPr>
                <m:t>,</m:t>
              </m:r>
              <m:r>
                <m:t>p</m:t>
              </m:r>
            </m:sub>
            <m:sup>
              <m:r>
                <m:t>c</m:t>
              </m:r>
              <m:r>
                <m:t>a</m:t>
              </m:r>
              <m:r>
                <m:t>p</m:t>
              </m:r>
            </m:sup>
          </m:sSubSup>
          <m:r>
            <m:rPr>
              <m:sty m:val="p"/>
            </m:rPr>
            <m:t>=</m:t>
          </m:r>
          <m:r>
            <m:rPr>
              <m:sty m:val="p"/>
            </m:rPr>
            <m:t>max</m:t>
          </m:r>
          <m:d>
            <m:dPr>
              <m:begChr m:val="{"/>
              <m:endChr m:val="}"/>
              <m:sepChr m:val=""/>
              <m:grow/>
            </m:dPr>
            <m:e>
              <m:sSub>
                <m:e>
                  <m:r>
                    <m:t>C</m:t>
                  </m:r>
                </m:e>
                <m:sub>
                  <m:r>
                    <m:t>A</m:t>
                  </m:r>
                  <m:r>
                    <m:t>I</m:t>
                  </m:r>
                </m:sub>
              </m:sSub>
              <m:r>
                <m:rPr>
                  <m:sty m:val="p"/>
                </m:rPr>
                <m:t>∣</m:t>
              </m:r>
              <m:sSub>
                <m:e>
                  <m:r>
                    <m:t>P</m:t>
                  </m:r>
                </m:e>
                <m:sub>
                  <m:r>
                    <m:t>f</m:t>
                  </m:r>
                  <m:r>
                    <m:t>a</m:t>
                  </m:r>
                  <m:r>
                    <m:t>i</m:t>
                  </m:r>
                  <m:r>
                    <m:t>l</m:t>
                  </m:r>
                </m:sub>
              </m:sSub>
              <m:d>
                <m:dPr>
                  <m:begChr m:val="("/>
                  <m:endChr m:val=")"/>
                  <m:sepChr m:val=""/>
                  <m:grow/>
                </m:dPr>
                <m:e>
                  <m:sSub>
                    <m:e>
                      <m:r>
                        <m:t>C</m:t>
                      </m:r>
                    </m:e>
                    <m:sub>
                      <m:r>
                        <m:t>A</m:t>
                      </m:r>
                      <m:r>
                        <m:t>I</m:t>
                      </m:r>
                    </m:sub>
                  </m:sSub>
                </m:e>
              </m:d>
              <m:r>
                <m:rPr>
                  <m:sty m:val="p"/>
                </m:rPr>
                <m:t>≤</m:t>
              </m:r>
              <m:r>
                <m:t>p</m:t>
              </m:r>
            </m:e>
          </m:d>
        </m:oMath>
      </m:oMathPara>
    </w:p>
    <w:p>
      <w:pPr>
        <w:pStyle w:val="EquationNumber"/>
      </w:pPr>
      <w:r>
        <w:t>（6-33）</w:t>
      </w:r>
    </w:p>
    <w:p>
      <w:pPr>
        <w:pStyle w:val="BodyText"/>
      </w:pPr>
      <w:r>
        <w:rPr>
          <w:rFonts w:ascii="Times New Roman" w:hAnsi="Times New Roman" w:eastAsia="宋体"/>
          <w:sz w:val="21"/>
        </w:rPr>
        <w:t>Morris用于高维筛选</w:t>
      </w:r>
      <w:r>
        <w:rPr>
          <w:rFonts w:ascii="Times New Roman" w:hAnsi="Times New Roman" w:eastAsia="宋体"/>
          <w:sz w:val="17"/>
          <w:vertAlign w:val="superscript"/>
        </w:rPr>
        <w:t>[64,65]</w:t>
      </w:r>
      <w:r>
        <w:rPr>
          <w:rFonts w:ascii="Times New Roman" w:hAnsi="Times New Roman" w:eastAsia="宋体"/>
          <w:sz w:val="21"/>
        </w:rPr>
        <w:t>，Sobol用于关键参数的方差分解</w:t>
      </w:r>
      <w:r>
        <w:rPr>
          <w:rFonts w:ascii="Times New Roman" w:hAnsi="Times New Roman" w:eastAsia="宋体"/>
          <w:sz w:val="17"/>
          <w:vertAlign w:val="superscript"/>
        </w:rPr>
        <w:t>[66–68]</w:t>
      </w:r>
      <w:r>
        <w:rPr>
          <w:rFonts w:ascii="Times New Roman" w:hAnsi="Times New Roman" w:eastAsia="宋体"/>
          <w:sz w:val="21"/>
        </w:rPr>
        <w:t>：</w:t>
      </w:r>
    </w:p>
    <w:p>
      <w:pPr>
        <w:pStyle w:val="BodyText"/>
        <w:keepNext/>
        <w:spacing w:before="80" w:after="0"/>
        <w:ind w:firstLine="0"/>
        <w:jc w:val="center"/>
      </w:pPr>
      <m:oMathPara>
        <m:oMathParaPr>
          <m:jc m:val="center"/>
        </m:oMathParaPr>
        <m:oMath>
          <m:sSub>
            <m:e>
              <m:r>
                <m:t>S</m:t>
              </m:r>
            </m:e>
            <m:sub>
              <m:r>
                <m:t>i</m:t>
              </m:r>
            </m:sub>
          </m:sSub>
          <m:r>
            <m:rPr>
              <m:sty m:val="p"/>
            </m:rPr>
            <m:t>=</m:t>
          </m:r>
          <m:f>
            <m:fPr>
              <m:type m:val="bar"/>
            </m:fPr>
            <m:num>
              <m:r>
                <m:t>V</m:t>
              </m:r>
              <m:r>
                <m:t>a</m:t>
              </m:r>
              <m:sSub>
                <m:e>
                  <m:r>
                    <m:t>r</m:t>
                  </m:r>
                </m:e>
                <m:sub>
                  <m:sSub>
                    <m:e>
                      <m:r>
                        <m:t>X</m:t>
                      </m:r>
                    </m:e>
                    <m:sub>
                      <m:r>
                        <m:t>i</m:t>
                      </m:r>
                    </m:sub>
                  </m:sSub>
                </m:sub>
              </m:sSub>
              <m:d>
                <m:dPr>
                  <m:begChr m:val="["/>
                  <m:endChr m:val="]"/>
                  <m:sepChr m:val=""/>
                  <m:grow/>
                </m:dPr>
                <m:e>
                  <m:r>
                    <m:t>E</m:t>
                  </m:r>
                  <m:d>
                    <m:dPr>
                      <m:begChr m:val="("/>
                      <m:endChr m:val=")"/>
                      <m:sepChr m:val=""/>
                      <m:grow/>
                    </m:dPr>
                    <m:e>
                      <m:r>
                        <m:t>Y</m:t>
                      </m:r>
                      <m:r>
                        <m:rPr>
                          <m:sty m:val="p"/>
                        </m:rPr>
                        <m:t>|</m:t>
                      </m:r>
                      <m:sSub>
                        <m:e>
                          <m:r>
                            <m:t>X</m:t>
                          </m:r>
                        </m:e>
                        <m:sub>
                          <m:r>
                            <m:t>i</m:t>
                          </m:r>
                        </m:sub>
                      </m:sSub>
                    </m:e>
                  </m:d>
                </m:e>
              </m:d>
            </m:num>
            <m:den>
              <m:r>
                <m:t>V</m:t>
              </m:r>
              <m:r>
                <m:t>a</m:t>
              </m:r>
              <m:r>
                <m:t>r</m:t>
              </m:r>
              <m:d>
                <m:dPr>
                  <m:begChr m:val="("/>
                  <m:endChr m:val=")"/>
                  <m:sepChr m:val=""/>
                  <m:grow/>
                </m:dPr>
                <m:e>
                  <m:r>
                    <m:t>Y</m:t>
                  </m:r>
                </m:e>
              </m:d>
            </m:den>
          </m:f>
        </m:oMath>
      </m:oMathPara>
    </w:p>
    <w:p>
      <w:pPr>
        <w:pStyle w:val="EquationNumber"/>
      </w:pPr>
      <w:r>
        <w:t>（6-34）</w:t>
      </w:r>
    </w:p>
    <w:p>
      <w:pPr>
        <w:pStyle w:val="BodyText"/>
        <w:keepNext/>
        <w:spacing w:before="80" w:after="0"/>
        <w:ind w:firstLine="0"/>
        <w:jc w:val="center"/>
      </w:pPr>
      <m:oMathPara>
        <m:oMathParaPr>
          <m:jc m:val="center"/>
        </m:oMathParaPr>
        <m:oMath>
          <m:sSub>
            <m:e>
              <m:r>
                <m:t>S</m:t>
              </m:r>
            </m:e>
            <m:sub>
              <m:sSub>
                <m:e>
                  <m:r>
                    <m:t>T</m:t>
                  </m:r>
                </m:e>
                <m:sub>
                  <m:r>
                    <m:t>i</m:t>
                  </m:r>
                </m:sub>
              </m:sSub>
            </m:sub>
          </m:sSub>
          <m:r>
            <m:rPr>
              <m:sty m:val="p"/>
            </m:rPr>
            <m:t>=</m:t>
          </m:r>
          <m:r>
            <m:t>1</m:t>
          </m:r>
          <m:r>
            <m:rPr>
              <m:sty m:val="p"/>
            </m:rPr>
            <m:t>−</m:t>
          </m:r>
          <m:f>
            <m:fPr>
              <m:type m:val="bar"/>
            </m:fPr>
            <m:num>
              <m:r>
                <m:t>V</m:t>
              </m:r>
              <m:r>
                <m:t>a</m:t>
              </m:r>
              <m:sSub>
                <m:e>
                  <m:r>
                    <m:t>r</m:t>
                  </m:r>
                </m:e>
                <m:sub>
                  <m:sSub>
                    <m:e>
                      <m:r>
                        <m:t>X</m:t>
                      </m:r>
                    </m:e>
                    <m:sub>
                      <m:r>
                        <m:rPr>
                          <m:sty m:val="p"/>
                        </m:rPr>
                        <m:t>∼</m:t>
                      </m:r>
                      <m:r>
                        <m:t>i</m:t>
                      </m:r>
                    </m:sub>
                  </m:sSub>
                </m:sub>
              </m:sSub>
              <m:d>
                <m:dPr>
                  <m:begChr m:val="["/>
                  <m:endChr m:val="]"/>
                  <m:sepChr m:val=""/>
                  <m:grow/>
                </m:dPr>
                <m:e>
                  <m:r>
                    <m:t>E</m:t>
                  </m:r>
                  <m:d>
                    <m:dPr>
                      <m:begChr m:val="("/>
                      <m:endChr m:val=")"/>
                      <m:sepChr m:val=""/>
                      <m:grow/>
                    </m:dPr>
                    <m:e>
                      <m:r>
                        <m:t>Y</m:t>
                      </m:r>
                      <m:r>
                        <m:rPr>
                          <m:sty m:val="p"/>
                        </m:rPr>
                        <m:t>|</m:t>
                      </m:r>
                      <m:sSub>
                        <m:e>
                          <m:r>
                            <m:t>X</m:t>
                          </m:r>
                        </m:e>
                        <m:sub>
                          <m:r>
                            <m:rPr>
                              <m:sty m:val="p"/>
                            </m:rPr>
                            <m:t>∼</m:t>
                          </m:r>
                          <m:r>
                            <m:t>i</m:t>
                          </m:r>
                        </m:sub>
                      </m:sSub>
                    </m:e>
                  </m:d>
                </m:e>
              </m:d>
            </m:num>
            <m:den>
              <m:r>
                <m:t>V</m:t>
              </m:r>
              <m:r>
                <m:t>a</m:t>
              </m:r>
              <m:r>
                <m:t>r</m:t>
              </m:r>
              <m:d>
                <m:dPr>
                  <m:begChr m:val="("/>
                  <m:endChr m:val=")"/>
                  <m:sepChr m:val=""/>
                  <m:grow/>
                </m:dPr>
                <m:e>
                  <m:r>
                    <m:t>Y</m:t>
                  </m:r>
                </m:e>
              </m:d>
            </m:den>
          </m:f>
        </m:oMath>
      </m:oMathPara>
    </w:p>
    <w:p>
      <w:pPr>
        <w:pStyle w:val="EquationNumber"/>
      </w:pPr>
      <w:r>
        <w:t>（6-35）</w:t>
      </w:r>
    </w:p>
    <w:p>
      <w:pPr>
        <w:pStyle w:val="BodyText"/>
      </w:pPr>
      <w:r>
        <w:t xml:space="preserve">研究重点是识别参数交互与城市因素补偿，而非只给出一个“最敏感变量排名”。</w:t>
      </w:r>
    </w:p>
    <w:bookmarkEnd w:id="86"/>
    <w:bookmarkStart w:id="87" w:name="水能碳负担转移固定容量的技术优化"/>
    <w:p>
      <w:pPr>
        <w:pStyle w:val="Heading2"/>
        <w:keepNext/>
        <w:keepLines/>
        <w:ind w:firstLine="0"/>
      </w:pPr>
      <w:r>
        <w:t xml:space="preserve">6.11 水—能—碳负担转移：固定容量的技术优化</w:t>
      </w:r>
    </w:p>
    <w:p>
      <w:pPr>
        <w:pStyle w:val="FirstParagraph"/>
      </w:pPr>
      <w:r>
        <w:t xml:space="preserve">为避免“AI容量越大，自然越耗水、越耗电、越排碳”造成伪Pareto关系，第一类优化问题固定AI容量</w:t>
      </w:r>
      <w:r>
        <w:t xml:space="preserve"> </w:t>
      </w:r>
      <m:oMath>
        <m:sSub>
          <m:e>
            <m:r>
              <m:t>C</m:t>
            </m:r>
          </m:e>
          <m:sub>
            <m:r>
              <m:t>A</m:t>
            </m:r>
            <m:r>
              <m:t>I</m:t>
            </m:r>
          </m:sub>
        </m:sSub>
        <m:r>
          <m:rPr>
            <m:sty m:val="p"/>
          </m:rPr>
          <m:t>=</m:t>
        </m:r>
        <m:acc>
          <m:accPr>
            <m:chr m:val="‾"/>
          </m:accPr>
          <m:e>
            <m:r>
              <m:t>C</m:t>
            </m:r>
          </m:e>
        </m:acc>
      </m:oMath>
      <w:r>
        <w:t xml:space="preserve">，只优化冷却、水源和基础设施配置：</w:t>
      </w:r>
    </w:p>
    <w:p>
      <w:pPr>
        <w:pStyle w:val="BodyText"/>
        <w:keepNext/>
        <w:spacing w:before="80" w:after="0"/>
        <w:ind w:firstLine="0"/>
        <w:jc w:val="center"/>
      </w:pPr>
      <m:oMathPara>
        <m:oMathParaPr>
          <m:jc m:val="center"/>
        </m:oMathParaPr>
        <m:oMath>
          <m:limLow>
            <m:e>
              <m:r>
                <m:rPr>
                  <m:sty m:val="p"/>
                </m:rPr>
                <m:t>min</m:t>
              </m:r>
            </m:e>
            <m:lim>
              <m:r>
                <m:rPr>
                  <m:sty m:val="b"/>
                </m:rPr>
                <m:t>x</m:t>
              </m:r>
            </m:lim>
          </m:limLow>
          <m:d>
            <m:dPr>
              <m:begChr m:val="["/>
              <m:endChr m:val="]"/>
              <m:sepChr m:val=""/>
              <m:grow/>
            </m:dPr>
            <m:e>
              <m:sSup>
                <m:e>
                  <m:r>
                    <m:t>W</m:t>
                  </m:r>
                </m:e>
                <m:sup>
                  <m:r>
                    <m:t>f</m:t>
                  </m:r>
                  <m:r>
                    <m:t>r</m:t>
                  </m:r>
                  <m:r>
                    <m:t>e</m:t>
                  </m:r>
                  <m:r>
                    <m:t>s</m:t>
                  </m:r>
                  <m:r>
                    <m:t>h</m:t>
                  </m:r>
                </m:sup>
              </m:sSup>
              <m:d>
                <m:dPr>
                  <m:begChr m:val="("/>
                  <m:endChr m:val=")"/>
                  <m:sepChr m:val=""/>
                  <m:grow/>
                </m:dPr>
                <m:e>
                  <m:r>
                    <m:rPr>
                      <m:sty m:val="b"/>
                    </m:rPr>
                    <m:t>x</m:t>
                  </m:r>
                  <m:r>
                    <m:rPr>
                      <m:sty m:val="p"/>
                    </m:rPr>
                    <m:t>|</m:t>
                  </m:r>
                  <m:acc>
                    <m:accPr>
                      <m:chr m:val="‾"/>
                    </m:accPr>
                    <m:e>
                      <m:r>
                        <m:t>C</m:t>
                      </m:r>
                    </m:e>
                  </m:acc>
                </m:e>
              </m:d>
              <m:r>
                <m:rPr>
                  <m:sty m:val="p"/>
                </m:rPr>
                <m:t>,</m:t>
              </m:r>
              <m:sSup>
                <m:e>
                  <m:r>
                    <m:t>E</m:t>
                  </m:r>
                </m:e>
                <m:sup>
                  <m:r>
                    <m:t>t</m:t>
                  </m:r>
                  <m:r>
                    <m:t>o</m:t>
                  </m:r>
                  <m:r>
                    <m:t>t</m:t>
                  </m:r>
                  <m:r>
                    <m:t>a</m:t>
                  </m:r>
                  <m:r>
                    <m:t>l</m:t>
                  </m:r>
                </m:sup>
              </m:sSup>
              <m:d>
                <m:dPr>
                  <m:begChr m:val="("/>
                  <m:endChr m:val=")"/>
                  <m:sepChr m:val=""/>
                  <m:grow/>
                </m:dPr>
                <m:e>
                  <m:r>
                    <m:rPr>
                      <m:sty m:val="b"/>
                    </m:rPr>
                    <m:t>x</m:t>
                  </m:r>
                  <m:r>
                    <m:rPr>
                      <m:sty m:val="p"/>
                    </m:rPr>
                    <m:t>|</m:t>
                  </m:r>
                  <m:acc>
                    <m:accPr>
                      <m:chr m:val="‾"/>
                    </m:accPr>
                    <m:e>
                      <m:r>
                        <m:t>C</m:t>
                      </m:r>
                    </m:e>
                  </m:acc>
                </m:e>
              </m:d>
              <m:r>
                <m:rPr>
                  <m:sty m:val="p"/>
                </m:rPr>
                <m:t>,</m:t>
              </m:r>
              <m:r>
                <m:t>G</m:t>
              </m:r>
              <m:r>
                <m:t>H</m:t>
              </m:r>
              <m:r>
                <m:t>G</m:t>
              </m:r>
              <m:d>
                <m:dPr>
                  <m:begChr m:val="("/>
                  <m:endChr m:val=")"/>
                  <m:sepChr m:val=""/>
                  <m:grow/>
                </m:dPr>
                <m:e>
                  <m:r>
                    <m:rPr>
                      <m:sty m:val="b"/>
                    </m:rPr>
                    <m:t>x</m:t>
                  </m:r>
                  <m:r>
                    <m:rPr>
                      <m:sty m:val="p"/>
                    </m:rPr>
                    <m:t>|</m:t>
                  </m:r>
                  <m:acc>
                    <m:accPr>
                      <m:chr m:val="‾"/>
                    </m:accPr>
                    <m:e>
                      <m:r>
                        <m:t>C</m:t>
                      </m:r>
                    </m:e>
                  </m:acc>
                </m:e>
              </m:d>
              <m:r>
                <m:rPr>
                  <m:sty m:val="p"/>
                </m:rPr>
                <m:t>,</m:t>
              </m:r>
              <m:r>
                <m:t>C</m:t>
              </m:r>
              <m:r>
                <m:t>o</m:t>
              </m:r>
              <m:r>
                <m:t>s</m:t>
              </m:r>
              <m:r>
                <m:t>t</m:t>
              </m:r>
              <m:d>
                <m:dPr>
                  <m:begChr m:val="("/>
                  <m:endChr m:val=")"/>
                  <m:sepChr m:val=""/>
                  <m:grow/>
                </m:dPr>
                <m:e>
                  <m:r>
                    <m:rPr>
                      <m:sty m:val="b"/>
                    </m:rPr>
                    <m:t>x</m:t>
                  </m:r>
                  <m:r>
                    <m:rPr>
                      <m:sty m:val="p"/>
                    </m:rPr>
                    <m:t>|</m:t>
                  </m:r>
                  <m:acc>
                    <m:accPr>
                      <m:chr m:val="‾"/>
                    </m:accPr>
                    <m:e>
                      <m:r>
                        <m:t>C</m:t>
                      </m:r>
                    </m:e>
                  </m:acc>
                </m:e>
              </m:d>
            </m:e>
          </m:d>
        </m:oMath>
      </m:oMathPara>
    </w:p>
    <w:p>
      <w:pPr>
        <w:pStyle w:val="EquationNumber"/>
      </w:pPr>
      <w:r>
        <w:t>（6-36）</w:t>
      </w:r>
    </w:p>
    <w:p>
      <w:pPr>
        <w:pStyle w:val="BodyText"/>
      </w:pPr>
      <m:oMath>
        <m:r>
          <m:t>Δ</m:t>
        </m:r>
        <m:sSup>
          <m:e>
            <m:r>
              <m:t>W</m:t>
            </m:r>
          </m:e>
          <m:sup>
            <m:r>
              <m:t>f</m:t>
            </m:r>
            <m:r>
              <m:t>r</m:t>
            </m:r>
            <m:r>
              <m:t>e</m:t>
            </m:r>
            <m:r>
              <m:t>s</m:t>
            </m:r>
            <m:r>
              <m:t>h</m:t>
            </m:r>
          </m:sup>
        </m:sSup>
        <m:r>
          <m:rPr>
            <m:sty m:val="p"/>
          </m:rPr>
          <m:t>&lt;</m:t>
        </m:r>
        <m:r>
          <m:t>0</m:t>
        </m:r>
      </m:oMath>
      <m:oMath>
        <m:r>
          <m:t>Δ</m:t>
        </m:r>
        <m:sSup>
          <m:e>
            <m:r>
              <m:t>E</m:t>
            </m:r>
          </m:e>
          <m:sup>
            <m:r>
              <m:t>t</m:t>
            </m:r>
            <m:r>
              <m:t>o</m:t>
            </m:r>
            <m:r>
              <m:t>t</m:t>
            </m:r>
            <m:r>
              <m:t>a</m:t>
            </m:r>
            <m:r>
              <m:t>l</m:t>
            </m:r>
          </m:sup>
        </m:sSup>
        <m:r>
          <m:rPr>
            <m:sty m:val="p"/>
          </m:rPr>
          <m:t>&gt;</m:t>
        </m:r>
        <m:r>
          <m:t>0</m:t>
        </m:r>
      </m:oMath>
      <m:oMath>
        <m:r>
          <m:t>Δ</m:t>
        </m:r>
        <m:r>
          <m:t>G</m:t>
        </m:r>
        <m:r>
          <m:t>H</m:t>
        </m:r>
        <m:r>
          <m:t>G</m:t>
        </m:r>
        <m:r>
          <m:rPr>
            <m:sty m:val="p"/>
          </m:rPr>
          <m:t>&gt;</m:t>
        </m:r>
        <m: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87"/>
    <w:bookmarkStart w:id="88" w:name="在资源可靠性和预算约束下最大化安全ai容量"/>
    <w:p>
      <w:pPr>
        <w:pStyle w:val="Heading2"/>
        <w:keepNext/>
        <w:keepLines/>
        <w:ind w:firstLine="0"/>
      </w:pPr>
      <w:r>
        <w:t xml:space="preserve">6.12 在资源、可靠性和预算约束下最大化安全AI容量</w:t>
      </w:r>
    </w:p>
    <w:p>
      <w:pPr>
        <w:pStyle w:val="FirstParagraph"/>
      </w:pPr>
      <w:r>
        <w:t xml:space="preserve">第二类问题不再同时最小化总资源与最大化规模，而给定环境与预算约束后直接最大化可支持AI容量：</w:t>
      </w:r>
    </w:p>
    <w:p>
      <w:pPr>
        <w:pStyle w:val="BodyText"/>
        <w:keepNext/>
        <w:spacing w:before="80" w:after="0"/>
        <w:ind w:firstLine="0"/>
        <w:jc w:val="center"/>
      </w:pPr>
      <m:oMathPara>
        <m:oMathParaPr>
          <m:jc m:val="center"/>
        </m:oMathParaPr>
        <m:oMath>
          <m:limLow>
            <m:e>
              <m:r>
                <m:rPr>
                  <m:sty m:val="p"/>
                </m:rPr>
                <m:t>max</m:t>
              </m:r>
            </m:e>
            <m:lim>
              <m:r>
                <m:rPr>
                  <m:sty m:val="b"/>
                </m:rPr>
                <m:t>x</m:t>
              </m:r>
            </m:lim>
          </m:limLow>
          <m:r>
            <m:t> </m:t>
          </m:r>
          <m:sSub>
            <m:e>
              <m:r>
                <m:t>C</m:t>
              </m:r>
            </m:e>
            <m:sub>
              <m:r>
                <m:t>A</m:t>
              </m:r>
              <m:r>
                <m:t>I</m:t>
              </m:r>
            </m:sub>
          </m:sSub>
        </m:oMath>
      </m:oMathPara>
    </w:p>
    <w:p>
      <w:pPr>
        <w:pStyle w:val="EquationNumber"/>
      </w:pPr>
      <w:r>
        <w:t>（6-37）</w:t>
      </w:r>
    </w:p>
    <w:p>
      <w:pPr>
        <w:pStyle w:val="BodyText"/>
      </w:pPr>
      <w:r>
        <w:t xml:space="preserve">subject to：CAWCC全部服务约束，以及：</w:t>
      </w:r>
    </w:p>
    <w:p>
      <w:pPr>
        <w:pStyle w:val="BodyText"/>
        <w:keepNext/>
        <w:spacing w:before="80" w:after="0"/>
        <w:ind w:firstLine="0"/>
        <w:jc w:val="center"/>
      </w:pPr>
      <m:oMathPara>
        <m:oMathParaPr>
          <m:jc m:val="center"/>
        </m:oMathParaPr>
        <m:oMath>
          <m:r>
            <m:t>C</m:t>
          </m:r>
          <m:r>
            <m:t>o</m:t>
          </m:r>
          <m:r>
            <m:t>s</m:t>
          </m:r>
          <m:r>
            <m:t>t</m:t>
          </m:r>
          <m:d>
            <m:dPr>
              <m:begChr m:val="("/>
              <m:endChr m:val=")"/>
              <m:sepChr m:val=""/>
              <m:grow/>
            </m:dPr>
            <m:e>
              <m:r>
                <m:rPr>
                  <m:sty m:val="b"/>
                </m:rPr>
                <m:t>x</m:t>
              </m:r>
            </m:e>
          </m:d>
          <m:r>
            <m:rPr>
              <m:sty m:val="p"/>
            </m:rPr>
            <m:t>≤</m:t>
          </m:r>
          <m:r>
            <m:t>B</m:t>
          </m:r>
          <m:r>
            <m:rPr>
              <m:sty m:val="p"/>
            </m:rPr>
            <m:t>,</m:t>
          </m:r>
          <m:r>
            <m:t>  </m:t>
          </m:r>
          <m:r>
            <m:t>G</m:t>
          </m:r>
          <m:r>
            <m:t>H</m:t>
          </m:r>
          <m:r>
            <m:t>G</m:t>
          </m:r>
          <m:d>
            <m:dPr>
              <m:begChr m:val="("/>
              <m:endChr m:val=")"/>
              <m:sepChr m:val=""/>
              <m:grow/>
            </m:dPr>
            <m:e>
              <m:r>
                <m:rPr>
                  <m:sty m:val="b"/>
                </m:rPr>
                <m:t>x</m:t>
              </m:r>
            </m:e>
          </m:d>
          <m:r>
            <m:rPr>
              <m:sty m:val="p"/>
            </m:rPr>
            <m:t>≤</m:t>
          </m:r>
          <m:r>
            <m:t>G</m:t>
          </m:r>
          <m:r>
            <m:t>H</m:t>
          </m:r>
          <m:sSup>
            <m:e>
              <m:r>
                <m:t>G</m:t>
              </m:r>
            </m:e>
            <m:sup>
              <m:r>
                <m:t>m</m:t>
              </m:r>
              <m:r>
                <m:t>a</m:t>
              </m:r>
              <m:r>
                <m:t>x</m:t>
              </m:r>
            </m:sup>
          </m:sSup>
        </m:oMath>
      </m:oMathPara>
    </w:p>
    <w:p>
      <w:pPr>
        <w:pStyle w:val="EquationNumber"/>
      </w:pPr>
      <w:r>
        <w:t>（6-38）</w:t>
      </w:r>
    </w:p>
    <w:p>
      <w:pPr>
        <w:pStyle w:val="BodyText"/>
      </w:pPr>
      <w:r>
        <w:rPr>
          <w:rFonts w:ascii="Times New Roman" w:hAnsi="Times New Roman" w:eastAsia="宋体"/>
          <w:sz w:val="21"/>
        </w:rPr>
        <w:t>必要时使用NSGA-II或离散Pareto搜索</w:t>
      </w:r>
      <w:r>
        <w:rPr>
          <w:rFonts w:ascii="Times New Roman" w:hAnsi="Times New Roman" w:eastAsia="宋体"/>
          <w:sz w:val="17"/>
          <w:vertAlign w:val="superscript"/>
        </w:rPr>
        <w:t>[75]</w:t>
      </w:r>
      <w:r>
        <w:rPr>
          <w:rFonts w:ascii="Times New Roman" w:hAnsi="Times New Roman" w:eastAsia="宋体"/>
          <w:sz w:val="21"/>
        </w:rPr>
        <w:t>，但优化算法仅为决策工具，不作为主要科学创新。</w:t>
      </w:r>
    </w:p>
    <w:bookmarkEnd w:id="88"/>
    <w:bookmarkStart w:id="89" w:name="面向2035年的适应性路径作为应用拓展"/>
    <w:p>
      <w:pPr>
        <w:pStyle w:val="Heading2"/>
        <w:keepNext/>
        <w:keepLines/>
        <w:ind w:firstLine="0"/>
      </w:pPr>
      <w:r>
        <w:t xml:space="preserve">6.13 面向2035年的适应性路径：作为应用拓展</w:t>
      </w:r>
    </w:p>
    <w:p>
      <w:pPr>
        <w:pStyle w:val="FirstParagraph"/>
      </w:pPr>
      <w:r>
        <w:t xml:space="preserve">深度未来不确定性不赋予强行概率，而构建若干AI增长、气候、政策和基础设施未来路径。对每种规划措施定义实施提前期、锁定期和触发指标。状态向量可表示为：</w:t>
      </w:r>
    </w:p>
    <w:p>
      <w:pPr>
        <w:pStyle w:val="BodyText"/>
        <w:keepNext/>
        <w:spacing w:before="80" w:after="0"/>
        <w:ind w:firstLine="0"/>
        <w:jc w:val="center"/>
      </w:pPr>
      <m:oMathPara>
        <m:oMathParaPr>
          <m:jc m:val="center"/>
        </m:oMathParaPr>
        <m:oMath>
          <m:sSub>
            <m:e>
              <m:r>
                <m:rPr>
                  <m:sty m:val="b"/>
                </m:rPr>
                <m:t>Z</m:t>
              </m:r>
            </m:e>
            <m:sub>
              <m:r>
                <m:t>t</m:t>
              </m:r>
            </m:sub>
          </m:sSub>
          <m:r>
            <m:rPr>
              <m:sty m:val="p"/>
            </m:rPr>
            <m:t>=</m:t>
          </m:r>
          <m:d>
            <m:dPr>
              <m:begChr m:val="["/>
              <m:endChr m:val="]"/>
              <m:sepChr m:val=""/>
              <m:grow/>
            </m:dPr>
            <m:e>
              <m:sSub>
                <m:e>
                  <m:r>
                    <m:t>C</m:t>
                  </m:r>
                </m:e>
                <m:sub>
                  <m:r>
                    <m:t>A</m:t>
                  </m:r>
                  <m:r>
                    <m:t>I</m:t>
                  </m:r>
                  <m:r>
                    <m:rPr>
                      <m:sty m:val="p"/>
                    </m:rPr>
                    <m:t>,</m:t>
                  </m:r>
                  <m:r>
                    <m:t>t</m:t>
                  </m:r>
                </m:sub>
              </m:sSub>
              <m:r>
                <m:rPr>
                  <m:sty m:val="p"/>
                </m:rPr>
                <m:t>,</m:t>
              </m:r>
              <m:r>
                <m:t>P</m:t>
              </m:r>
              <m:r>
                <m:t>C</m:t>
              </m:r>
              <m:sSub>
                <m:e>
                  <m:r>
                    <m:t>R</m:t>
                  </m:r>
                </m:e>
                <m:sub>
                  <m:r>
                    <m:t>t</m:t>
                  </m:r>
                </m:sub>
              </m:sSub>
              <m:r>
                <m:rPr>
                  <m:sty m:val="p"/>
                </m:rPr>
                <m:t>,</m:t>
              </m:r>
              <m:sSubSup>
                <m:e>
                  <m:r>
                    <m:t>U</m:t>
                  </m:r>
                </m:e>
                <m:sub>
                  <m:r>
                    <m:t>W</m:t>
                  </m:r>
                  <m:r>
                    <m:t>W</m:t>
                  </m:r>
                  <m:r>
                    <m:t>T</m:t>
                  </m:r>
                  <m:r>
                    <m:t>W</m:t>
                  </m:r>
                  <m:r>
                    <m:rPr>
                      <m:sty m:val="p"/>
                    </m:rPr>
                    <m:t>,</m:t>
                  </m:r>
                  <m:r>
                    <m:t>t</m:t>
                  </m:r>
                </m:sub>
                <m:sup>
                  <m:r>
                    <m:t>p</m:t>
                  </m:r>
                  <m:r>
                    <m:t>o</m:t>
                  </m:r>
                  <m:r>
                    <m:t>t</m:t>
                  </m:r>
                </m:sup>
              </m:sSubSup>
              <m:r>
                <m:rPr>
                  <m:sty m:val="p"/>
                </m:rPr>
                <m:t>,</m:t>
              </m:r>
              <m:r>
                <m:t>S</m:t>
              </m:r>
              <m:sSub>
                <m:e>
                  <m:r>
                    <m:t>R</m:t>
                  </m:r>
                </m:e>
                <m:sub>
                  <m:r>
                    <m:t>r</m:t>
                  </m:r>
                  <m:r>
                    <m:t>e</m:t>
                  </m:r>
                  <m:r>
                    <m:t>c</m:t>
                  </m:r>
                  <m:r>
                    <m:rPr>
                      <m:sty m:val="p"/>
                    </m:rPr>
                    <m:t>,</m:t>
                  </m:r>
                  <m:r>
                    <m:t>t</m:t>
                  </m:r>
                </m:sub>
              </m:sSub>
              <m:r>
                <m:rPr>
                  <m:sty m:val="p"/>
                </m:rPr>
                <m:t>,</m:t>
              </m:r>
              <m:sSub>
                <m:e>
                  <m:r>
                    <m:t>P</m:t>
                  </m:r>
                </m:e>
                <m:sub>
                  <m:r>
                    <m:t>f</m:t>
                  </m:r>
                  <m:r>
                    <m:t>a</m:t>
                  </m:r>
                  <m:r>
                    <m:t>i</m:t>
                  </m:r>
                  <m:r>
                    <m:t>l</m:t>
                  </m:r>
                  <m:r>
                    <m:rPr>
                      <m:sty m:val="p"/>
                    </m:rPr>
                    <m:t>,</m:t>
                  </m:r>
                  <m:r>
                    <m:t>t</m:t>
                  </m:r>
                </m:sub>
              </m:sSub>
            </m:e>
          </m:d>
        </m:oMath>
      </m:oMathPara>
    </w:p>
    <w:p>
      <w:pPr>
        <w:pStyle w:val="EquationNumber"/>
      </w:pPr>
      <w:r>
        <w:t>（6-39）</w:t>
      </w:r>
    </w:p>
    <w:p>
      <w:pPr>
        <w:pStyle w:val="BodyText"/>
      </w:pPr>
      <m:oMath>
        <m:sSub>
          <m:e>
            <m:r>
              <m:t>τ</m:t>
            </m:r>
          </m:e>
          <m:sub>
            <m:r>
              <m:t>j</m:t>
            </m:r>
          </m:sub>
        </m:sSub>
      </m:oMath>
      <w:r>
        <w:rPr>
          <w:rFonts w:ascii="Times New Roman" w:hAnsi="Times New Roman" w:eastAsia="宋体"/>
          <w:sz w:val="21"/>
        </w:rPr>
        <w:t>当signpost越过阈值  时触发下一措施。评价固定方案与适应性路径的核心指标至少包括：最大/平均regret、约束违反率、生命周期成本和可靠性</w:t>
      </w:r>
      <w:r>
        <w:rPr>
          <w:rFonts w:ascii="Times New Roman" w:hAnsi="Times New Roman" w:eastAsia="宋体"/>
          <w:sz w:val="17"/>
          <w:vertAlign w:val="superscript"/>
        </w:rPr>
        <w:t>[69–74]</w:t>
      </w:r>
      <w:r>
        <w:rPr>
          <w:rFonts w:ascii="Times New Roman" w:hAnsi="Times New Roman" w:eastAsia="宋体"/>
          <w:sz w:val="21"/>
        </w:rPr>
        <w:t>。完整DAPP若工作量允许则进一步绘制adaptation tipping points、transfer stations与pathway map；若不具备完整数据条件，则明确称为“基于适应性路径思想的状态触发规划策略”，不为方法名称过度扩张论文范围。</w:t>
      </w:r>
    </w:p>
    <w:bookmarkEnd w:id="89"/>
    <w:bookmarkEnd w:id="90"/>
    <w:bookmarkStart w:id="102" w:name="第7章-前期基础创新点可行性与研究计划"/>
    <w:p>
      <w:pPr>
        <w:pStyle w:val="Heading1"/>
        <w:keepNext/>
        <w:keepLines/>
        <w:ind w:firstLine="0"/>
      </w:pPr>
      <w:r>
        <w:t xml:space="preserve">第7章 前期基础、创新点、可行性与研究计划</w:t>
      </w:r>
    </w:p>
    <w:bookmarkStart w:id="91" w:name="前期研究基础"/>
    <w:p>
      <w:pPr>
        <w:pStyle w:val="Heading2"/>
        <w:keepNext/>
        <w:keepLines/>
        <w:ind w:firstLine="0"/>
      </w:pPr>
      <w:r>
        <w:t xml:space="preserve">7.1 前期研究基础</w:t>
      </w:r>
    </w:p>
    <w:p>
      <w:pPr>
        <w:pStyle w:val="FirstParagraph"/>
      </w:pPr>
      <w:r>
        <w:t xml:space="preserve">目前已完成城市资源代谢模拟框架的一部分开发，具备水源、给水、终端需求、污水处理、再生利用等主要水流过程的日尺度计算基础，并具有情景模拟、不确定性分析和多目标决策等进一步扩展条件。正式博士论文将根据最终代码模块逐项说明借鉴的既有理论和方法，不把整个框架简单表述为基于某一单一模型。</w:t>
      </w:r>
    </w:p>
    <w:p>
      <w:pPr>
        <w:pStyle w:val="BodyText"/>
      </w:pPr>
      <w:r>
        <w:t xml:space="preserve">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91"/>
    <w:bookmarkStart w:id="92" w:name="研究可行性"/>
    <w:p>
      <w:pPr>
        <w:pStyle w:val="Heading2"/>
        <w:keepNext/>
        <w:keepLines/>
        <w:ind w:firstLine="0"/>
      </w:pPr>
      <w:r>
        <w:t xml:space="preserve">7.2 研究可行性</w:t>
      </w:r>
    </w:p>
    <w:p>
      <w:pPr>
        <w:pStyle w:val="FirstParagraph"/>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pPr>
        <w:pStyle w:val="BodyText"/>
      </w:pPr>
      <w:r>
        <w:t xml:space="preserve">数据上，本研究主要依赖参数范围、工程关系和公开Benchmark，而非一家企业的完整商业运行数据。关键数据缺口将通过不确定性宽度和可辨识性诊断显式体现；若不确定性使技术排序或CAWCC失去决策意义，则将其作为研究限制和后续数据需求报告。</w:t>
      </w:r>
    </w:p>
    <w:p>
      <w:pPr>
        <w:pStyle w:val="BodyText"/>
      </w:pPr>
      <w:r>
        <w:t xml:space="preserve">计算上，核心是日尺度战略系统模型，只有少量最不利周进行小时级压力测试，因此能够支持大规模容量扫描和不确定性分析。若Sobol或优化阶段计算成本过高，可使用Gaussian Process或XGBoost作为代理模型加速，但机理模型仍为科学结论来源。</w:t>
      </w:r>
    </w:p>
    <w:bookmarkEnd w:id="92"/>
    <w:bookmarkStart w:id="97" w:name="创新点的重新定位"/>
    <w:p>
      <w:pPr>
        <w:pStyle w:val="Heading2"/>
        <w:keepNext/>
        <w:keepLines/>
        <w:ind w:firstLine="0"/>
      </w:pPr>
      <w:r>
        <w:t xml:space="preserve">7.3 创新点的重新定位</w:t>
      </w:r>
    </w:p>
    <w:bookmarkStart w:id="93" w:name="创新点一ai设施过程与城市完整人工水循环的跨尺度闭合"/>
    <w:p>
      <w:pPr>
        <w:pStyle w:val="Heading3"/>
        <w:keepNext/>
        <w:keepLines/>
        <w:ind w:firstLine="0"/>
      </w:pPr>
      <w:r>
        <w:t xml:space="preserve">创新点一：AI设施过程与城市完整人工水循环的跨尺度闭合</w:t>
      </w:r>
    </w:p>
    <w:p>
      <w:pPr>
        <w:pStyle w:val="FirstParagraph"/>
      </w:pPr>
      <w:r>
        <w:rPr>
          <w:rFonts w:ascii="Times New Roman" w:hAnsi="Times New Roman" w:eastAsia="宋体"/>
          <w:sz w:val="21"/>
        </w:rPr>
        <w:t>在已有设施足迹、公共供水峰值及数据中心—WWTP协同研究基础上</w:t>
      </w:r>
      <w:r>
        <w:rPr>
          <w:rFonts w:ascii="Times New Roman" w:hAnsi="Times New Roman" w:eastAsia="宋体"/>
          <w:sz w:val="17"/>
          <w:vertAlign w:val="superscript"/>
        </w:rPr>
        <w:t>[7–9,38–41,78,79]</w:t>
      </w:r>
      <w:r>
        <w:rPr>
          <w:rFonts w:ascii="Times New Roman" w:hAnsi="Times New Roman" w:eastAsia="宋体"/>
          <w:sz w:val="21"/>
        </w:rPr>
        <w:t>，本研究进一步把IT容量—架构条件化能耗—湿/干热排散—Withdrawal/Consumption/Return Flow—给水—污水—再生水完整闭环统一到日尺度质量守恒框架，并显式处理漏损、溢流、再生水竞争和潜在设施负荷。</w:t>
      </w:r>
    </w:p>
    <w:bookmarkEnd w:id="93"/>
    <w:bookmarkStart w:id="94" w:name="创新点二将水资源承载能力操作化为条件化概率化mwgw-it边界"/>
    <w:p>
      <w:pPr>
        <w:pStyle w:val="Heading3"/>
        <w:keepNext/>
        <w:keepLines/>
        <w:ind w:firstLine="0"/>
      </w:pPr>
      <w:r>
        <w:t xml:space="preserve">创新点二：将水资源承载能力操作化为条件化、概率化MW/GW IT边界</w:t>
      </w:r>
    </w:p>
    <w:p>
      <w:pPr>
        <w:pStyle w:val="FirstParagraph"/>
      </w:pPr>
      <w:r>
        <w:rPr>
          <w:rFonts w:ascii="Times New Roman" w:hAnsi="Times New Roman" w:eastAsia="宋体"/>
          <w:sz w:val="21"/>
        </w:rPr>
        <w:t>不以“创造一个新缩写”为创新，而是把传统水资源承载概念</w:t>
      </w:r>
      <w:r>
        <w:rPr>
          <w:rFonts w:ascii="Times New Roman" w:hAnsi="Times New Roman" w:eastAsia="宋体"/>
          <w:sz w:val="17"/>
          <w:vertAlign w:val="superscript"/>
        </w:rPr>
        <w:t>[53–61]</w:t>
      </w:r>
      <w:r>
        <w:rPr>
          <w:rFonts w:ascii="Times New Roman" w:hAnsi="Times New Roman" w:eastAsia="宋体"/>
          <w:sz w:val="21"/>
        </w:rPr>
        <w:t>转化为多设施约束、峰值服务和参数不确定性共同决定的AI最大可支持容量，使结果可以直接用于基础设施规划。</w:t>
      </w:r>
    </w:p>
    <w:bookmarkEnd w:id="94"/>
    <w:bookmarkStart w:id="95" w:name="创新点三揭示峰值导致的边界提前与主导瓶颈转换机制"/>
    <w:p>
      <w:pPr>
        <w:pStyle w:val="Heading3"/>
        <w:keepNext/>
        <w:keepLines/>
        <w:ind w:firstLine="0"/>
      </w:pPr>
      <w:r>
        <w:t xml:space="preserve">创新点三：揭示峰值导致的边界提前与主导瓶颈转换机制</w:t>
      </w:r>
    </w:p>
    <w:p>
      <w:pPr>
        <w:pStyle w:val="FirstParagraph"/>
      </w:pPr>
      <w:r>
        <w:t xml:space="preserve">相比简单证明存在容量阈值，重点量化年均评价与日尺度评价之间的边界提前比例，识别不同城市和技术状态下限制因素在水源、给水、污水、再生水和峰值服务之间转换的条件，并分析再生水转折点的真实机制。</w:t>
      </w:r>
    </w:p>
    <w:bookmarkEnd w:id="95"/>
    <w:bookmarkStart w:id="96" w:name="创新点四以水资源承载为主线识别跨资源负担转移并形成低后悔规划策略"/>
    <w:p>
      <w:pPr>
        <w:pStyle w:val="Heading3"/>
        <w:keepNext/>
        <w:keepLines/>
        <w:ind w:firstLine="0"/>
      </w:pPr>
      <w:r>
        <w:t xml:space="preserve">创新点四：以水资源承载为主线识别跨资源负担转移并形成低后悔规划策略</w:t>
      </w:r>
    </w:p>
    <w:p>
      <w:pPr>
        <w:pStyle w:val="FirstParagraph"/>
      </w:pPr>
      <w:r>
        <w:t xml:space="preserve">在固定AI容量下分析技术配置的水—能—碳—成本权衡，再在资源、可靠性与预算约束下最大化安全AI容量，最后将其组织为状态触发式适应路径。该部分作为主线成果的决策应用，而非另起一套独立理论体系。</w:t>
      </w:r>
    </w:p>
    <w:bookmarkEnd w:id="96"/>
    <w:bookmarkEnd w:id="97"/>
    <w:bookmarkStart w:id="98" w:name="主要风险及控制措施"/>
    <w:p>
      <w:pPr>
        <w:pStyle w:val="Heading2"/>
        <w:keepNext/>
        <w:keepLines/>
        <w:ind w:firstLine="0"/>
      </w:pPr>
      <w:r>
        <w:t xml:space="preserve">7.4 主要风险及控制措施</w:t>
      </w:r>
    </w:p>
    <w:p>
      <w:pPr>
        <w:pStyle w:val="FirstParagraph"/>
      </w:pPr>
      <w:r>
        <w:rPr>
          <w:b/>
          <w:bCs/>
        </w:rPr>
        <w:t xml:space="preserve">风险1：模型体系过宽。</w:t>
      </w:r>
      <w:r>
        <w:t xml:space="preserve"> </w:t>
      </w:r>
      <w:r>
        <w:t xml:space="preserve">控制方式是把“水代谢响应—峰值压力—CAWCC—瓶颈转换”作为论文核心；水—能—碳和适应路径位于后部应用章节。</w:t>
      </w:r>
    </w:p>
    <w:p>
      <w:pPr>
        <w:pStyle w:val="BodyText"/>
      </w:pPr>
      <w:r>
        <w:rPr>
          <w:b/>
          <w:bCs/>
        </w:rPr>
        <w:t xml:space="preserve">风险2：无现实城市—数据中心联合观测。</w:t>
      </w:r>
      <w:r>
        <w:t xml:space="preserve"> </w:t>
      </w:r>
      <w:r>
        <w:t xml:space="preserve">不将Benchmark称作完整现实验证；通过Verification、过程Benchmark、文献Benchmark、结构鲁棒性和不确定性可辨识性共同建立可信度。</w:t>
      </w:r>
    </w:p>
    <w:p>
      <w:pPr>
        <w:pStyle w:val="BodyText"/>
      </w:pPr>
      <w:r>
        <w:rPr>
          <w:b/>
          <w:bCs/>
        </w:rPr>
        <w:t xml:space="preserve">风险3：日尺度低估短时峰值。</w:t>
      </w:r>
      <w:r>
        <w:t xml:space="preserve"> </w:t>
      </w:r>
      <w:r>
        <w:t xml:space="preserve">使用代表性极端周小时校核，量化聚合偏差，并在必要时修正日尺度安全裕度。</w:t>
      </w:r>
    </w:p>
    <w:p>
      <w:pPr>
        <w:pStyle w:val="BodyText"/>
      </w:pPr>
      <w:r>
        <w:rPr>
          <w:b/>
          <w:bCs/>
        </w:rPr>
        <w:t xml:space="preserve">风险4：参数相关性被忽略。</w:t>
      </w:r>
      <w:r>
        <w:t xml:space="preserve"> </w:t>
      </w:r>
      <w:r>
        <w:t xml:space="preserve">按冷却架构和城市状态使用条件分布/联合抽样，而非所有参数独立Monte Carlo。</w:t>
      </w:r>
    </w:p>
    <w:p>
      <w:pPr>
        <w:pStyle w:val="BodyText"/>
      </w:pPr>
      <w:r>
        <w:rPr>
          <w:b/>
          <w:bCs/>
        </w:rPr>
        <w:t xml:space="preserve">风险5：再生水效果由模型上限自证。</w:t>
      </w:r>
      <w:r>
        <w:t xml:space="preserve"> </w:t>
      </w:r>
      <w:r>
        <w:t xml:space="preserve">通过记录活动约束和边际转折原因，将污水源量、水质、处理能力、输配和竞争用户分开诊断。</w:t>
      </w:r>
    </w:p>
    <w:p>
      <w:pPr>
        <w:pStyle w:val="BodyText"/>
      </w:pPr>
      <w:r>
        <w:rPr>
          <w:b/>
          <w:bCs/>
        </w:rPr>
        <w:t xml:space="preserve">风险6：深度不确定性与概率不确定性混淆。</w:t>
      </w:r>
      <w:r>
        <w:t xml:space="preserve"> </w:t>
      </w:r>
      <w:r>
        <w:t xml:space="preserve">只对可合理概率化的参数使用Monte Carlo/Sobol；未来增长和政策路径使用非概率情景和适应性规划。</w:t>
      </w:r>
    </w:p>
    <w:bookmarkEnd w:id="98"/>
    <w:bookmarkStart w:id="99" w:name="研究进度"/>
    <w:p>
      <w:pPr>
        <w:pStyle w:val="Heading2"/>
        <w:keepNext/>
        <w:keepLines/>
        <w:ind w:firstLine="0"/>
      </w:pPr>
      <w:r>
        <w:t xml:space="preserve">7.5 研究进度</w:t>
      </w:r>
    </w:p>
    <w:p>
      <w:pPr>
        <w:pStyle w:val="FirstParagraph"/>
      </w:pPr>
      <w:r>
        <w:rPr>
          <w:b/>
          <w:bCs/>
        </w:rPr>
        <w:t xml:space="preserve">第一阶段：模型闭合与可信度修订。</w:t>
      </w:r>
      <w:r>
        <w:t xml:space="preserve"> </w:t>
      </w:r>
      <w:r>
        <w:t xml:space="preserve">完成水流拓扑、漏损/溢流/再生水储存和AI冷却全过程质量守恒；建立参数证据库和过程Benchmark。</w:t>
      </w:r>
    </w:p>
    <w:p>
      <w:pPr>
        <w:pStyle w:val="BodyText"/>
      </w:pPr>
      <w:r>
        <w:rPr>
          <w:b/>
          <w:bCs/>
        </w:rPr>
        <w:t xml:space="preserve">第二阶段：参数化城市原型与水代谢规律。</w:t>
      </w:r>
      <w:r>
        <w:t xml:space="preserve"> </w:t>
      </w:r>
      <w:r>
        <w:t xml:space="preserve">建立连续参数空间和解释性城市原型，开展AI容量、冷却、水源和设施情景模拟，形成水代谢结构响应分析。</w:t>
      </w:r>
    </w:p>
    <w:p>
      <w:pPr>
        <w:pStyle w:val="BodyText"/>
      </w:pPr>
      <w:r>
        <w:rPr>
          <w:b/>
          <w:bCs/>
        </w:rPr>
        <w:t xml:space="preserve">第三阶段：峰值压力、小时校核与CAWCC。</w:t>
      </w:r>
      <w:r>
        <w:t xml:space="preserve"> </w:t>
      </w:r>
      <w:r>
        <w:t xml:space="preserve">完成0—3 GW容量扫描、高温—干旱复合压力、日尺度与小时极端周对照，建立CAWCC和边界提前指标。</w:t>
      </w:r>
    </w:p>
    <w:p>
      <w:pPr>
        <w:pStyle w:val="BodyText"/>
      </w:pPr>
      <w:r>
        <w:rPr>
          <w:b/>
          <w:bCs/>
        </w:rPr>
        <w:t xml:space="preserve">第四阶段：概率CAWCC、敏感性与瓶颈转换。</w:t>
      </w:r>
      <w:r>
        <w:t xml:space="preserve"> </w:t>
      </w:r>
      <w:r>
        <w:t xml:space="preserve">完成Monte Carlo、Morris/Sobol和结构不确定性比较，识别主导因素、交互效应和限制因素转换。</w:t>
      </w:r>
    </w:p>
    <w:p>
      <w:pPr>
        <w:pStyle w:val="BodyText"/>
      </w:pPr>
      <w:r>
        <w:rPr>
          <w:b/>
          <w:bCs/>
        </w:rPr>
        <w:t xml:space="preserve">第五阶段：水—能—碳与适应性规划应用。</w:t>
      </w:r>
      <w:r>
        <w:t xml:space="preserve"> </w:t>
      </w:r>
      <w:r>
        <w:t xml:space="preserve">完成固定容量技术优化、约束下最大化安全容量及状态触发式规划路径，整合博士论文。</w:t>
      </w:r>
    </w:p>
    <w:bookmarkEnd w:id="99"/>
    <w:bookmarkStart w:id="100" w:name="预期成果"/>
    <w:p>
      <w:pPr>
        <w:pStyle w:val="Heading2"/>
        <w:keepNext/>
        <w:keepLines/>
        <w:ind w:firstLine="0"/>
      </w:pPr>
      <w:r>
        <w:t xml:space="preserve">7.6 预期成果</w:t>
      </w:r>
    </w:p>
    <w:p>
      <w:pPr>
        <w:pStyle w:val="FirstParagraph"/>
      </w:pPr>
      <w:r>
        <w:t xml:space="preserve">（1）形成一个可审计、可复现的AI—城市人工水系统代谢动态模拟框架；</w:t>
      </w:r>
    </w:p>
    <w:p>
      <w:pPr>
        <w:pStyle w:val="BodyText"/>
      </w:pPr>
      <w:r>
        <w:t xml:space="preserve">（2）形成AI容量—水代谢结构—峰值压力的连续响应面；</w:t>
      </w:r>
    </w:p>
    <w:p>
      <w:pPr>
        <w:pStyle w:val="BodyText"/>
      </w:pPr>
      <w:r>
        <w:t xml:space="preserve">（3）形成不同城市和技术条件下的确定性与概率化CAWCC图谱；</w:t>
      </w:r>
    </w:p>
    <w:p>
      <w:pPr>
        <w:pStyle w:val="BodyText"/>
      </w:pPr>
      <w:r>
        <w:t xml:space="preserve">（4）识别日尺度峰值造成的容量边界提前程度及其控制因素；</w:t>
      </w:r>
    </w:p>
    <w:p>
      <w:pPr>
        <w:pStyle w:val="BodyText"/>
      </w:pPr>
      <w:r>
        <w:t xml:space="preserve">（5）形成水源—WTW—WWTW—再生水—峰值容量的主导瓶颈转换图谱；</w:t>
      </w:r>
    </w:p>
    <w:p>
      <w:pPr>
        <w:pStyle w:val="BodyText"/>
      </w:pPr>
      <w:r>
        <w:t xml:space="preserve">（6）识别再生水提升AI容量的边际转折点及其真实限制机制；</w:t>
      </w:r>
    </w:p>
    <w:p>
      <w:pPr>
        <w:pStyle w:val="BodyText"/>
      </w:pPr>
      <w:r>
        <w:t xml:space="preserve">（7）形成固定AI容量下的水—能—碳负担转移分析，以及面向2035年的低后悔状态触发规划建议。</w:t>
      </w:r>
    </w:p>
    <w:bookmarkEnd w:id="100"/>
    <w:bookmarkStart w:id="101" w:name="博士论文拟定章节"/>
    <w:p>
      <w:pPr>
        <w:pStyle w:val="Heading2"/>
        <w:keepNext/>
        <w:keepLines/>
        <w:ind w:firstLine="0"/>
      </w:pPr>
      <w:r>
        <w:t xml:space="preserve">7.7 博士论文拟定章节</w:t>
      </w:r>
    </w:p>
    <w:p>
      <w:pPr>
        <w:pStyle w:val="FirstParagraph"/>
      </w:pPr>
      <w:r>
        <w:t xml:space="preserve">博士论文拟组织为8章：第1章绪论；第2章AI基础设施与城市水代谢耦合理论及统一核算边界；第3章参数化城市系统与AI-UWM模型构建、Verification和Benchmark；第4章AI算力扩张的城市水代谢结构响应；第5章峰值与复合压力下的CAWCC及瓶颈转换；第6章参数与结构不确定性下的概率化承载边界；第7章水—能—碳负担转移与适应性规划应用；第8章结论与展望。</w:t>
      </w:r>
    </w:p>
    <w:bookmarkEnd w:id="101"/>
    <w:bookmarkEnd w:id="102"/>
    <w:bookmarkStart w:id="103" w:name="主要符号与缩写"/>
    <w:p>
      <w:pPr>
        <w:pStyle w:val="Heading1"/>
        <w:keepNext/>
        <w:keepLines/>
        <w:pageBreakBefore/>
        <w:ind w:firstLine="0"/>
      </w:pPr>
      <w:r>
        <w:t xml:space="preserve">主要符号与缩写</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7E6E6"/>
          </w:tcPr>
          <w:p>
            <w:pPr>
              <w:pStyle w:val="Compact"/>
              <w:spacing w:line="276" w:lineRule="auto" w:after="0"/>
              <w:ind w:firstLine="0"/>
              <w:jc w:val="left"/>
            </w:pPr>
            <w:r>
              <w:rPr>
                <w:rFonts w:ascii="Times New Roman" w:hAnsi="Times New Roman" w:eastAsia="宋体"/>
                <w:b/>
                <w:sz w:val="19"/>
              </w:rPr>
              <w:t xml:space="preserve">符号/缩写</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含义</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典型单位</w:t>
            </w:r>
          </w:p>
        </w:tc>
      </w:tr>
      <w:tr>
        <w:tc>
          <w:tcPr>
            <w:vAlign w:val="center"/>
          </w:tcPr>
          <w:p>
            <w:pPr>
              <w:pStyle w:val="Compact"/>
              <w:spacing w:line="276" w:lineRule="auto" w:after="0"/>
              <w:ind w:firstLine="0"/>
              <w:jc w:val="left"/>
            </w:pPr>
            <m:oMath>
              <m:sSubSup>
                <m:e>
                  <m:r>
                    <m:t>C</m:t>
                  </m:r>
                </m:e>
                <m:sub>
                  <m:r>
                    <m:t>A</m:t>
                  </m:r>
                  <m:r>
                    <m:t>I</m:t>
                  </m:r>
                </m:sub>
                <m:sup>
                  <m:r>
                    <m:t>I</m:t>
                  </m:r>
                  <m:r>
                    <m:t>T</m:t>
                  </m:r>
                </m:sup>
              </m:sSubSup>
            </m:oMath>
          </w:p>
        </w:tc>
        <w:tc>
          <w:tcPr>
            <w:vAlign w:val="center"/>
          </w:tcPr>
          <w:p>
            <w:pPr>
              <w:pStyle w:val="Compact"/>
              <w:spacing w:line="276" w:lineRule="auto" w:after="0"/>
              <w:ind w:firstLine="0"/>
              <w:jc w:val="left"/>
            </w:pPr>
            <w:r>
              <w:rPr>
                <w:rFonts w:ascii="Times New Roman" w:hAnsi="Times New Roman" w:eastAsia="宋体"/>
                <w:b w:val="0"/>
                <w:sz w:val="19"/>
              </w:rPr>
              <w:t xml:space="preserve">AI数据中心IT安装容量</w:t>
            </w:r>
          </w:p>
        </w:tc>
        <w:tc>
          <w:tcPr>
            <w:vAlign w:val="center"/>
          </w:tcPr>
          <w:p>
            <w:pPr>
              <w:pStyle w:val="Compact"/>
              <w:spacing w:line="276" w:lineRule="auto" w:after="0"/>
              <w:ind w:firstLine="0"/>
              <w:jc w:val="left"/>
            </w:pPr>
            <w:r>
              <w:rPr>
                <w:rFonts w:ascii="Times New Roman" w:hAnsi="Times New Roman" w:eastAsia="宋体"/>
                <w:b w:val="0"/>
                <w:sz w:val="19"/>
              </w:rPr>
              <w:t xml:space="preserve">MW IT</w:t>
            </w:r>
          </w:p>
        </w:tc>
      </w:tr>
      <w:tr>
        <w:tc>
          <w:tcPr>
            <w:vAlign w:val="center"/>
          </w:tcPr>
          <w:p>
            <w:pPr>
              <w:pStyle w:val="Compact"/>
              <w:spacing w:line="276" w:lineRule="auto" w:after="0"/>
              <w:ind w:firstLine="0"/>
              <w:jc w:val="left"/>
            </w:pPr>
            <m:oMath>
              <m:r>
                <m:t>L</m:t>
              </m:r>
              <m:r>
                <m:t>F</m:t>
              </m:r>
            </m:oMath>
          </w:p>
        </w:tc>
        <w:tc>
          <w:tcPr>
            <w:vAlign w:val="center"/>
          </w:tcPr>
          <w:p>
            <w:pPr>
              <w:pStyle w:val="Compact"/>
              <w:spacing w:line="276" w:lineRule="auto" w:after="0"/>
              <w:ind w:firstLine="0"/>
              <w:jc w:val="left"/>
            </w:pPr>
            <w:r>
              <w:rPr>
                <w:rFonts w:ascii="Times New Roman" w:hAnsi="Times New Roman" w:eastAsia="宋体"/>
                <w:b w:val="0"/>
                <w:sz w:val="19"/>
              </w:rPr>
              <w:t xml:space="preserve">IT设备负载率</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P</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Power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Water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L·kWh⁻¹</w:t>
            </w:r>
          </w:p>
        </w:tc>
      </w:tr>
      <w:tr>
        <w:tc>
          <w:tcPr>
            <w:vAlign w:val="center"/>
          </w:tcPr>
          <w:p>
            <w:pPr>
              <w:pStyle w:val="Compact"/>
              <w:spacing w:line="276" w:lineRule="auto" w:after="0"/>
              <w:ind w:firstLine="0"/>
              <w:jc w:val="left"/>
            </w:pPr>
            <m:oMath>
              <m:sSup>
                <m:e>
                  <m:r>
                    <m:t>Q</m:t>
                  </m:r>
                </m:e>
                <m:sup>
                  <m:r>
                    <m:t>r</m:t>
                  </m:r>
                  <m:r>
                    <m:t>e</m:t>
                  </m:r>
                  <m:r>
                    <m:t>j</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数据中心需排散热量</w:t>
            </w:r>
          </w:p>
        </w:tc>
        <w:tc>
          <w:tcPr>
            <w:vAlign w:val="center"/>
          </w:tcPr>
          <w:p>
            <w:pPr>
              <w:pStyle w:val="Compact"/>
              <w:spacing w:line="276" w:lineRule="auto" w:after="0"/>
              <w:ind w:firstLine="0"/>
              <w:jc w:val="left"/>
            </w:pPr>
            <w:r>
              <w:rPr>
                <w:rFonts w:ascii="Times New Roman" w:hAnsi="Times New Roman" w:eastAsia="宋体"/>
                <w:b w:val="0"/>
                <w:sz w:val="19"/>
              </w:rPr>
              <w:t xml:space="preserve">MWh_th·d⁻¹</w:t>
            </w:r>
          </w:p>
        </w:tc>
      </w:tr>
      <w:tr>
        <w:tc>
          <w:tcPr>
            <w:vAlign w:val="center"/>
          </w:tcPr>
          <w:p>
            <w:pPr>
              <w:pStyle w:val="Compact"/>
              <w:spacing w:line="276" w:lineRule="auto" w:after="0"/>
              <w:ind w:firstLine="0"/>
              <w:jc w:val="left"/>
            </w:pPr>
            <m:oMath>
              <m:sSup>
                <m:e>
                  <m:r>
                    <m:t>f</m:t>
                  </m:r>
                </m:e>
                <m:sup>
                  <m:r>
                    <m:t>w</m:t>
                  </m:r>
                  <m:r>
                    <m:t>e</m:t>
                  </m:r>
                  <m:r>
                    <m:t>t</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湿侧承担热量比例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p>
                <m:e>
                  <m:r>
                    <m:t>V</m:t>
                  </m:r>
                </m:e>
                <m:sup>
                  <m:r>
                    <m:t>e</m:t>
                  </m:r>
                  <m:r>
                    <m:t>v</m:t>
                  </m:r>
                  <m:r>
                    <m:t>a</m:t>
                  </m:r>
                  <m:r>
                    <m:t>p</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冷却蒸发量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p>
                <m:e>
                  <m:r>
                    <m:t>V</m:t>
                  </m:r>
                </m:e>
                <m:sup>
                  <m:r>
                    <m:t>b</m:t>
                  </m:r>
                  <m:r>
                    <m:t>l</m:t>
                  </m:r>
                  <m:r>
                    <m:t>o</m:t>
                  </m:r>
                  <m:r>
                    <m:t>w</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冷却排污量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C</m:t>
              </m:r>
            </m:oMath>
          </w:p>
        </w:tc>
        <w:tc>
          <w:tcPr>
            <w:vAlign w:val="center"/>
          </w:tcPr>
          <w:p>
            <w:pPr>
              <w:pStyle w:val="Compact"/>
              <w:spacing w:line="276" w:lineRule="auto" w:after="0"/>
              <w:ind w:firstLine="0"/>
              <w:jc w:val="left"/>
            </w:pPr>
            <w:r>
              <w:rPr>
                <w:rFonts w:ascii="Times New Roman" w:hAnsi="Times New Roman" w:eastAsia="宋体"/>
                <w:b w:val="0"/>
                <w:sz w:val="19"/>
              </w:rPr>
              <w:t xml:space="preserve">冷却塔浓缩倍数</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i</m:t>
              </m:r>
              <m:r>
                <m:t>t</m:t>
              </m:r>
              <m:r>
                <m:t>h</m:t>
              </m:r>
              <m:r>
                <m:t>d</m:t>
              </m:r>
              <m:r>
                <m:t>r</m:t>
              </m:r>
              <m:r>
                <m:t>a</m:t>
              </m:r>
              <m:r>
                <m:t>w</m:t>
              </m:r>
              <m:r>
                <m:t>a</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数据中心从外部供水节点获取的水量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n</m:t>
              </m:r>
              <m:r>
                <m:t>s</m:t>
              </m:r>
              <m:r>
                <m:t>u</m:t>
              </m:r>
              <m:r>
                <m:t>m</m:t>
              </m:r>
              <m:r>
                <m:t>p</m:t>
              </m:r>
              <m:r>
                <m:t>t</m:t>
              </m:r>
              <m:r>
                <m:t>i</m:t>
              </m:r>
              <m:r>
                <m:t>o</m:t>
              </m:r>
              <m:r>
                <m:t>n</m:t>
              </m:r>
            </m:oMath>
          </w:p>
        </w:tc>
        <w:tc>
          <w:tcPr>
            <w:vAlign w:val="center"/>
          </w:tcPr>
          <w:p>
            <w:pPr>
              <w:pStyle w:val="Compact"/>
              <w:spacing w:line="276" w:lineRule="auto" w:after="0"/>
              <w:ind w:firstLine="0"/>
              <w:jc w:val="left"/>
            </w:pPr>
            <w:r>
              <w:rPr>
                <w:rFonts w:ascii="Times New Roman" w:hAnsi="Times New Roman" w:eastAsia="宋体"/>
                <w:b w:val="0"/>
                <w:sz w:val="19"/>
              </w:rPr>
              <w:t xml:space="preserve">不可恢复消耗水量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R</m:t>
              </m:r>
              <m:r>
                <m:t>e</m:t>
              </m:r>
              <m:r>
                <m:t>t</m:t>
              </m:r>
              <m:r>
                <m:t>u</m:t>
              </m:r>
              <m:r>
                <m:t>r</m:t>
              </m:r>
              <m:r>
                <m:t>n</m:t>
              </m:r>
              <m:r>
                <m:t>F</m:t>
              </m:r>
              <m:r>
                <m:t>l</m:t>
              </m:r>
              <m:r>
                <m:t>o</m:t>
              </m:r>
              <m:r>
                <m:t>w</m:t>
              </m:r>
            </m:oMath>
          </w:p>
        </w:tc>
        <w:tc>
          <w:tcPr>
            <w:vAlign w:val="center"/>
          </w:tcPr>
          <w:p>
            <w:pPr>
              <w:pStyle w:val="Compact"/>
              <w:spacing w:line="276" w:lineRule="auto" w:after="0"/>
              <w:ind w:firstLine="0"/>
              <w:jc w:val="left"/>
            </w:pPr>
            <w:r>
              <w:rPr>
                <w:rFonts w:ascii="Times New Roman" w:hAnsi="Times New Roman" w:eastAsia="宋体"/>
                <w:b w:val="0"/>
                <w:sz w:val="19"/>
              </w:rPr>
              <w:t xml:space="preserve">返回城市污水系统的水量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给水处理能力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污水处理能力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r</m:t>
                  </m:r>
                  <m:r>
                    <m:t>e</m:t>
                  </m:r>
                  <m:r>
                    <m:t>c</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再生水处理能力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P</m:t>
              </m:r>
              <m:r>
                <m:t>C</m:t>
              </m:r>
              <m:r>
                <m:t>R</m:t>
              </m:r>
            </m:oMath>
          </w:p>
        </w:tc>
        <w:tc>
          <w:tcPr>
            <w:vAlign w:val="center"/>
          </w:tcPr>
          <w:p>
            <w:pPr>
              <w:pStyle w:val="Compact"/>
              <w:spacing w:line="276" w:lineRule="auto" w:after="0"/>
              <w:ind w:firstLine="0"/>
              <w:jc w:val="left"/>
            </w:pPr>
            <w:r>
              <w:rPr>
                <w:rFonts w:ascii="Times New Roman" w:hAnsi="Times New Roman" w:eastAsia="宋体"/>
                <w:b w:val="0"/>
                <w:sz w:val="19"/>
              </w:rPr>
              <w:t xml:space="preserve">峰值供水容量比</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R</m:t>
              </m:r>
              <m:r>
                <m:t>e</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可靠性</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C</m:t>
              </m:r>
              <m:r>
                <m:t>A</m:t>
              </m:r>
              <m:r>
                <m:t>W</m:t>
              </m:r>
              <m:r>
                <m:t>C</m:t>
              </m:r>
              <m:r>
                <m:t>C</m:t>
              </m:r>
            </m:oMath>
          </w:p>
        </w:tc>
        <w:tc>
          <w:tcPr>
            <w:vAlign w:val="center"/>
          </w:tcPr>
          <w:p>
            <w:pPr>
              <w:pStyle w:val="Compact"/>
              <w:spacing w:line="276" w:lineRule="auto" w:after="0"/>
              <w:ind w:firstLine="0"/>
              <w:jc w:val="left"/>
            </w:pPr>
            <w:r>
              <w:rPr>
                <w:rFonts w:ascii="Times New Roman" w:hAnsi="Times New Roman" w:eastAsia="宋体"/>
                <w:b w:val="0"/>
                <w:sz w:val="19"/>
              </w:rPr>
              <w:t xml:space="preserve">条件化AI水资源承载边界</w:t>
            </w:r>
          </w:p>
        </w:tc>
        <w:tc>
          <w:tcPr>
            <w:vAlign w:val="center"/>
          </w:tcPr>
          <w:p>
            <w:pPr>
              <w:pStyle w:val="Compact"/>
              <w:spacing w:line="276" w:lineRule="auto" w:after="0"/>
              <w:ind w:firstLine="0"/>
              <w:jc w:val="left"/>
            </w:pPr>
            <w:r>
              <w:rPr>
                <w:rFonts w:ascii="Times New Roman" w:hAnsi="Times New Roman" w:eastAsia="宋体"/>
                <w:b w:val="0"/>
                <w:sz w:val="19"/>
              </w:rPr>
              <w:t xml:space="preserve">MW/GW IT</w:t>
            </w:r>
          </w:p>
        </w:tc>
      </w:tr>
      <w:tr>
        <w:tc>
          <w:tcPr>
            <w:vAlign w:val="center"/>
          </w:tcPr>
          <w:p>
            <w:pPr>
              <w:pStyle w:val="Compact"/>
              <w:spacing w:line="276" w:lineRule="auto" w:after="0"/>
              <w:ind w:firstLine="0"/>
              <w:jc w:val="left"/>
            </w:pPr>
            <m:oMath>
              <m:r>
                <m:t>B</m:t>
              </m:r>
              <m:r>
                <m:t>A</m:t>
              </m:r>
              <m:r>
                <m:t>R</m:t>
              </m:r>
            </m:oMath>
          </w:p>
        </w:tc>
        <w:tc>
          <w:tcPr>
            <w:vAlign w:val="center"/>
          </w:tcPr>
          <w:p>
            <w:pPr>
              <w:pStyle w:val="Compact"/>
              <w:spacing w:line="276" w:lineRule="auto" w:after="0"/>
              <w:ind w:firstLine="0"/>
              <w:jc w:val="left"/>
            </w:pPr>
            <w:r>
              <w:rPr>
                <w:rFonts w:ascii="Times New Roman" w:hAnsi="Times New Roman" w:eastAsia="宋体"/>
                <w:b w:val="0"/>
                <w:sz w:val="19"/>
              </w:rPr>
              <w:t xml:space="preserve">年均评价相对日尺度峰值评价的边界提前比例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b>
                <m:e>
                  <m:r>
                    <m:t>D</m:t>
                  </m:r>
                </m:e>
                <m:sub>
                  <m:r>
                    <m:t>m</m:t>
                  </m:r>
                  <m:r>
                    <m:t>e</m:t>
                  </m:r>
                  <m:r>
                    <m:t>t</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关键水流路径份额结构差异</w:t>
            </w:r>
          </w:p>
        </w:tc>
        <w:tc>
          <w:tcPr>
            <w:vAlign w:val="center"/>
          </w:tcPr>
          <w:p>
            <w:pPr>
              <w:pStyle w:val="Compact"/>
              <w:spacing w:line="276" w:lineRule="auto" w:after="0"/>
              <w:ind w:firstLine="0"/>
              <w:jc w:val="left"/>
            </w:pPr>
            <w:r>
              <w:rPr>
                <w:rFonts w:ascii="Times New Roman" w:hAnsi="Times New Roman" w:eastAsia="宋体"/>
                <w:b w:val="0"/>
                <w:sz w:val="19"/>
              </w:rPr>
              <w:t xml:space="preserve">0–1</w:t>
            </w:r>
          </w:p>
        </w:tc>
      </w:tr>
    </w:tbl>
    <w:bookmarkEnd w:id="103"/>
    <w:bookmarkStart w:id="104" w:name="参考文献"/>
    <w:p>
      <w:pPr>
        <w:pStyle w:val="Heading1"/>
        <w:keepNext/>
        <w:keepLines/>
        <w:pageBreakBefore/>
        <w:ind w:firstLine="0"/>
      </w:pPr>
      <w:r>
        <w:t xml:space="preserve">参考文献</w:t>
      </w:r>
    </w:p>
    <w:p>
      <w:pPr>
        <w:pStyle w:val="FirstParagraph"/>
        <w:spacing w:line="276" w:lineRule="auto" w:after="60"/>
        <w:ind w:left="420" w:hanging="420"/>
      </w:pPr>
      <w:r>
        <w:rPr>
          <w:rFonts w:ascii="Times New Roman" w:hAnsi="Times New Roman" w:eastAsia="宋体"/>
          <w:sz w:val="18"/>
        </w:rPr>
        <w:t xml:space="preserve">[1] International Energy Agency.</w:t>
      </w:r>
      <w:r>
        <w:rPr>
          <w:rFonts w:ascii="Times New Roman" w:hAnsi="Times New Roman" w:eastAsia="宋体"/>
          <w:sz w:val="18"/>
        </w:rPr>
        <w:t xml:space="preserve"> </w:t>
      </w:r>
      <w:r>
        <w:rPr>
          <w:rFonts w:ascii="Times New Roman" w:hAnsi="Times New Roman" w:eastAsia="宋体"/>
          <w:i/>
          <w:iCs/>
          <w:sz w:val="18"/>
        </w:rPr>
        <w:t xml:space="preserve">Key Questions on Energy and AI</w:t>
      </w:r>
      <w:r>
        <w:rPr>
          <w:rFonts w:ascii="Times New Roman" w:hAnsi="Times New Roman" w:eastAsia="宋体"/>
          <w:sz w:val="18"/>
        </w:rPr>
        <w:t xml:space="preserve">[R]. Paris: IEA, 2026.</w:t>
      </w:r>
    </w:p>
    <w:p>
      <w:pPr>
        <w:pStyle w:val="BodyText"/>
        <w:spacing w:line="276" w:lineRule="auto" w:after="60"/>
        <w:ind w:left="420" w:hanging="420"/>
      </w:pPr>
      <w:r>
        <w:rPr>
          <w:rFonts w:ascii="Times New Roman" w:hAnsi="Times New Roman" w:eastAsia="宋体"/>
          <w:sz w:val="18"/>
        </w:rPr>
        <w:t xml:space="preserve">[2] International Energy Agency.</w:t>
      </w:r>
      <w:r>
        <w:rPr>
          <w:rFonts w:ascii="Times New Roman" w:hAnsi="Times New Roman" w:eastAsia="宋体"/>
          <w:sz w:val="18"/>
        </w:rPr>
        <w:t xml:space="preserve"> </w:t>
      </w:r>
      <w:r>
        <w:rPr>
          <w:rFonts w:ascii="Times New Roman" w:hAnsi="Times New Roman" w:eastAsia="宋体"/>
          <w:i/>
          <w:iCs/>
          <w:sz w:val="18"/>
        </w:rPr>
        <w:t xml:space="preserve">Energy and AI</w:t>
      </w:r>
      <w:r>
        <w:rPr>
          <w:rFonts w:ascii="Times New Roman" w:hAnsi="Times New Roman" w:eastAsia="宋体"/>
          <w:sz w:val="18"/>
        </w:rPr>
        <w:t xml:space="preserve">[R]. Paris: IEA, 2025.</w:t>
      </w:r>
    </w:p>
    <w:p>
      <w:pPr>
        <w:pStyle w:val="BodyText"/>
        <w:spacing w:line="276" w:lineRule="auto" w:after="60"/>
        <w:ind w:left="420" w:hanging="420"/>
      </w:pPr>
      <w:r>
        <w:rPr>
          <w:rFonts w:ascii="Times New Roman" w:hAnsi="Times New Roman" w:eastAsia="宋体"/>
          <w:sz w:val="18"/>
        </w:rPr>
        <w:t xml:space="preserve">[3] Shehabi A, Smith S J, Hubbard A, Newkirk A, Lei N, Siddik M A B, et al. </w:t>
      </w:r>
      <w:r>
        <w:rPr>
          <w:rFonts w:ascii="Times New Roman" w:hAnsi="Times New Roman" w:eastAsia="宋体"/>
          <w:i/>
          <w:iCs/>
          <w:sz w:val="18"/>
        </w:rPr>
        <w:t xml:space="preserve">2024 United States Data Center Energy Usage Report</w:t>
      </w:r>
      <w:r>
        <w:rPr>
          <w:rFonts w:ascii="Times New Roman" w:hAnsi="Times New Roman" w:eastAsia="宋体"/>
          <w:sz w:val="18"/>
        </w:rPr>
        <w:t xml:space="preserve">[R]. Berkeley: Lawrence Berkeley National Laboratory, 2024. DOI: 10.71468/P1WC7Q.</w:t>
      </w:r>
    </w:p>
    <w:p>
      <w:pPr>
        <w:pStyle w:val="BodyText"/>
        <w:spacing w:line="276" w:lineRule="auto" w:after="60"/>
        <w:ind w:left="420" w:hanging="420"/>
      </w:pPr>
      <w:r>
        <w:rPr>
          <w:rFonts w:ascii="Times New Roman" w:hAnsi="Times New Roman" w:eastAsia="宋体"/>
          <w:sz w:val="18"/>
        </w:rPr>
        <w:t xml:space="preserve">[4] Masanet E, Shehabi A, Lei N, Smith S, Koomey J. Recalibrating global data center energy-use estimates[J].</w:t>
      </w:r>
      <w:r>
        <w:rPr>
          <w:rFonts w:ascii="Times New Roman" w:hAnsi="Times New Roman" w:eastAsia="宋体"/>
          <w:sz w:val="18"/>
        </w:rPr>
        <w:t xml:space="preserve"> </w:t>
      </w:r>
      <w:r>
        <w:rPr>
          <w:rFonts w:ascii="Times New Roman" w:hAnsi="Times New Roman" w:eastAsia="宋体"/>
          <w:i/>
          <w:iCs/>
          <w:sz w:val="18"/>
        </w:rPr>
        <w:t xml:space="preserve">Science</w:t>
      </w:r>
      <w:r>
        <w:rPr>
          <w:rFonts w:ascii="Times New Roman" w:hAnsi="Times New Roman" w:eastAsia="宋体"/>
          <w:sz w:val="18"/>
        </w:rPr>
        <w:t xml:space="preserve">, 2020, 367(6481): 984-986. DOI: 10.1126/science.aba3758.</w:t>
      </w:r>
    </w:p>
    <w:p>
      <w:pPr>
        <w:pStyle w:val="BodyText"/>
        <w:spacing w:line="276" w:lineRule="auto" w:after="60"/>
        <w:ind w:left="420" w:hanging="420"/>
      </w:pPr>
      <w:r>
        <w:rPr>
          <w:rFonts w:ascii="Times New Roman" w:hAnsi="Times New Roman" w:eastAsia="宋体"/>
          <w:sz w:val="18"/>
        </w:rPr>
        <w:t xml:space="preserve">[5] de Vries A. The growing energy footprint of artificial intelligence[J].</w:t>
      </w:r>
      <w:r>
        <w:rPr>
          <w:rFonts w:ascii="Times New Roman" w:hAnsi="Times New Roman" w:eastAsia="宋体"/>
          <w:sz w:val="18"/>
        </w:rPr>
        <w:t xml:space="preserve"> </w:t>
      </w:r>
      <w:r>
        <w:rPr>
          <w:rFonts w:ascii="Times New Roman" w:hAnsi="Times New Roman" w:eastAsia="宋体"/>
          <w:i/>
          <w:iCs/>
          <w:sz w:val="18"/>
        </w:rPr>
        <w:t xml:space="preserve">Joule</w:t>
      </w:r>
      <w:r>
        <w:rPr>
          <w:rFonts w:ascii="Times New Roman" w:hAnsi="Times New Roman" w:eastAsia="宋体"/>
          <w:sz w:val="18"/>
        </w:rPr>
        <w:t xml:space="preserve">, 2023, 7(10): 2191-2194. DOI: 10.1016/j.joule.2023.09.004.</w:t>
      </w:r>
    </w:p>
    <w:p>
      <w:pPr>
        <w:pStyle w:val="BodyText"/>
        <w:spacing w:line="276" w:lineRule="auto" w:after="60"/>
        <w:ind w:left="420" w:hanging="420"/>
      </w:pPr>
      <w:r>
        <w:rPr>
          <w:rFonts w:ascii="Times New Roman" w:hAnsi="Times New Roman" w:eastAsia="宋体"/>
          <w:sz w:val="18"/>
        </w:rPr>
        <w:t xml:space="preserve">[6] Mytton D. Data centre water consumption[J].</w:t>
      </w:r>
      <w:r>
        <w:rPr>
          <w:rFonts w:ascii="Times New Roman" w:hAnsi="Times New Roman" w:eastAsia="宋体"/>
          <w:sz w:val="18"/>
        </w:rPr>
        <w:t xml:space="preserve"> </w:t>
      </w:r>
      <w:r>
        <w:rPr>
          <w:rFonts w:ascii="Times New Roman" w:hAnsi="Times New Roman" w:eastAsia="宋体"/>
          <w:i/>
          <w:iCs/>
          <w:sz w:val="18"/>
        </w:rPr>
        <w:t xml:space="preserve">npj Clean Water</w:t>
      </w:r>
      <w:r>
        <w:rPr>
          <w:rFonts w:ascii="Times New Roman" w:hAnsi="Times New Roman" w:eastAsia="宋体"/>
          <w:sz w:val="18"/>
        </w:rPr>
        <w:t xml:space="preserve">, 2021, 4: 11. DOI: 10.1038/s41545-021-00101-w.</w:t>
      </w:r>
    </w:p>
    <w:p>
      <w:pPr>
        <w:pStyle w:val="BodyText"/>
        <w:spacing w:line="276" w:lineRule="auto" w:after="60"/>
        <w:ind w:left="420" w:hanging="420"/>
      </w:pPr>
      <w:r>
        <w:rPr>
          <w:rFonts w:ascii="Times New Roman" w:hAnsi="Times New Roman" w:eastAsia="宋体"/>
          <w:sz w:val="18"/>
        </w:rPr>
        <w:t xml:space="preserve">[7] Lei N, Lu J, Shehabi A, Masanet E R. The water use of data center workloads: A review and assessment of key determinants[J].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2025, 219: 108310. DOI: 10.1016/j.resconrec.2025.108310.</w:t>
      </w:r>
    </w:p>
    <w:p>
      <w:pPr>
        <w:pStyle w:val="BodyText"/>
        <w:spacing w:line="276" w:lineRule="auto" w:after="60"/>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w:t>
      </w:r>
      <w:r>
        <w:rPr>
          <w:rFonts w:ascii="Times New Roman" w:hAnsi="Times New Roman" w:eastAsia="宋体"/>
          <w:sz w:val="18"/>
        </w:rPr>
        <w:t xml:space="preserve"> </w:t>
      </w:r>
      <w:r>
        <w:rPr>
          <w:rFonts w:ascii="Times New Roman" w:hAnsi="Times New Roman" w:eastAsia="宋体"/>
          <w:i/>
          <w:iCs/>
          <w:sz w:val="18"/>
        </w:rPr>
        <w:t xml:space="preserve">Nature Sustainability</w:t>
      </w:r>
      <w:r>
        <w:rPr>
          <w:rFonts w:ascii="Times New Roman" w:hAnsi="Times New Roman" w:eastAsia="宋体"/>
          <w:sz w:val="18"/>
        </w:rPr>
        <w:t xml:space="preserve">, 2025, 8: 1541-1553. DOI: 10.1038/s41893-025-01681-y.</w:t>
      </w:r>
    </w:p>
    <w:p>
      <w:pPr>
        <w:pStyle w:val="BodyText"/>
        <w:spacing w:line="276" w:lineRule="auto" w:after="60"/>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2025, 399: 126522. DOI: 10.1016/j.apenergy.2025.126522.</w:t>
      </w:r>
    </w:p>
    <w:p>
      <w:pPr>
        <w:pStyle w:val="BodyText"/>
        <w:spacing w:line="276" w:lineRule="auto" w:after="60"/>
        <w:ind w:left="420" w:hanging="420"/>
      </w:pPr>
      <w:r>
        <w:rPr>
          <w:rFonts w:ascii="Times New Roman" w:hAnsi="Times New Roman" w:eastAsia="宋体"/>
          <w:sz w:val="18"/>
        </w:rPr>
        <w:t xml:space="preserve">[10] 国家发展改革委, 工业和信息化部, 国家能源局, 国家数据局. 数据中心绿色低碳发展专项行动计划[Z]. 发改环资〔2024〕970号, 2024.</w:t>
      </w:r>
    </w:p>
    <w:p>
      <w:pPr>
        <w:pStyle w:val="BodyText"/>
        <w:spacing w:line="276" w:lineRule="auto" w:after="60"/>
        <w:ind w:left="420" w:hanging="420"/>
      </w:pPr>
      <w:r>
        <w:rPr>
          <w:rFonts w:ascii="Times New Roman" w:hAnsi="Times New Roman" w:eastAsia="宋体"/>
          <w:sz w:val="18"/>
        </w:rPr>
        <w:t xml:space="preserve">[11] Wolman A. The metabolism of cities[J].</w:t>
      </w:r>
      <w:r>
        <w:rPr>
          <w:rFonts w:ascii="Times New Roman" w:hAnsi="Times New Roman" w:eastAsia="宋体"/>
          <w:sz w:val="18"/>
        </w:rPr>
        <w:t xml:space="preserve"> </w:t>
      </w:r>
      <w:r>
        <w:rPr>
          <w:rFonts w:ascii="Times New Roman" w:hAnsi="Times New Roman" w:eastAsia="宋体"/>
          <w:i/>
          <w:iCs/>
          <w:sz w:val="18"/>
        </w:rPr>
        <w:t xml:space="preserve">Scientific American</w:t>
      </w:r>
      <w:r>
        <w:rPr>
          <w:rFonts w:ascii="Times New Roman" w:hAnsi="Times New Roman" w:eastAsia="宋体"/>
          <w:sz w:val="18"/>
        </w:rPr>
        <w:t xml:space="preserve">, 1965, 213(3): 178-190. DOI: 10.1038/scientificamerican0965-178.</w:t>
      </w:r>
    </w:p>
    <w:p>
      <w:pPr>
        <w:pStyle w:val="BodyText"/>
        <w:spacing w:line="276" w:lineRule="auto" w:after="60"/>
        <w:ind w:left="420" w:hanging="420"/>
      </w:pPr>
      <w:r>
        <w:rPr>
          <w:rFonts w:ascii="Times New Roman" w:hAnsi="Times New Roman" w:eastAsia="宋体"/>
          <w:sz w:val="18"/>
        </w:rPr>
        <w:t xml:space="preserve">[12] Kennedy C, Cuddihy J, Engel-Yan J. The changing metabolism of cities[J].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2007, 11(2): 43-59. DOI: 10.1162/jie.2007.1107.</w:t>
      </w:r>
    </w:p>
    <w:p>
      <w:pPr>
        <w:pStyle w:val="BodyText"/>
        <w:spacing w:line="276" w:lineRule="auto" w:after="60"/>
        <w:ind w:left="420" w:hanging="420"/>
      </w:pPr>
      <w:r>
        <w:rPr>
          <w:rFonts w:ascii="Times New Roman" w:hAnsi="Times New Roman" w:eastAsia="宋体"/>
          <w:sz w:val="18"/>
        </w:rPr>
        <w:t xml:space="preserve">[13] Kennedy C, Pincetl S, Bunje P. The study of urban metabolism and its applications to urban planning and design[J].</w:t>
      </w:r>
      <w:r>
        <w:rPr>
          <w:rFonts w:ascii="Times New Roman" w:hAnsi="Times New Roman" w:eastAsia="宋体"/>
          <w:sz w:val="18"/>
        </w:rPr>
        <w:t xml:space="preserve"> </w:t>
      </w:r>
      <w:r>
        <w:rPr>
          <w:rFonts w:ascii="Times New Roman" w:hAnsi="Times New Roman" w:eastAsia="宋体"/>
          <w:i/>
          <w:iCs/>
          <w:sz w:val="18"/>
        </w:rPr>
        <w:t xml:space="preserve">Environmental Pollution</w:t>
      </w:r>
      <w:r>
        <w:rPr>
          <w:rFonts w:ascii="Times New Roman" w:hAnsi="Times New Roman" w:eastAsia="宋体"/>
          <w:sz w:val="18"/>
        </w:rPr>
        <w:t xml:space="preserve">, 2011, 159(8-9): 1965-1973. DOI: 10.1016/j.envpol.2010.10.022.</w:t>
      </w:r>
    </w:p>
    <w:p>
      <w:pPr>
        <w:pStyle w:val="BodyText"/>
        <w:spacing w:line="276" w:lineRule="auto" w:after="60"/>
        <w:ind w:left="420" w:hanging="420"/>
      </w:pPr>
      <w:r>
        <w:rPr>
          <w:rFonts w:ascii="Times New Roman" w:hAnsi="Times New Roman" w:eastAsia="宋体"/>
          <w:sz w:val="18"/>
        </w:rPr>
        <w:t xml:space="preserve">[14] Castán Broto V, Allen A, Rapoport E. Interdisciplinary perspectives on urban metabolism[J].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2012, 16(6): 851-861. DOI: 10.1111/j.1530-9290.2012.00556.x.</w:t>
      </w:r>
    </w:p>
    <w:p>
      <w:pPr>
        <w:pStyle w:val="BodyText"/>
        <w:spacing w:line="276" w:lineRule="auto" w:after="60"/>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w:t>
      </w:r>
      <w:r>
        <w:rPr>
          <w:rFonts w:ascii="Times New Roman" w:hAnsi="Times New Roman" w:eastAsia="宋体"/>
          <w:sz w:val="18"/>
        </w:rPr>
        <w:t xml:space="preserve"> </w:t>
      </w:r>
      <w:r>
        <w:rPr>
          <w:rFonts w:ascii="Times New Roman" w:hAnsi="Times New Roman" w:eastAsia="宋体"/>
          <w:i/>
          <w:iCs/>
          <w:sz w:val="18"/>
        </w:rPr>
        <w:t xml:space="preserve">Drinking Water Engineering and Science</w:t>
      </w:r>
      <w:r>
        <w:rPr>
          <w:rFonts w:ascii="Times New Roman" w:hAnsi="Times New Roman" w:eastAsia="宋体"/>
          <w:sz w:val="18"/>
        </w:rPr>
        <w:t xml:space="preserve">, 2014, 7: 63-72. DOI: 10.5194/dwes-7-63-2014.</w:t>
      </w:r>
    </w:p>
    <w:p>
      <w:pPr>
        <w:pStyle w:val="BodyText"/>
        <w:spacing w:line="276" w:lineRule="auto" w:after="60"/>
        <w:ind w:left="420" w:hanging="420"/>
      </w:pPr>
      <w:r>
        <w:rPr>
          <w:rFonts w:ascii="Times New Roman" w:hAnsi="Times New Roman" w:eastAsia="宋体"/>
          <w:sz w:val="18"/>
        </w:rPr>
        <w:t xml:space="preserve">[16] Behzadian K, Kapelan Z. Modelling metabolism based performance of an urban water system using WaterMet²[J].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2015, 99: 84-99. DOI: 10.1016/j.resconrec.2015.03.015.</w:t>
      </w:r>
    </w:p>
    <w:p>
      <w:pPr>
        <w:pStyle w:val="BodyText"/>
        <w:spacing w:line="276" w:lineRule="auto" w:after="60"/>
        <w:ind w:left="420" w:hanging="420"/>
      </w:pPr>
      <w:r>
        <w:rPr>
          <w:rFonts w:ascii="Times New Roman" w:hAnsi="Times New Roman" w:eastAsia="宋体"/>
          <w:sz w:val="18"/>
        </w:rPr>
        <w:t xml:space="preserve">[17] Urich C, Rauch W. Modelling the urban water cycle as an integrated part of the city: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2014, 70(11): 1857-1872. DOI: 10.2166/wst.2014.363.</w:t>
      </w:r>
    </w:p>
    <w:p>
      <w:pPr>
        <w:pStyle w:val="BodyText"/>
        <w:spacing w:line="276" w:lineRule="auto" w:after="60"/>
        <w:ind w:left="420" w:hanging="420"/>
      </w:pPr>
      <w:r>
        <w:rPr>
          <w:rFonts w:ascii="Times New Roman" w:hAnsi="Times New Roman" w:eastAsia="宋体"/>
          <w:sz w:val="18"/>
        </w:rPr>
        <w:t xml:space="preserve">[18] Bach P M, Rauch W, Mikkelsen P S, McCarthy D T, Deletic A. A critical review of integrated urban water modelling—Urban drainage and beyond[J].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2014, 54: 88-107. DOI: 10.1016/j.envsoft.2013.12.018.</w:t>
      </w:r>
    </w:p>
    <w:p>
      <w:pPr>
        <w:pStyle w:val="BodyText"/>
        <w:spacing w:line="276" w:lineRule="auto" w:after="60"/>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2024, 17: 4495-4513. DOI: 10.5194/gmd-17-4495-2024.</w:t>
      </w:r>
    </w:p>
    <w:p>
      <w:pPr>
        <w:pStyle w:val="BodyText"/>
        <w:spacing w:line="276" w:lineRule="auto" w:after="60"/>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2021, 787: 147432. DOI: 10.1016/j.scitotenv.2021.147432.</w:t>
      </w:r>
    </w:p>
    <w:p>
      <w:pPr>
        <w:pStyle w:val="BodyText"/>
        <w:spacing w:line="276" w:lineRule="auto" w:after="60"/>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w:t>
      </w:r>
      <w:r>
        <w:rPr>
          <w:rFonts w:ascii="Times New Roman" w:hAnsi="Times New Roman" w:eastAsia="宋体"/>
          <w:sz w:val="18"/>
        </w:rPr>
        <w:t xml:space="preserve"> </w:t>
      </w:r>
      <w:r>
        <w:rPr>
          <w:rFonts w:ascii="Times New Roman" w:hAnsi="Times New Roman" w:eastAsia="宋体"/>
          <w:i/>
          <w:iCs/>
          <w:sz w:val="18"/>
        </w:rPr>
        <w:t xml:space="preserve">Sustainable Cities and Society</w:t>
      </w:r>
      <w:r>
        <w:rPr>
          <w:rFonts w:ascii="Times New Roman" w:hAnsi="Times New Roman" w:eastAsia="宋体"/>
          <w:sz w:val="18"/>
        </w:rPr>
        <w:t xml:space="preserve">, 2022, 85: 104065. DOI: 10.1016/j.scs.2022.104065.</w:t>
      </w:r>
    </w:p>
    <w:p>
      <w:pPr>
        <w:pStyle w:val="BodyText"/>
        <w:spacing w:line="276" w:lineRule="auto" w:after="60"/>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2023, 329: 117046. DOI: 10.1016/j.jenvman.2022.117046.</w:t>
      </w:r>
    </w:p>
    <w:p>
      <w:pPr>
        <w:pStyle w:val="BodyText"/>
        <w:spacing w:line="276" w:lineRule="auto" w:after="60"/>
        <w:ind w:left="420" w:hanging="420"/>
      </w:pPr>
      <w:r>
        <w:rPr>
          <w:rFonts w:ascii="Times New Roman" w:hAnsi="Times New Roman" w:eastAsia="宋体"/>
          <w:sz w:val="18"/>
        </w:rPr>
        <w:t xml:space="preserve">[23] Fan J L, Kong L S, Wang H, Zhang X. A water-energy nexus review from the perspective of urban metabolism[J].</w:t>
      </w:r>
      <w:r>
        <w:rPr>
          <w:rFonts w:ascii="Times New Roman" w:hAnsi="Times New Roman" w:eastAsia="宋体"/>
          <w:sz w:val="18"/>
        </w:rPr>
        <w:t xml:space="preserve"> </w:t>
      </w:r>
      <w:r>
        <w:rPr>
          <w:rFonts w:ascii="Times New Roman" w:hAnsi="Times New Roman" w:eastAsia="宋体"/>
          <w:i/>
          <w:iCs/>
          <w:sz w:val="18"/>
        </w:rPr>
        <w:t xml:space="preserve">Ecological Modelling</w:t>
      </w:r>
      <w:r>
        <w:rPr>
          <w:rFonts w:ascii="Times New Roman" w:hAnsi="Times New Roman" w:eastAsia="宋体"/>
          <w:sz w:val="18"/>
        </w:rPr>
        <w:t xml:space="preserve">, 2019, 392: 128-136. DOI: 10.1016/j.ecolmodel.2018.11.019.</w:t>
      </w:r>
    </w:p>
    <w:p>
      <w:pPr>
        <w:pStyle w:val="BodyText"/>
        <w:spacing w:line="276" w:lineRule="auto" w:after="60"/>
        <w:ind w:left="420" w:hanging="420"/>
      </w:pPr>
      <w:r>
        <w:rPr>
          <w:rFonts w:ascii="Times New Roman" w:hAnsi="Times New Roman" w:eastAsia="宋体"/>
          <w:sz w:val="18"/>
        </w:rPr>
        <w:t xml:space="preserve">[24] Kenway S J, Lant P A, Priestley A, Daniels P. The connection between water and energy in cities: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2011, 63(9): 1983-1990. DOI: 10.2166/wst.2011.070.</w:t>
      </w:r>
    </w:p>
    <w:p>
      <w:pPr>
        <w:pStyle w:val="BodyText"/>
        <w:spacing w:line="276" w:lineRule="auto" w:after="60"/>
        <w:ind w:left="420" w:hanging="420"/>
      </w:pPr>
      <w:r>
        <w:rPr>
          <w:rFonts w:ascii="Times New Roman" w:hAnsi="Times New Roman" w:eastAsia="宋体"/>
          <w:sz w:val="18"/>
        </w:rPr>
        <w:t xml:space="preserve">[25] Kenway S J, Binks A, Lane J, Lant P A, Lam K L, Simms A. A systemic framework and analysis of urban water energy[J].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73: 272-285. DOI: 10.1016/j.envsoft.2015.08.009.</w:t>
      </w:r>
    </w:p>
    <w:p>
      <w:pPr>
        <w:pStyle w:val="BodyText"/>
        <w:spacing w:line="276" w:lineRule="auto" w:after="60"/>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2014, 89: 1-10. DOI: 10.1016/j.resconrec.2014.05.007.</w:t>
      </w:r>
    </w:p>
    <w:p>
      <w:pPr>
        <w:pStyle w:val="BodyText"/>
        <w:spacing w:line="276" w:lineRule="auto" w:after="60"/>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2017, 205: 589-601. DOI: 10.1016/j.apenergy.2017.08.002.</w:t>
      </w:r>
    </w:p>
    <w:p>
      <w:pPr>
        <w:pStyle w:val="BodyText"/>
        <w:spacing w:line="276" w:lineRule="auto" w:after="60"/>
        <w:ind w:left="420" w:hanging="420"/>
      </w:pPr>
      <w:r>
        <w:rPr>
          <w:rFonts w:ascii="Times New Roman" w:hAnsi="Times New Roman" w:eastAsia="宋体"/>
          <w:sz w:val="18"/>
        </w:rPr>
        <w:t xml:space="preserve">[28] Stokes J R, Horvath A. Energy and air emission effects of water supply[J].</w:t>
      </w:r>
      <w:r>
        <w:rPr>
          <w:rFonts w:ascii="Times New Roman" w:hAnsi="Times New Roman" w:eastAsia="宋体"/>
          <w:sz w:val="18"/>
        </w:rPr>
        <w:t xml:space="preserve"> </w:t>
      </w:r>
      <w:r>
        <w:rPr>
          <w:rFonts w:ascii="Times New Roman" w:hAnsi="Times New Roman" w:eastAsia="宋体"/>
          <w:i/>
          <w:iCs/>
          <w:sz w:val="18"/>
        </w:rPr>
        <w:t xml:space="preserve">Environmental Science &amp; Technology</w:t>
      </w:r>
      <w:r>
        <w:rPr>
          <w:rFonts w:ascii="Times New Roman" w:hAnsi="Times New Roman" w:eastAsia="宋体"/>
          <w:sz w:val="18"/>
        </w:rPr>
        <w:t xml:space="preserve">, 2009, 43(8): 2680-2687. DOI: 10.1021/es801802h.</w:t>
      </w:r>
    </w:p>
    <w:p>
      <w:pPr>
        <w:pStyle w:val="BodyText"/>
        <w:spacing w:line="276" w:lineRule="auto" w:after="60"/>
        <w:ind w:left="420" w:hanging="420"/>
      </w:pPr>
      <w:r>
        <w:rPr>
          <w:rFonts w:ascii="Times New Roman" w:hAnsi="Times New Roman" w:eastAsia="宋体"/>
          <w:sz w:val="18"/>
        </w:rPr>
        <w:t xml:space="preserve">[29] House-Peters L A, Chang H. Urban water demand modeling: Review of concepts, methods, and organizing principles[J].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2011, 47(5): W05401. DOI: 10.1029/2010WR009624.</w:t>
      </w:r>
    </w:p>
    <w:p>
      <w:pPr>
        <w:pStyle w:val="BodyText"/>
        <w:spacing w:line="276" w:lineRule="auto" w:after="60"/>
        <w:ind w:left="420" w:hanging="420"/>
      </w:pPr>
      <w:r>
        <w:rPr>
          <w:rFonts w:ascii="Times New Roman" w:hAnsi="Times New Roman" w:eastAsia="宋体"/>
          <w:sz w:val="18"/>
        </w:rPr>
        <w:t xml:space="preserve">[30] Strubell E, Ganesh A, McCallum A. Energy and policy considerations for deep learning in NLP[C]//</w:t>
      </w:r>
      <w:r>
        <w:rPr>
          <w:rFonts w:ascii="Times New Roman" w:hAnsi="Times New Roman" w:eastAsia="宋体"/>
          <w:i/>
          <w:iCs/>
          <w:sz w:val="18"/>
        </w:rPr>
        <w:t xml:space="preserve">Proceedings of the 57th Annual Meeting of the Association for Computational Linguistics</w:t>
      </w:r>
      <w:r>
        <w:rPr>
          <w:rFonts w:ascii="Times New Roman" w:hAnsi="Times New Roman" w:eastAsia="宋体"/>
          <w:sz w:val="18"/>
        </w:rPr>
        <w:t xml:space="preserve">. Florence: ACL, 2019: 3645-3650. DOI: 10.18653/v1/P19-1355.</w:t>
      </w:r>
    </w:p>
    <w:p>
      <w:pPr>
        <w:pStyle w:val="BodyText"/>
        <w:spacing w:line="276" w:lineRule="auto" w:after="60"/>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2020, 21(248): 1-43.</w:t>
      </w:r>
    </w:p>
    <w:p>
      <w:pPr>
        <w:pStyle w:val="BodyText"/>
        <w:spacing w:line="276" w:lineRule="auto" w:after="60"/>
        <w:ind w:left="420" w:hanging="420"/>
      </w:pPr>
      <w:r>
        <w:rPr>
          <w:rFonts w:ascii="Times New Roman" w:hAnsi="Times New Roman" w:eastAsia="宋体"/>
          <w:sz w:val="18"/>
        </w:rPr>
        <w:t xml:space="preserve">[32] Lannelongue L, Grealey J, Inouye M. Green Algorithms: Quantifying the carbon footprint of computation[J].</w:t>
      </w:r>
      <w:r>
        <w:rPr>
          <w:rFonts w:ascii="Times New Roman" w:hAnsi="Times New Roman" w:eastAsia="宋体"/>
          <w:sz w:val="18"/>
        </w:rPr>
        <w:t xml:space="preserve"> </w:t>
      </w:r>
      <w:r>
        <w:rPr>
          <w:rFonts w:ascii="Times New Roman" w:hAnsi="Times New Roman" w:eastAsia="宋体"/>
          <w:i/>
          <w:iCs/>
          <w:sz w:val="18"/>
        </w:rPr>
        <w:t xml:space="preserve">Advanced Science</w:t>
      </w:r>
      <w:r>
        <w:rPr>
          <w:rFonts w:ascii="Times New Roman" w:hAnsi="Times New Roman" w:eastAsia="宋体"/>
          <w:sz w:val="18"/>
        </w:rPr>
        <w:t xml:space="preserve">, 2021, 8(12): 2100707. DOI: 10.1002/advs.202100707.</w:t>
      </w:r>
    </w:p>
    <w:p>
      <w:pPr>
        <w:pStyle w:val="BodyText"/>
        <w:spacing w:line="276" w:lineRule="auto" w:after="60"/>
        <w:ind w:left="420" w:hanging="420"/>
      </w:pPr>
      <w:r>
        <w:rPr>
          <w:rFonts w:ascii="Times New Roman" w:hAnsi="Times New Roman" w:eastAsia="宋体"/>
          <w:sz w:val="18"/>
        </w:rPr>
        <w:t xml:space="preserve">[33] Schwartz R, Dodge J, Smith N A, Etzioni O. Green AI[J].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2020, 63(12): 54-63. DOI: 10.1145/3381831.</w:t>
      </w:r>
    </w:p>
    <w:p>
      <w:pPr>
        <w:pStyle w:val="BodyText"/>
        <w:spacing w:line="276" w:lineRule="auto" w:after="60"/>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w:t>
      </w:r>
      <w:r>
        <w:rPr>
          <w:rFonts w:ascii="Times New Roman" w:hAnsi="Times New Roman" w:eastAsia="宋体"/>
          <w:sz w:val="18"/>
        </w:rPr>
        <w:t xml:space="preserve"> </w:t>
      </w:r>
      <w:r>
        <w:rPr>
          <w:rFonts w:ascii="Times New Roman" w:hAnsi="Times New Roman" w:eastAsia="宋体"/>
          <w:i/>
          <w:iCs/>
          <w:sz w:val="18"/>
        </w:rPr>
        <w:t xml:space="preserve">Computer</w:t>
      </w:r>
      <w:r>
        <w:rPr>
          <w:rFonts w:ascii="Times New Roman" w:hAnsi="Times New Roman" w:eastAsia="宋体"/>
          <w:sz w:val="18"/>
        </w:rPr>
        <w:t xml:space="preserve">, 2022, 55(7): 18-28. DOI: 10.1109/MC.2022.3148714.</w:t>
      </w:r>
    </w:p>
    <w:p>
      <w:pPr>
        <w:pStyle w:val="BodyText"/>
        <w:spacing w:line="276" w:lineRule="auto" w:after="60"/>
        <w:ind w:left="420" w:hanging="420"/>
      </w:pPr>
      <w:r>
        <w:rPr>
          <w:rFonts w:ascii="Times New Roman" w:hAnsi="Times New Roman" w:eastAsia="宋体"/>
          <w:sz w:val="18"/>
        </w:rPr>
        <w:t xml:space="preserve">[35] Luccioni A S, Viguier S, Ligozat A L. Estimating the carbon footprint of BLOOM, a 176B parameter language model[J].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2023, 24(253): 1-15.</w:t>
      </w:r>
    </w:p>
    <w:p>
      <w:pPr>
        <w:pStyle w:val="BodyText"/>
        <w:spacing w:line="276" w:lineRule="auto" w:after="60"/>
        <w:ind w:left="420" w:hanging="420"/>
      </w:pPr>
      <w:r>
        <w:rPr>
          <w:rFonts w:ascii="Times New Roman" w:hAnsi="Times New Roman" w:eastAsia="宋体"/>
          <w:sz w:val="18"/>
        </w:rPr>
        <w:t xml:space="preserve">[36] Luccioni A S, Jernite Y, Strubell E. Power hungry processing: Watts driving the cost of AI deployment?[C]//</w:t>
      </w:r>
      <w:r>
        <w:rPr>
          <w:rFonts w:ascii="Times New Roman" w:hAnsi="Times New Roman" w:eastAsia="宋体"/>
          <w:i/>
          <w:iCs/>
          <w:sz w:val="18"/>
        </w:rPr>
        <w:t xml:space="preserve">Proceedings of the 2024 ACM Conference on Fairness, Accountability, and Transparency</w:t>
      </w:r>
      <w:r>
        <w:rPr>
          <w:rFonts w:ascii="Times New Roman" w:hAnsi="Times New Roman" w:eastAsia="宋体"/>
          <w:sz w:val="18"/>
        </w:rPr>
        <w:t xml:space="preserve">. New York: ACM, 2024: 85-99. DOI: 10.1145/3630106.3658542.</w:t>
      </w:r>
    </w:p>
    <w:p>
      <w:pPr>
        <w:pStyle w:val="BodyText"/>
        <w:spacing w:line="276" w:lineRule="auto" w:after="60"/>
        <w:ind w:left="420" w:hanging="420"/>
      </w:pPr>
      <w:r>
        <w:rPr>
          <w:rFonts w:ascii="Times New Roman" w:hAnsi="Times New Roman" w:eastAsia="宋体"/>
          <w:sz w:val="18"/>
        </w:rPr>
        <w:t xml:space="preserve">[37] Wang P, Zhang L Y, Tzachor A, Chen W Q. E-waste challenges of generative artificial intelligence[J].</w:t>
      </w:r>
      <w:r>
        <w:rPr>
          <w:rFonts w:ascii="Times New Roman" w:hAnsi="Times New Roman" w:eastAsia="宋体"/>
          <w:sz w:val="18"/>
        </w:rPr>
        <w:t xml:space="preserve"> </w:t>
      </w:r>
      <w:r>
        <w:rPr>
          <w:rFonts w:ascii="Times New Roman" w:hAnsi="Times New Roman" w:eastAsia="宋体"/>
          <w:i/>
          <w:iCs/>
          <w:sz w:val="18"/>
        </w:rPr>
        <w:t xml:space="preserve">Nature Computational Science</w:t>
      </w:r>
      <w:r>
        <w:rPr>
          <w:rFonts w:ascii="Times New Roman" w:hAnsi="Times New Roman" w:eastAsia="宋体"/>
          <w:sz w:val="18"/>
        </w:rPr>
        <w:t xml:space="preserve">, 2024, 4: 818-823. DOI: 10.1038/s43588-024-00712-6.</w:t>
      </w:r>
    </w:p>
    <w:p>
      <w:pPr>
        <w:pStyle w:val="BodyText"/>
        <w:spacing w:line="276" w:lineRule="auto" w:after="60"/>
        <w:ind w:left="420" w:hanging="420"/>
      </w:pPr>
      <w:r>
        <w:rPr>
          <w:rFonts w:ascii="Times New Roman" w:hAnsi="Times New Roman" w:eastAsia="宋体"/>
          <w:sz w:val="18"/>
        </w:rPr>
        <w:t xml:space="preserve">[38] Li P, Yang J, Islam M A, Ren S. Making AI Less</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Thirsty</w:t>
      </w:r>
      <w:r>
        <w:rPr>
          <w:rFonts w:ascii="Times New Roman" w:hAnsi="Times New Roman" w:eastAsia="宋体"/>
          <w:sz w:val="18"/>
        </w:rPr>
        <w:t xml:space="preserve">”</w:t>
      </w:r>
      <w:r>
        <w:rPr>
          <w:rFonts w:ascii="Times New Roman" w:hAnsi="Times New Roman" w:eastAsia="宋体"/>
          <w:sz w:val="18"/>
        </w:rPr>
        <w:t xml:space="preserve">: Uncovering and addressing the secret water footprint of AI models[J].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2025, 68(7): 54-61. DOI: 10.1145/3724499.</w:t>
      </w:r>
    </w:p>
    <w:p>
      <w:pPr>
        <w:pStyle w:val="BodyText"/>
        <w:spacing w:line="276" w:lineRule="auto" w:after="60"/>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2025, 526: 146528. DOI: 10.1016/j.jclepro.2025.146528.</w:t>
      </w:r>
    </w:p>
    <w:p>
      <w:pPr>
        <w:pStyle w:val="BodyText"/>
        <w:spacing w:line="276" w:lineRule="auto" w:after="60"/>
        <w:ind w:left="420" w:hanging="420"/>
      </w:pPr>
      <w:r>
        <w:rPr>
          <w:rFonts w:ascii="Times New Roman" w:hAnsi="Times New Roman" w:eastAsia="宋体"/>
          <w:sz w:val="18"/>
        </w:rPr>
        <w:t xml:space="preserve">[40] Alissa H, Nick T, Raniwala A, et al. Using life cycle assessment to drive innovation for sustainable cool clouds[J].</w:t>
      </w:r>
      <w:r>
        <w:rPr>
          <w:rFonts w:ascii="Times New Roman" w:hAnsi="Times New Roman" w:eastAsia="宋体"/>
          <w:sz w:val="18"/>
        </w:rPr>
        <w:t xml:space="preserve"> </w:t>
      </w:r>
      <w:r>
        <w:rPr>
          <w:rFonts w:ascii="Times New Roman" w:hAnsi="Times New Roman" w:eastAsia="宋体"/>
          <w:i/>
          <w:iCs/>
          <w:sz w:val="18"/>
        </w:rPr>
        <w:t xml:space="preserve">Nature</w:t>
      </w:r>
      <w:r>
        <w:rPr>
          <w:rFonts w:ascii="Times New Roman" w:hAnsi="Times New Roman" w:eastAsia="宋体"/>
          <w:sz w:val="18"/>
        </w:rPr>
        <w:t xml:space="preserve">, 2025, 641: 331-338. DOI: 10.1038/s41586-025-08832-3.</w:t>
      </w:r>
    </w:p>
    <w:p>
      <w:pPr>
        <w:pStyle w:val="BodyText"/>
        <w:spacing w:line="276" w:lineRule="auto" w:after="60"/>
        <w:ind w:left="420" w:hanging="420"/>
      </w:pPr>
      <w:r>
        <w:rPr>
          <w:rFonts w:ascii="Times New Roman" w:hAnsi="Times New Roman" w:eastAsia="宋体"/>
          <w:sz w:val="18"/>
        </w:rPr>
        <w:t xml:space="preserve">[41] Wang A, Zhang C, Xu T, Savić D, Jiang J, Xiao P, et al. Global data–water symbiosis reduces AI infrastructure’s carbon and water footprint[J].</w:t>
      </w:r>
      <w:r>
        <w:rPr>
          <w:rFonts w:ascii="Times New Roman" w:hAnsi="Times New Roman" w:eastAsia="宋体"/>
          <w:sz w:val="18"/>
        </w:rPr>
        <w:t xml:space="preserve"> </w:t>
      </w:r>
      <w:r>
        <w:rPr>
          <w:rFonts w:ascii="Times New Roman" w:hAnsi="Times New Roman" w:eastAsia="宋体"/>
          <w:i/>
          <w:iCs/>
          <w:sz w:val="18"/>
        </w:rPr>
        <w:t xml:space="preserve">Environmental Science and Ecotechnology</w:t>
      </w:r>
      <w:r>
        <w:rPr>
          <w:rFonts w:ascii="Times New Roman" w:hAnsi="Times New Roman" w:eastAsia="宋体"/>
          <w:sz w:val="18"/>
        </w:rPr>
        <w:t xml:space="preserve">, 2026, 31: 100702. DOI: 10.1016/j.ese.2026.100702.</w:t>
      </w:r>
    </w:p>
    <w:p>
      <w:pPr>
        <w:pStyle w:val="BodyText"/>
        <w:spacing w:line="276" w:lineRule="auto" w:after="60"/>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31: 622-638. DOI: 10.1016/j.rser.2013.12.007.</w:t>
      </w:r>
    </w:p>
    <w:p>
      <w:pPr>
        <w:pStyle w:val="BodyText"/>
        <w:spacing w:line="276" w:lineRule="auto" w:after="60"/>
        <w:ind w:left="420" w:hanging="420"/>
      </w:pPr>
      <w:r>
        <w:rPr>
          <w:rFonts w:ascii="Times New Roman" w:hAnsi="Times New Roman" w:eastAsia="宋体"/>
          <w:sz w:val="18"/>
        </w:rPr>
        <w:t xml:space="preserve">[43] Zhang H, Shao S, Xu H, Zou H, Tian C. Free cooling of data centers: A review[J].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35: 171-182. DOI: 10.1016/j.rser.2014.04.017.</w:t>
      </w:r>
    </w:p>
    <w:p>
      <w:pPr>
        <w:pStyle w:val="BodyText"/>
        <w:spacing w:line="276" w:lineRule="auto" w:after="60"/>
        <w:ind w:left="420" w:hanging="420"/>
      </w:pPr>
      <w:r>
        <w:rPr>
          <w:rFonts w:ascii="Times New Roman" w:hAnsi="Times New Roman" w:eastAsia="宋体"/>
          <w:sz w:val="18"/>
        </w:rPr>
        <w:t xml:space="preserve">[44] Daraghmeh H M, Wang C C. A review of current status of free cooling in datacenters[J].</w:t>
      </w:r>
      <w:r>
        <w:rPr>
          <w:rFonts w:ascii="Times New Roman" w:hAnsi="Times New Roman" w:eastAsia="宋体"/>
          <w:sz w:val="18"/>
        </w:rPr>
        <w:t xml:space="preserve"> </w:t>
      </w:r>
      <w:r>
        <w:rPr>
          <w:rFonts w:ascii="Times New Roman" w:hAnsi="Times New Roman" w:eastAsia="宋体"/>
          <w:i/>
          <w:iCs/>
          <w:sz w:val="18"/>
        </w:rPr>
        <w:t xml:space="preserve">Applied Thermal Engineering</w:t>
      </w:r>
      <w:r>
        <w:rPr>
          <w:rFonts w:ascii="Times New Roman" w:hAnsi="Times New Roman" w:eastAsia="宋体"/>
          <w:sz w:val="18"/>
        </w:rPr>
        <w:t xml:space="preserve">, 2017, 114: 1224-1239. DOI: 10.1016/j.applthermaleng.2016.10.093.</w:t>
      </w:r>
    </w:p>
    <w:p>
      <w:pPr>
        <w:pStyle w:val="BodyText"/>
        <w:spacing w:line="276" w:lineRule="auto" w:after="60"/>
        <w:ind w:left="420" w:hanging="420"/>
      </w:pPr>
      <w:r>
        <w:rPr>
          <w:rFonts w:ascii="Times New Roman" w:hAnsi="Times New Roman" w:eastAsia="宋体"/>
          <w:sz w:val="18"/>
        </w:rPr>
        <w:t xml:space="preserve">[45] Yuan X, Zhou X, Pan Y, Kosonen R, Cai H, Gao Y, Wang Y. Phase change cooling in data centers: A review[J].</w:t>
      </w:r>
      <w:r>
        <w:rPr>
          <w:rFonts w:ascii="Times New Roman" w:hAnsi="Times New Roman" w:eastAsia="宋体"/>
          <w:sz w:val="18"/>
        </w:rPr>
        <w:t xml:space="preserve"> </w:t>
      </w:r>
      <w:r>
        <w:rPr>
          <w:rFonts w:ascii="Times New Roman" w:hAnsi="Times New Roman" w:eastAsia="宋体"/>
          <w:i/>
          <w:iCs/>
          <w:sz w:val="18"/>
        </w:rPr>
        <w:t xml:space="preserve">Energy and Buildings</w:t>
      </w:r>
      <w:r>
        <w:rPr>
          <w:rFonts w:ascii="Times New Roman" w:hAnsi="Times New Roman" w:eastAsia="宋体"/>
          <w:sz w:val="18"/>
        </w:rPr>
        <w:t xml:space="preserve">, 2021, 236: 110764. DOI: 10.1016/j.enbuild.2021.110764.</w:t>
      </w:r>
    </w:p>
    <w:p>
      <w:pPr>
        <w:pStyle w:val="BodyText"/>
        <w:spacing w:line="276" w:lineRule="auto" w:after="60"/>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2022, 334: 130280. DOI: 10.1016/j.jclepro.2021.130280.</w:t>
      </w:r>
    </w:p>
    <w:p>
      <w:pPr>
        <w:pStyle w:val="BodyText"/>
        <w:spacing w:line="276" w:lineRule="auto" w:after="60"/>
        <w:ind w:left="420" w:hanging="420"/>
      </w:pPr>
      <w:r>
        <w:rPr>
          <w:rFonts w:ascii="Times New Roman" w:hAnsi="Times New Roman" w:eastAsia="宋体"/>
          <w:sz w:val="18"/>
        </w:rPr>
        <w:t xml:space="preserve">[47] Chen H, Li D. Current status and challenges for liquid-cooled data centers[J].</w:t>
      </w:r>
      <w:r>
        <w:rPr>
          <w:rFonts w:ascii="Times New Roman" w:hAnsi="Times New Roman" w:eastAsia="宋体"/>
          <w:sz w:val="18"/>
        </w:rPr>
        <w:t xml:space="preserve"> </w:t>
      </w:r>
      <w:r>
        <w:rPr>
          <w:rFonts w:ascii="Times New Roman" w:hAnsi="Times New Roman" w:eastAsia="宋体"/>
          <w:i/>
          <w:iCs/>
          <w:sz w:val="18"/>
        </w:rPr>
        <w:t xml:space="preserve">Frontiers in Energy Research</w:t>
      </w:r>
      <w:r>
        <w:rPr>
          <w:rFonts w:ascii="Times New Roman" w:hAnsi="Times New Roman" w:eastAsia="宋体"/>
          <w:sz w:val="18"/>
        </w:rPr>
        <w:t xml:space="preserve">, 2022, 10: 952680. DOI: 10.3389/fenrg.2022.952680.</w:t>
      </w:r>
    </w:p>
    <w:p>
      <w:pPr>
        <w:pStyle w:val="BodyText"/>
        <w:spacing w:line="276" w:lineRule="auto" w:after="60"/>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w:t>
      </w:r>
      <w:r>
        <w:rPr>
          <w:rFonts w:ascii="Times New Roman" w:hAnsi="Times New Roman" w:eastAsia="宋体"/>
          <w:sz w:val="18"/>
        </w:rPr>
        <w:t xml:space="preserve"> </w:t>
      </w:r>
      <w:r>
        <w:rPr>
          <w:rFonts w:ascii="Times New Roman" w:hAnsi="Times New Roman" w:eastAsia="宋体"/>
          <w:i/>
          <w:iCs/>
          <w:sz w:val="18"/>
        </w:rPr>
        <w:t xml:space="preserve">Water Environment Research</w:t>
      </w:r>
      <w:r>
        <w:rPr>
          <w:rFonts w:ascii="Times New Roman" w:hAnsi="Times New Roman" w:eastAsia="宋体"/>
          <w:sz w:val="18"/>
        </w:rPr>
        <w:t xml:space="preserve">, 2010, 82(12): 2346-2356. DOI: 10.2175/106143010X12681059117094.</w:t>
      </w:r>
    </w:p>
    <w:p>
      <w:pPr>
        <w:pStyle w:val="BodyText"/>
        <w:spacing w:line="276" w:lineRule="auto" w:after="60"/>
        <w:ind w:left="420" w:hanging="420"/>
      </w:pPr>
      <w:r>
        <w:rPr>
          <w:rFonts w:ascii="Times New Roman" w:hAnsi="Times New Roman" w:eastAsia="宋体"/>
          <w:sz w:val="18"/>
        </w:rPr>
        <w:t xml:space="preserve">[49] Liu W, Chien S H, Dzombak D A, Vidic R D. Mineral scaling mitigation in cooling systems using tertiary-treated municipal wastewater[J].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46(14): 4488-4498. DOI: 10.1016/j.watres.2012.05.041.</w:t>
      </w:r>
    </w:p>
    <w:p>
      <w:pPr>
        <w:pStyle w:val="BodyText"/>
        <w:spacing w:line="276" w:lineRule="auto" w:after="60"/>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46(19): 6508-6518. DOI: 10.1016/j.watres.2012.09.027.</w:t>
      </w:r>
    </w:p>
    <w:p>
      <w:pPr>
        <w:pStyle w:val="BodyText"/>
        <w:spacing w:line="276" w:lineRule="auto" w:after="60"/>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w:t>
      </w:r>
      <w:r>
        <w:rPr>
          <w:rFonts w:ascii="Times New Roman" w:hAnsi="Times New Roman" w:eastAsia="宋体"/>
          <w:sz w:val="18"/>
        </w:rPr>
        <w:t xml:space="preserve"> </w:t>
      </w:r>
      <w:r>
        <w:rPr>
          <w:rFonts w:ascii="Times New Roman" w:hAnsi="Times New Roman" w:eastAsia="宋体"/>
          <w:i/>
          <w:iCs/>
          <w:sz w:val="18"/>
        </w:rPr>
        <w:t xml:space="preserve">Corrosion Science</w:t>
      </w:r>
      <w:r>
        <w:rPr>
          <w:rFonts w:ascii="Times New Roman" w:hAnsi="Times New Roman" w:eastAsia="宋体"/>
          <w:sz w:val="18"/>
        </w:rPr>
        <w:t xml:space="preserve">, 2012, 61: 231-241. DOI: 10.1016/j.corsci.2012.04.042.</w:t>
      </w:r>
    </w:p>
    <w:p>
      <w:pPr>
        <w:pStyle w:val="BodyText"/>
        <w:spacing w:line="276" w:lineRule="auto" w:after="60"/>
        <w:ind w:left="420" w:hanging="420"/>
      </w:pPr>
      <w:r>
        <w:rPr>
          <w:rFonts w:ascii="Times New Roman" w:hAnsi="Times New Roman" w:eastAsia="宋体"/>
          <w:sz w:val="18"/>
        </w:rPr>
        <w:t xml:space="preserve">[52] Kornboonraksa T. Using tertiary-treated municipal wastewater as makeup water by reverse osmosis membrane[J].</w:t>
      </w:r>
      <w:r>
        <w:rPr>
          <w:rFonts w:ascii="Times New Roman" w:hAnsi="Times New Roman" w:eastAsia="宋体"/>
          <w:sz w:val="18"/>
        </w:rPr>
        <w:t xml:space="preserve"> </w:t>
      </w:r>
      <w:r>
        <w:rPr>
          <w:rFonts w:ascii="Times New Roman" w:hAnsi="Times New Roman" w:eastAsia="宋体"/>
          <w:i/>
          <w:iCs/>
          <w:sz w:val="18"/>
        </w:rPr>
        <w:t xml:space="preserve">Desalination and Water Treatment</w:t>
      </w:r>
      <w:r>
        <w:rPr>
          <w:rFonts w:ascii="Times New Roman" w:hAnsi="Times New Roman" w:eastAsia="宋体"/>
          <w:sz w:val="18"/>
        </w:rPr>
        <w:t xml:space="preserve">, 2016, 57(16): 7422-7431. DOI: 10.1080/19443994.2015.1024937.</w:t>
      </w:r>
    </w:p>
    <w:p>
      <w:pPr>
        <w:pStyle w:val="BodyText"/>
        <w:spacing w:line="276" w:lineRule="auto" w:after="60"/>
        <w:ind w:left="420" w:hanging="420"/>
      </w:pPr>
      <w:r>
        <w:rPr>
          <w:rFonts w:ascii="Times New Roman" w:hAnsi="Times New Roman" w:eastAsia="宋体"/>
          <w:sz w:val="18"/>
        </w:rPr>
        <w:t xml:space="preserve">[53] 段春青, 刘昌明, 陈晓楠, 柳文华, 郑红星. 区域水资源承载力概念及研究方法的探讨[J].</w:t>
      </w:r>
      <w:r>
        <w:rPr>
          <w:rFonts w:ascii="Times New Roman" w:hAnsi="Times New Roman" w:eastAsia="宋体"/>
          <w:sz w:val="18"/>
        </w:rPr>
        <w:t xml:space="preserve"> </w:t>
      </w:r>
      <w:r>
        <w:rPr>
          <w:rFonts w:ascii="Times New Roman" w:hAnsi="Times New Roman" w:eastAsia="宋体"/>
          <w:i/>
          <w:iCs/>
          <w:sz w:val="18"/>
        </w:rPr>
        <w:t xml:space="preserve">地理学报</w:t>
      </w:r>
      <w:r>
        <w:rPr>
          <w:rFonts w:ascii="Times New Roman" w:hAnsi="Times New Roman" w:eastAsia="宋体"/>
          <w:sz w:val="18"/>
        </w:rPr>
        <w:t xml:space="preserve">, 2010, 65(1): 82-90. DOI: 10.11821/xb201001009.</w:t>
      </w:r>
    </w:p>
    <w:p>
      <w:pPr>
        <w:pStyle w:val="BodyText"/>
        <w:spacing w:line="276" w:lineRule="auto" w:after="60"/>
        <w:ind w:left="420" w:hanging="420"/>
      </w:pPr>
      <w:r>
        <w:rPr>
          <w:rFonts w:ascii="Times New Roman" w:hAnsi="Times New Roman" w:eastAsia="宋体"/>
          <w:sz w:val="18"/>
        </w:rPr>
        <w:t xml:space="preserve">[54] Qin G, Li H, Wang X, Ding J. Research on water resources design carrying capacity[J].</w:t>
      </w:r>
      <w:r>
        <w:rPr>
          <w:rFonts w:ascii="Times New Roman" w:hAnsi="Times New Roman" w:eastAsia="宋体"/>
          <w:sz w:val="18"/>
        </w:rPr>
        <w:t xml:space="preserve"> </w:t>
      </w:r>
      <w:r>
        <w:rPr>
          <w:rFonts w:ascii="Times New Roman" w:hAnsi="Times New Roman" w:eastAsia="宋体"/>
          <w:i/>
          <w:iCs/>
          <w:sz w:val="18"/>
        </w:rPr>
        <w:t xml:space="preserve">Water</w:t>
      </w:r>
      <w:r>
        <w:rPr>
          <w:rFonts w:ascii="Times New Roman" w:hAnsi="Times New Roman" w:eastAsia="宋体"/>
          <w:sz w:val="18"/>
        </w:rPr>
        <w:t xml:space="preserve">, 2016, 8(4): 157. DOI: 10.3390/w8040157.</w:t>
      </w:r>
    </w:p>
    <w:p>
      <w:pPr>
        <w:pStyle w:val="BodyText"/>
        <w:spacing w:line="276" w:lineRule="auto" w:after="60"/>
        <w:ind w:left="420" w:hanging="420"/>
      </w:pPr>
      <w:r>
        <w:rPr>
          <w:rFonts w:ascii="Times New Roman" w:hAnsi="Times New Roman" w:eastAsia="宋体"/>
          <w:sz w:val="18"/>
        </w:rPr>
        <w:t xml:space="preserve">[55] Feng L H, Zhang X C, Luo G Y. Application of system dynamics in analyzing the carrying capacity of water resources in Yiwu City, China[J].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2008, 79(3): 269-278. DOI: 10.1016/j.matcom.2007.11.018.</w:t>
      </w:r>
    </w:p>
    <w:p>
      <w:pPr>
        <w:pStyle w:val="BodyText"/>
        <w:spacing w:line="276" w:lineRule="auto" w:after="60"/>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w:t>
      </w:r>
      <w:r>
        <w:rPr>
          <w:rFonts w:ascii="Times New Roman" w:hAnsi="Times New Roman" w:eastAsia="宋体"/>
          <w:sz w:val="18"/>
        </w:rPr>
        <w:t xml:space="preserve"> </w:t>
      </w:r>
      <w:r>
        <w:rPr>
          <w:rFonts w:ascii="Times New Roman" w:hAnsi="Times New Roman" w:eastAsia="宋体"/>
          <w:i/>
          <w:iCs/>
          <w:sz w:val="18"/>
        </w:rPr>
        <w:t xml:space="preserve">Environment, Development and Sustainability</w:t>
      </w:r>
      <w:r>
        <w:rPr>
          <w:rFonts w:ascii="Times New Roman" w:hAnsi="Times New Roman" w:eastAsia="宋体"/>
          <w:sz w:val="18"/>
        </w:rPr>
        <w:t xml:space="preserve">, 2011, 13(2): 331-351. DOI: 10.1007/s10668-010-9264-6.</w:t>
      </w:r>
    </w:p>
    <w:p>
      <w:pPr>
        <w:pStyle w:val="BodyText"/>
        <w:spacing w:line="276" w:lineRule="auto" w:after="60"/>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2021, 122: 107232. DOI: 10.1016/j.ecolind.2020.107232.</w:t>
      </w:r>
    </w:p>
    <w:p>
      <w:pPr>
        <w:pStyle w:val="BodyText"/>
        <w:spacing w:line="276" w:lineRule="auto" w:after="60"/>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2022, 135: 108528. DOI: 10.1016/j.ecolind.2021.108528.</w:t>
      </w:r>
    </w:p>
    <w:p>
      <w:pPr>
        <w:pStyle w:val="BodyText"/>
        <w:spacing w:line="276" w:lineRule="auto" w:after="60"/>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2018, 134: 282-293. DOI: 10.1016/j.resconrec.2018.03.030.</w:t>
      </w:r>
    </w:p>
    <w:p>
      <w:pPr>
        <w:pStyle w:val="BodyText"/>
        <w:spacing w:line="276" w:lineRule="auto" w:after="60"/>
        <w:ind w:left="420" w:hanging="420"/>
      </w:pPr>
      <w:r>
        <w:rPr>
          <w:rFonts w:ascii="Times New Roman" w:hAnsi="Times New Roman" w:eastAsia="宋体"/>
          <w:sz w:val="18"/>
        </w:rPr>
        <w:t xml:space="preserve">[60] Zhou X Y, Zheng B, Khu S T. Validation of the hypothesis on carrying capacity limits using the water environment carrying capacity[J].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2019, 665: 774-784. DOI: 10.1016/j.scitotenv.2019.02.146.</w:t>
      </w:r>
    </w:p>
    <w:p>
      <w:pPr>
        <w:pStyle w:val="BodyText"/>
        <w:spacing w:line="276" w:lineRule="auto" w:after="60"/>
        <w:ind w:left="420" w:hanging="420"/>
      </w:pPr>
      <w:r>
        <w:rPr>
          <w:rFonts w:ascii="Times New Roman" w:hAnsi="Times New Roman" w:eastAsia="宋体"/>
          <w:sz w:val="18"/>
        </w:rPr>
        <w:t xml:space="preserve">[61] He C, Liu Z, Wu J, Pan X, Fang Z, Li J, Bryan B A. Future global urban water scarcity and potential solutions[J].</w:t>
      </w:r>
      <w:r>
        <w:rPr>
          <w:rFonts w:ascii="Times New Roman" w:hAnsi="Times New Roman" w:eastAsia="宋体"/>
          <w:sz w:val="18"/>
        </w:rPr>
        <w:t xml:space="preserve"> </w:t>
      </w:r>
      <w:r>
        <w:rPr>
          <w:rFonts w:ascii="Times New Roman" w:hAnsi="Times New Roman" w:eastAsia="宋体"/>
          <w:i/>
          <w:iCs/>
          <w:sz w:val="18"/>
        </w:rPr>
        <w:t xml:space="preserve">Nature Communications</w:t>
      </w:r>
      <w:r>
        <w:rPr>
          <w:rFonts w:ascii="Times New Roman" w:hAnsi="Times New Roman" w:eastAsia="宋体"/>
          <w:sz w:val="18"/>
        </w:rPr>
        <w:t xml:space="preserve">, 2021, 12: 4667. DOI: 10.1038/s41467-021-25026-3.</w:t>
      </w:r>
    </w:p>
    <w:p>
      <w:pPr>
        <w:pStyle w:val="BodyText"/>
        <w:spacing w:line="276" w:lineRule="auto" w:after="60"/>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1982, 18(1): 14-20. DOI: 10.1029/WR018i001p00014.</w:t>
      </w:r>
    </w:p>
    <w:p>
      <w:pPr>
        <w:pStyle w:val="BodyText"/>
        <w:spacing w:line="276" w:lineRule="auto" w:after="60"/>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w:t>
      </w:r>
      <w:r>
        <w:rPr>
          <w:rFonts w:ascii="Times New Roman" w:hAnsi="Times New Roman" w:eastAsia="宋体"/>
          <w:sz w:val="18"/>
        </w:rPr>
        <w:t xml:space="preserve"> </w:t>
      </w:r>
      <w:r>
        <w:rPr>
          <w:rFonts w:ascii="Times New Roman" w:hAnsi="Times New Roman" w:eastAsia="宋体"/>
          <w:i/>
          <w:iCs/>
          <w:sz w:val="18"/>
        </w:rPr>
        <w:t xml:space="preserve">Journal of Hydrology</w:t>
      </w:r>
      <w:r>
        <w:rPr>
          <w:rFonts w:ascii="Times New Roman" w:hAnsi="Times New Roman" w:eastAsia="宋体"/>
          <w:sz w:val="18"/>
        </w:rPr>
        <w:t xml:space="preserve">, 2009, 377(1-2): 80-91. DOI: 10.1016/j.jhydrol.2009.08.003.</w:t>
      </w:r>
    </w:p>
    <w:p>
      <w:pPr>
        <w:pStyle w:val="BodyText"/>
        <w:spacing w:line="276" w:lineRule="auto" w:after="60"/>
        <w:ind w:left="420" w:hanging="420"/>
      </w:pPr>
      <w:r>
        <w:rPr>
          <w:rFonts w:ascii="Times New Roman" w:hAnsi="Times New Roman" w:eastAsia="宋体"/>
          <w:sz w:val="18"/>
        </w:rPr>
        <w:t xml:space="preserve">[64] Morris M D. Factorial sampling plans for preliminary computational experiments[J].</w:t>
      </w:r>
      <w:r>
        <w:rPr>
          <w:rFonts w:ascii="Times New Roman" w:hAnsi="Times New Roman" w:eastAsia="宋体"/>
          <w:sz w:val="18"/>
        </w:rPr>
        <w:t xml:space="preserve"> </w:t>
      </w:r>
      <w:r>
        <w:rPr>
          <w:rFonts w:ascii="Times New Roman" w:hAnsi="Times New Roman" w:eastAsia="宋体"/>
          <w:i/>
          <w:iCs/>
          <w:sz w:val="18"/>
        </w:rPr>
        <w:t xml:space="preserve">Technometrics</w:t>
      </w:r>
      <w:r>
        <w:rPr>
          <w:rFonts w:ascii="Times New Roman" w:hAnsi="Times New Roman" w:eastAsia="宋体"/>
          <w:sz w:val="18"/>
        </w:rPr>
        <w:t xml:space="preserve">, 1991, 33(2): 161-174. DOI: 10.1080/00401706.1991.10484804.</w:t>
      </w:r>
    </w:p>
    <w:p>
      <w:pPr>
        <w:pStyle w:val="BodyText"/>
        <w:spacing w:line="276" w:lineRule="auto" w:after="60"/>
        <w:ind w:left="420" w:hanging="420"/>
      </w:pPr>
      <w:r>
        <w:rPr>
          <w:rFonts w:ascii="Times New Roman" w:hAnsi="Times New Roman" w:eastAsia="宋体"/>
          <w:sz w:val="18"/>
        </w:rPr>
        <w:t xml:space="preserve">[65] Campolongo F, Cariboni J, Saltelli A. An effective screening design for sensitivity analysis of large models[J].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2007, 22(10): 1509-1518. DOI: 10.1016/j.envsoft.2006.10.004.</w:t>
      </w:r>
    </w:p>
    <w:p>
      <w:pPr>
        <w:pStyle w:val="BodyText"/>
        <w:spacing w:line="276" w:lineRule="auto" w:after="60"/>
        <w:ind w:left="420" w:hanging="420"/>
      </w:pPr>
      <w:r>
        <w:rPr>
          <w:rFonts w:ascii="Times New Roman" w:hAnsi="Times New Roman" w:eastAsia="宋体"/>
          <w:sz w:val="18"/>
        </w:rPr>
        <w:t xml:space="preserve">[66] Sobol I M. Global sensitivity indices for nonlinear mathematical models and their Monte Carlo estimates[J].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2001, 55(1-3): 271-280. DOI: 10.1016/S0378-4754(00)00270-6.</w:t>
      </w:r>
    </w:p>
    <w:p>
      <w:pPr>
        <w:pStyle w:val="BodyText"/>
        <w:spacing w:line="276" w:lineRule="auto" w:after="60"/>
        <w:ind w:left="420" w:hanging="420"/>
      </w:pPr>
      <w:r>
        <w:rPr>
          <w:rFonts w:ascii="Times New Roman" w:hAnsi="Times New Roman" w:eastAsia="宋体"/>
          <w:sz w:val="18"/>
        </w:rPr>
        <w:t xml:space="preserve">[67] Saltelli A, Ratto M, Andres T, Campolongo F, Cariboni J, Gatelli D, et al. </w:t>
      </w:r>
      <w:r>
        <w:rPr>
          <w:rFonts w:ascii="Times New Roman" w:hAnsi="Times New Roman" w:eastAsia="宋体"/>
          <w:i/>
          <w:iCs/>
          <w:sz w:val="18"/>
        </w:rPr>
        <w:t xml:space="preserve">Global Sensitivity Analysis: The Primer</w:t>
      </w:r>
      <w:r>
        <w:rPr>
          <w:rFonts w:ascii="Times New Roman" w:hAnsi="Times New Roman" w:eastAsia="宋体"/>
          <w:sz w:val="18"/>
        </w:rPr>
        <w:t xml:space="preserve">[M]. Chichester: John Wiley &amp; Sons, 2008. DOI: 10.1002/9780470725184.</w:t>
      </w:r>
    </w:p>
    <w:p>
      <w:pPr>
        <w:pStyle w:val="BodyText"/>
        <w:spacing w:line="276" w:lineRule="auto" w:after="60"/>
        <w:ind w:left="420" w:hanging="420"/>
      </w:pPr>
      <w:r>
        <w:rPr>
          <w:rFonts w:ascii="Times New Roman" w:hAnsi="Times New Roman" w:eastAsia="宋体"/>
          <w:sz w:val="18"/>
        </w:rPr>
        <w:t xml:space="preserve">[68] Razavi S, Gupta H V. What do we mean by sensitivity analysis? The need for comprehensive characterization of</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global</w:t>
      </w:r>
      <w:r>
        <w:rPr>
          <w:rFonts w:ascii="Times New Roman" w:hAnsi="Times New Roman" w:eastAsia="宋体"/>
          <w:sz w:val="18"/>
        </w:rPr>
        <w:t xml:space="preserve">”</w:t>
      </w:r>
      <w:r>
        <w:rPr>
          <w:rFonts w:ascii="Times New Roman" w:hAnsi="Times New Roman" w:eastAsia="宋体"/>
          <w:sz w:val="18"/>
        </w:rPr>
        <w:t xml:space="preserve"> </w:t>
      </w:r>
      <w:r>
        <w:rPr>
          <w:rFonts w:ascii="Times New Roman" w:hAnsi="Times New Roman" w:eastAsia="宋体"/>
          <w:sz w:val="18"/>
        </w:rPr>
        <w:t xml:space="preserve">sensitivity in Earth and environmental systems models[J].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2015, 51(5): 3070-3092. DOI: 10.1002/2014WR016527.</w:t>
      </w:r>
    </w:p>
    <w:p>
      <w:pPr>
        <w:pStyle w:val="BodyText"/>
        <w:spacing w:line="276" w:lineRule="auto" w:after="60"/>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69: 437-451. DOI: 10.1016/j.envsoft.2015.02.021.</w:t>
      </w:r>
    </w:p>
    <w:p>
      <w:pPr>
        <w:pStyle w:val="BodyText"/>
        <w:spacing w:line="276" w:lineRule="auto" w:after="60"/>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w:t>
      </w:r>
      <w:r>
        <w:rPr>
          <w:rFonts w:ascii="Times New Roman" w:hAnsi="Times New Roman" w:eastAsia="宋体"/>
          <w:sz w:val="18"/>
        </w:rPr>
        <w:t xml:space="preserve"> </w:t>
      </w:r>
      <w:r>
        <w:rPr>
          <w:rFonts w:ascii="Times New Roman" w:hAnsi="Times New Roman" w:eastAsia="宋体"/>
          <w:i/>
          <w:iCs/>
          <w:sz w:val="18"/>
        </w:rPr>
        <w:t xml:space="preserve">Technological Forecasting and Social Change</w:t>
      </w:r>
      <w:r>
        <w:rPr>
          <w:rFonts w:ascii="Times New Roman" w:hAnsi="Times New Roman" w:eastAsia="宋体"/>
          <w:sz w:val="18"/>
        </w:rPr>
        <w:t xml:space="preserve">, 2010, 77(6): 960-974. DOI: 10.1016/j.techfore.2010.04.007.</w:t>
      </w:r>
    </w:p>
    <w:p>
      <w:pPr>
        <w:pStyle w:val="BodyText"/>
        <w:spacing w:line="276" w:lineRule="auto" w:after="60"/>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w:t>
      </w:r>
      <w:r>
        <w:rPr>
          <w:rFonts w:ascii="Times New Roman" w:hAnsi="Times New Roman" w:eastAsia="宋体"/>
          <w:sz w:val="18"/>
        </w:rPr>
        <w:t xml:space="preserve"> </w:t>
      </w:r>
      <w:r>
        <w:rPr>
          <w:rFonts w:ascii="Times New Roman" w:hAnsi="Times New Roman" w:eastAsia="宋体"/>
          <w:i/>
          <w:iCs/>
          <w:sz w:val="18"/>
        </w:rPr>
        <w:t xml:space="preserve">Global Environmental Change</w:t>
      </w:r>
      <w:r>
        <w:rPr>
          <w:rFonts w:ascii="Times New Roman" w:hAnsi="Times New Roman" w:eastAsia="宋体"/>
          <w:sz w:val="18"/>
        </w:rPr>
        <w:t xml:space="preserve">, 2013, 23(2): 485-498. DOI: 10.1016/j.gloenvcha.2012.12.006.</w:t>
      </w:r>
    </w:p>
    <w:p>
      <w:pPr>
        <w:pStyle w:val="BodyText"/>
        <w:spacing w:line="276" w:lineRule="auto" w:after="60"/>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w:t>
      </w:r>
      <w:r>
        <w:rPr>
          <w:rFonts w:ascii="Times New Roman" w:hAnsi="Times New Roman" w:eastAsia="宋体"/>
          <w:sz w:val="18"/>
        </w:rPr>
        <w:t xml:space="preserve"> </w:t>
      </w:r>
      <w:r>
        <w:rPr>
          <w:rFonts w:ascii="Times New Roman" w:hAnsi="Times New Roman" w:eastAsia="宋体"/>
          <w:i/>
          <w:iCs/>
          <w:sz w:val="18"/>
        </w:rPr>
        <w:t xml:space="preserve">Climatic Change</w:t>
      </w:r>
      <w:r>
        <w:rPr>
          <w:rFonts w:ascii="Times New Roman" w:hAnsi="Times New Roman" w:eastAsia="宋体"/>
          <w:sz w:val="18"/>
        </w:rPr>
        <w:t xml:space="preserve">, 2015, 132(3): 373-386. DOI: 10.1007/s10584-014-1210-4.</w:t>
      </w:r>
    </w:p>
    <w:p>
      <w:pPr>
        <w:pStyle w:val="BodyText"/>
        <w:spacing w:line="276" w:lineRule="auto" w:after="60"/>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2020, 182: 116013. DOI: 10.1016/j.watres.2020.116013.</w:t>
      </w:r>
    </w:p>
    <w:p>
      <w:pPr>
        <w:pStyle w:val="BodyText"/>
        <w:spacing w:line="276" w:lineRule="auto" w:after="60"/>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2026, 410: 130062. DOI: 10.1016/j.jenvman.2026.130062.</w:t>
      </w:r>
    </w:p>
    <w:p>
      <w:pPr>
        <w:pStyle w:val="BodyText"/>
        <w:spacing w:line="276" w:lineRule="auto" w:after="60"/>
        <w:ind w:left="420" w:hanging="420"/>
      </w:pPr>
      <w:r>
        <w:rPr>
          <w:rFonts w:ascii="Times New Roman" w:hAnsi="Times New Roman" w:eastAsia="宋体"/>
          <w:sz w:val="18"/>
        </w:rPr>
        <w:t xml:space="preserve">[75] Deb K, Pratap A, Agarwal S, Meyarivan T. A fast and elitist multiobjective genetic algorithm: NSGA-II[J].</w:t>
      </w:r>
      <w:r>
        <w:rPr>
          <w:rFonts w:ascii="Times New Roman" w:hAnsi="Times New Roman" w:eastAsia="宋体"/>
          <w:sz w:val="18"/>
        </w:rPr>
        <w:t xml:space="preserve"> </w:t>
      </w:r>
      <w:r>
        <w:rPr>
          <w:rFonts w:ascii="Times New Roman" w:hAnsi="Times New Roman" w:eastAsia="宋体"/>
          <w:i/>
          <w:iCs/>
          <w:sz w:val="18"/>
        </w:rPr>
        <w:t xml:space="preserve">IEEE Transactions on Evolutionary Computation</w:t>
      </w:r>
      <w:r>
        <w:rPr>
          <w:rFonts w:ascii="Times New Roman" w:hAnsi="Times New Roman" w:eastAsia="宋体"/>
          <w:sz w:val="18"/>
        </w:rPr>
        <w:t xml:space="preserve">, 2002, 6(2): 182-197. DOI: 10.1109/4235.996017.</w:t>
      </w:r>
    </w:p>
    <w:p>
      <w:pPr>
        <w:pStyle w:val="BodyText"/>
        <w:spacing w:line="276" w:lineRule="auto" w:after="60"/>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2016, 9: 1937-1958. DOI: 10.5194/gmd-9-1937-2016.</w:t>
      </w:r>
    </w:p>
    <w:p>
      <w:pPr>
        <w:pStyle w:val="BodyText"/>
        <w:spacing w:line="276" w:lineRule="auto" w:after="60"/>
        <w:ind w:left="420" w:hanging="420"/>
      </w:pPr>
      <w:r>
        <w:rPr>
          <w:rFonts w:ascii="Times New Roman" w:hAnsi="Times New Roman" w:eastAsia="宋体"/>
          <w:sz w:val="18"/>
        </w:rPr>
        <w:t xml:space="preserve">[77] Zscheischler J, Westra S, van den Hurk B J J M, Seneviratne S I, Ward P J, Pitman A, et al. Future climate risk from compound events[J].</w:t>
      </w:r>
      <w:r>
        <w:rPr>
          <w:rFonts w:ascii="Times New Roman" w:hAnsi="Times New Roman" w:eastAsia="宋体"/>
          <w:sz w:val="18"/>
        </w:rPr>
        <w:t xml:space="preserve"> </w:t>
      </w:r>
      <w:r>
        <w:rPr>
          <w:rFonts w:ascii="Times New Roman" w:hAnsi="Times New Roman" w:eastAsia="宋体"/>
          <w:i/>
          <w:iCs/>
          <w:sz w:val="18"/>
        </w:rPr>
        <w:t xml:space="preserve">Nature Climate Change</w:t>
      </w:r>
      <w:r>
        <w:rPr>
          <w:rFonts w:ascii="Times New Roman" w:hAnsi="Times New Roman" w:eastAsia="宋体"/>
          <w:sz w:val="18"/>
        </w:rPr>
        <w:t xml:space="preserve">, 2018, 8: 469-477. DOI: 10.1038/s41558-018-0156-3.</w:t>
      </w:r>
    </w:p>
    <w:p>
      <w:pPr>
        <w:pStyle w:val="BodyText"/>
        <w:spacing w:line="276" w:lineRule="auto" w:after="60"/>
        <w:ind w:left="420" w:hanging="420"/>
      </w:pPr>
      <w:r>
        <w:rPr>
          <w:rFonts w:ascii="Times New Roman" w:hAnsi="Times New Roman" w:eastAsia="宋体"/>
          <w:sz w:val="18"/>
        </w:rPr>
        <w:t xml:space="preserve">[78] Han Y, Li P, Wierman A, Ren S. Small Bottle, Big Pipe: Quantifying and Addressing the Impact of Data Centers on Public Water Systems[EB/OL]. arXiv:2603.02705, 2026. DOI: 10.48550/arXiv.2603.02705. （预印本）</w:t>
      </w:r>
    </w:p>
    <w:p>
      <w:pPr>
        <w:pStyle w:val="BodyText"/>
        <w:spacing w:line="276" w:lineRule="auto" w:after="60"/>
        <w:ind w:left="420" w:hanging="420"/>
      </w:pPr>
      <w:r>
        <w:rPr>
          <w:rFonts w:ascii="Times New Roman" w:hAnsi="Times New Roman" w:eastAsia="宋体"/>
          <w:sz w:val="18"/>
        </w:rPr>
        <w:t xml:space="preserve">[79] Akinade B A, Amanambu A C, Frame J M, Ren S. AI Data Centers and the Water Use Feedback Loop[EB/OL]. arXiv:2606.21760, 2026. DOI: 10.48550/arXiv.2606.21760. （预印本）</w:t>
      </w:r>
    </w:p>
    <w:p>
      <w:pPr>
        <w:pStyle w:val="BodyText"/>
        <w:spacing w:line="276" w:lineRule="auto" w:after="60"/>
        <w:ind w:left="420" w:hanging="420"/>
      </w:pPr>
      <w:r>
        <w:rPr>
          <w:rFonts w:ascii="Times New Roman" w:hAnsi="Times New Roman" w:eastAsia="宋体"/>
          <w:sz w:val="18"/>
        </w:rPr>
        <w:t xml:space="preserve">[80] IPCC.</w:t>
      </w:r>
      <w:r>
        <w:rPr>
          <w:rFonts w:ascii="Times New Roman" w:hAnsi="Times New Roman" w:eastAsia="宋体"/>
          <w:sz w:val="18"/>
        </w:rPr>
        <w:t xml:space="preserve"> </w:t>
      </w:r>
      <w:r>
        <w:rPr>
          <w:rFonts w:ascii="Times New Roman" w:hAnsi="Times New Roman" w:eastAsia="宋体"/>
          <w:i/>
          <w:iCs/>
          <w:sz w:val="18"/>
        </w:rPr>
        <w:t xml:space="preserve">Climate Change 2021: The Physical Science Basis. Contribution of Working Group I to the Sixth Assessment Report of the Intergovernmental Panel on Climate Change</w:t>
      </w:r>
      <w:r>
        <w:rPr>
          <w:rFonts w:ascii="Times New Roman" w:hAnsi="Times New Roman" w:eastAsia="宋体"/>
          <w:sz w:val="18"/>
        </w:rPr>
        <w:t xml:space="preserve">[M]. Cambridge: Cambridge University Press, 2021. DOI: 10.1017/9781009157896.</w:t>
      </w:r>
    </w:p>
    <w:bookmarkEnd w:id="104"/>
    <w:sectPr>
      <w:headerReference w:type="first" r:id="rId9"/>
      <w:footerReference w:type="first" r:id="rId10"/>
      <w:headerReference w:type="default" r:id="rId11"/>
      <w:footerReference w:type="default" r:id="rId12"/>
      <w:pgSz w:w="11906" w:h="16838"/>
      <w:pgMar w:top="1417" w:bottom="1417" w:left="1701" w:right="1417" w:header="850" w:footer="85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6"/>
      </w:rPr>
      <w:t>AI算力扩张下城市水代谢响应与条件化水资源承载边界研究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420"/>
      <w:jc w:val="both"/>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eastAsia="黑体"/>
      <w:b/>
      <w:bCs/>
      <w:color w:themeColor="accent1" w:themeShade="B5" w:val="345A8A"/>
      <w:sz w:val="40"/>
      <w:szCs w:val="36"/>
    </w:rPr>
  </w:style>
  <w:style w:styleId="Subtitle" w:type="paragraph">
    <w:name w:val="Subtitle"/>
    <w:basedOn w:val="Title"/>
    <w:next w:val="BodyText"/>
    <w:qFormat/>
    <w:pPr>
      <w:keepNext/>
      <w:keepLines/>
      <w:spacing w:after="120" w:before="0"/>
      <w:jc w:val="center"/>
    </w:pPr>
    <w:rPr>
      <w:rFonts w:ascii="Times New Roman" w:hAnsi="Times New Roman" w:eastAsia="宋体"/>
      <w:b w:val="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Number">
    <w:name w:val="Equation Number"/>
    <w:pPr>
      <w:spacing w:before="0" w:after="100"/>
      <w:ind w:firstLine="0"/>
      <w:jc w:val="right"/>
    </w:pPr>
    <w:rPr>
      <w:rFonts w:ascii="Times New Roman" w:hAnsi="Times New Roman" w:eastAsia="宋体"/>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AI算力扩张下城市水代谢响应与条件化水资源承载边界研究</dc:title>
  <dc:creator>博士学位论文开题报告</dc:creator>
  <dc:language>zh-CN</dc:language>
  <cp:keywords/>
  <dcterms:created xsi:type="dcterms:W3CDTF">2026-08-22T08:29:07Z</dcterms:created>
  <dcterms:modified xsi:type="dcterms:W3CDTF">2026-08-22T08:29:07Z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ies>
</file>