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C7D9" w14:textId="4917AAF5" w:rsidR="00D5553A" w:rsidRPr="00D5553A" w:rsidRDefault="00D5553A" w:rsidP="00D5553A">
      <w:pPr>
        <w:spacing w:after="0" w:line="48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pt-BR"/>
        </w:rPr>
      </w:pPr>
      <w:r w:rsidRPr="00D5553A">
        <w:rPr>
          <w:rFonts w:asciiTheme="majorBidi" w:hAnsiTheme="majorBidi" w:cstheme="majorBidi"/>
          <w:b/>
          <w:bCs/>
          <w:sz w:val="28"/>
          <w:szCs w:val="28"/>
          <w:lang w:val="pt-BR"/>
        </w:rPr>
        <w:t>Project</w:t>
      </w:r>
      <w:r w:rsidRPr="00D5553A">
        <w:rPr>
          <w:rFonts w:asciiTheme="majorBidi" w:hAnsiTheme="majorBidi" w:cstheme="majorBidi"/>
          <w:b/>
          <w:bCs/>
          <w:sz w:val="28"/>
          <w:szCs w:val="28"/>
          <w:lang w:val="pt-BR"/>
        </w:rPr>
        <w:t xml:space="preserve"> 2</w:t>
      </w:r>
      <w:r w:rsidRPr="00D5553A">
        <w:rPr>
          <w:rFonts w:asciiTheme="majorBidi" w:hAnsiTheme="majorBidi" w:cstheme="majorBidi"/>
          <w:b/>
          <w:bCs/>
          <w:sz w:val="28"/>
          <w:szCs w:val="28"/>
          <w:lang w:val="pt-BR"/>
        </w:rPr>
        <w:t xml:space="preserve"> Final Report – BIOS 6624</w:t>
      </w:r>
    </w:p>
    <w:p w14:paraId="39F57304" w14:textId="40FF0B3E" w:rsidR="009312D1" w:rsidRDefault="00D5553A" w:rsidP="00D5553A">
      <w:pPr>
        <w:spacing w:after="0" w:line="480" w:lineRule="auto"/>
        <w:rPr>
          <w:rFonts w:asciiTheme="majorBidi" w:hAnsiTheme="majorBidi" w:cstheme="majorBidi"/>
        </w:rPr>
      </w:pPr>
      <w:r w:rsidRPr="00D5553A">
        <w:rPr>
          <w:rFonts w:asciiTheme="majorBidi" w:hAnsiTheme="majorBidi" w:cstheme="majorBidi"/>
          <w:b/>
          <w:bCs/>
        </w:rPr>
        <w:t>C.5.e</w:t>
      </w:r>
      <w:r>
        <w:rPr>
          <w:rFonts w:asciiTheme="majorBidi" w:hAnsiTheme="majorBidi" w:cstheme="majorBidi"/>
          <w:b/>
          <w:bCs/>
        </w:rPr>
        <w:t>.</w:t>
      </w:r>
      <w:r w:rsidRPr="00D5553A">
        <w:rPr>
          <w:rFonts w:asciiTheme="majorBidi" w:hAnsiTheme="majorBidi" w:cstheme="majorBidi"/>
          <w:b/>
          <w:bCs/>
        </w:rPr>
        <w:t xml:space="preserve"> Aim 1 Analytical Plan</w:t>
      </w:r>
      <w:r>
        <w:rPr>
          <w:rFonts w:asciiTheme="majorBidi" w:hAnsiTheme="majorBidi" w:cstheme="majorBidi"/>
          <w:b/>
          <w:bCs/>
        </w:rPr>
        <w:t>:</w:t>
      </w:r>
    </w:p>
    <w:p w14:paraId="6B2A000D" w14:textId="1735A57D" w:rsidR="00F72201" w:rsidRDefault="008B78A9" w:rsidP="00E61051">
      <w:pPr>
        <w:spacing w:after="0"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will fit separate </w:t>
      </w:r>
      <w:r w:rsidR="00CE2E16">
        <w:rPr>
          <w:rFonts w:asciiTheme="majorBidi" w:hAnsiTheme="majorBidi" w:cstheme="majorBidi"/>
        </w:rPr>
        <w:t xml:space="preserve">multiple </w:t>
      </w:r>
      <w:r>
        <w:rPr>
          <w:rFonts w:asciiTheme="majorBidi" w:hAnsiTheme="majorBidi" w:cstheme="majorBidi"/>
        </w:rPr>
        <w:t xml:space="preserve">linear regression models for each of the six </w:t>
      </w:r>
      <w:r w:rsidR="00C96450">
        <w:rPr>
          <w:rFonts w:asciiTheme="majorBidi" w:hAnsiTheme="majorBidi" w:cstheme="majorBidi"/>
        </w:rPr>
        <w:t xml:space="preserve">continuous </w:t>
      </w:r>
      <w:r>
        <w:rPr>
          <w:rFonts w:asciiTheme="majorBidi" w:hAnsiTheme="majorBidi" w:cstheme="majorBidi"/>
        </w:rPr>
        <w:t xml:space="preserve">outcomes of interest, the five cognitive measures (listed in Table 3) and cortical thickness. Each model will examine change from baseline to one-year follow-up in the respective outcome, while adjusting for the corresponding baseline outcome value, age, sex, and APOE genotype. </w:t>
      </w:r>
      <w:r w:rsidR="000370F5">
        <w:rPr>
          <w:rFonts w:asciiTheme="majorBidi" w:hAnsiTheme="majorBidi" w:cstheme="majorBidi"/>
        </w:rPr>
        <w:t xml:space="preserve">Additional potential confounders will be assessed. </w:t>
      </w:r>
      <w:r>
        <w:rPr>
          <w:rFonts w:asciiTheme="majorBidi" w:hAnsiTheme="majorBidi" w:cstheme="majorBidi"/>
        </w:rPr>
        <w:t xml:space="preserve">Due to high collinearity between </w:t>
      </w:r>
      <w:r w:rsidR="006C25D4">
        <w:rPr>
          <w:rFonts w:asciiTheme="majorBidi" w:hAnsiTheme="majorBidi" w:cstheme="majorBidi"/>
        </w:rPr>
        <w:t>two of the</w:t>
      </w:r>
      <w:r>
        <w:rPr>
          <w:rFonts w:asciiTheme="majorBidi" w:hAnsiTheme="majorBidi" w:cstheme="majorBidi"/>
        </w:rPr>
        <w:t xml:space="preserve"> inflammation markers of interest </w:t>
      </w:r>
      <w:r w:rsidR="006C25D4">
        <w:rPr>
          <w:rFonts w:asciiTheme="majorBidi" w:hAnsiTheme="majorBidi" w:cstheme="majorBidi"/>
        </w:rPr>
        <w:t xml:space="preserve">observed in the preliminary data </w:t>
      </w:r>
      <w:r>
        <w:rPr>
          <w:rFonts w:asciiTheme="majorBidi" w:hAnsiTheme="majorBidi" w:cstheme="majorBidi"/>
        </w:rPr>
        <w:t>(r = 0.93), cytokine and chemokine levels</w:t>
      </w:r>
      <w:r w:rsidR="00C96450">
        <w:rPr>
          <w:rFonts w:asciiTheme="majorBidi" w:hAnsiTheme="majorBidi" w:cstheme="majorBidi"/>
        </w:rPr>
        <w:t xml:space="preserve"> (IL-6, TNF-</w:t>
      </w:r>
      <w:r w:rsidR="00C96450" w:rsidRPr="00C96450">
        <w:rPr>
          <w:rFonts w:asciiTheme="majorBidi" w:hAnsiTheme="majorBidi" w:cstheme="majorBidi"/>
        </w:rPr>
        <w:t xml:space="preserve"> </w:t>
      </w:r>
      <w:r w:rsidR="00C96450" w:rsidRPr="00B156EF">
        <w:rPr>
          <w:rFonts w:asciiTheme="majorBidi" w:hAnsiTheme="majorBidi" w:cstheme="majorBidi"/>
        </w:rPr>
        <w:t>α</w:t>
      </w:r>
      <w:r w:rsidR="00C96450">
        <w:rPr>
          <w:rFonts w:asciiTheme="majorBidi" w:hAnsiTheme="majorBidi" w:cstheme="majorBidi"/>
        </w:rPr>
        <w:t>, MCP-1, Eotaxin-1)</w:t>
      </w:r>
      <w:r>
        <w:rPr>
          <w:rFonts w:asciiTheme="majorBidi" w:hAnsiTheme="majorBidi" w:cstheme="majorBidi"/>
        </w:rPr>
        <w:t xml:space="preserve"> will be modeled separately to avoid </w:t>
      </w:r>
      <w:r w:rsidR="006D0D6F">
        <w:rPr>
          <w:rFonts w:asciiTheme="majorBidi" w:hAnsiTheme="majorBidi" w:cstheme="majorBidi"/>
        </w:rPr>
        <w:t xml:space="preserve">potential </w:t>
      </w:r>
      <w:r>
        <w:rPr>
          <w:rFonts w:asciiTheme="majorBidi" w:hAnsiTheme="majorBidi" w:cstheme="majorBidi"/>
        </w:rPr>
        <w:t>multicollinearity. This results in four models per outcome,</w:t>
      </w:r>
      <w:r w:rsidR="006C25D4">
        <w:rPr>
          <w:rFonts w:asciiTheme="majorBidi" w:hAnsiTheme="majorBidi" w:cstheme="majorBidi"/>
        </w:rPr>
        <w:t xml:space="preserve"> one for each marker,</w:t>
      </w:r>
      <w:r>
        <w:rPr>
          <w:rFonts w:asciiTheme="majorBidi" w:hAnsiTheme="majorBidi" w:cstheme="majorBidi"/>
        </w:rPr>
        <w:t xml:space="preserve"> for a total of 24 models</w:t>
      </w:r>
      <w:r w:rsidR="006C25D4">
        <w:rPr>
          <w:rFonts w:asciiTheme="majorBidi" w:hAnsiTheme="majorBidi" w:cstheme="majorBidi"/>
        </w:rPr>
        <w:t xml:space="preserve"> for each sub-aim</w:t>
      </w:r>
      <w:r>
        <w:rPr>
          <w:rFonts w:asciiTheme="majorBidi" w:hAnsiTheme="majorBidi" w:cstheme="majorBidi"/>
        </w:rPr>
        <w:t>. For</w:t>
      </w:r>
      <w:r w:rsidR="00C96450">
        <w:rPr>
          <w:rFonts w:asciiTheme="majorBidi" w:hAnsiTheme="majorBidi" w:cstheme="majorBidi"/>
        </w:rPr>
        <w:t xml:space="preserve"> hypothesis</w:t>
      </w:r>
      <w:r>
        <w:rPr>
          <w:rFonts w:asciiTheme="majorBidi" w:hAnsiTheme="majorBidi" w:cstheme="majorBidi"/>
        </w:rPr>
        <w:t xml:space="preserve"> 1a, the predictors of interest will be </w:t>
      </w:r>
      <w:r w:rsidR="00C96450">
        <w:rPr>
          <w:rFonts w:asciiTheme="majorBidi" w:hAnsiTheme="majorBidi" w:cstheme="majorBidi"/>
        </w:rPr>
        <w:t>the inflammatory markers at baseline</w:t>
      </w:r>
      <w:r>
        <w:rPr>
          <w:rFonts w:asciiTheme="majorBidi" w:hAnsiTheme="majorBidi" w:cstheme="majorBidi"/>
        </w:rPr>
        <w:t xml:space="preserve">. For 1b, the predictors of interest will be the change in </w:t>
      </w:r>
      <w:r w:rsidR="00C96450">
        <w:rPr>
          <w:rFonts w:asciiTheme="majorBidi" w:hAnsiTheme="majorBidi" w:cstheme="majorBidi"/>
        </w:rPr>
        <w:t>the inflammatory markers</w:t>
      </w:r>
      <w:r>
        <w:rPr>
          <w:rFonts w:asciiTheme="majorBidi" w:hAnsiTheme="majorBidi" w:cstheme="majorBidi"/>
        </w:rPr>
        <w:t xml:space="preserve"> from baseline to one-year follow-up.</w:t>
      </w:r>
      <w:r w:rsidR="00E61051">
        <w:rPr>
          <w:rFonts w:asciiTheme="majorBidi" w:hAnsiTheme="majorBidi" w:cstheme="majorBidi"/>
        </w:rPr>
        <w:t xml:space="preserve"> </w:t>
      </w:r>
      <w:r w:rsidR="00E61051" w:rsidRPr="00B156EF">
        <w:rPr>
          <w:rFonts w:asciiTheme="majorBidi" w:hAnsiTheme="majorBidi" w:cstheme="majorBidi"/>
        </w:rPr>
        <w:t>Statistical significance will be evaluated at α = 0.05.</w:t>
      </w:r>
    </w:p>
    <w:p w14:paraId="0B81F98E" w14:textId="472340A1" w:rsidR="00D5553A" w:rsidRDefault="00D5553A" w:rsidP="00D5553A">
      <w:pPr>
        <w:spacing w:after="0"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C.6.b. Aim 2 Analytical Plan:</w:t>
      </w:r>
    </w:p>
    <w:p w14:paraId="4B2F3C3F" w14:textId="41044A66" w:rsidR="00F72201" w:rsidRDefault="006D0D6F" w:rsidP="006D0D6F">
      <w:pPr>
        <w:spacing w:after="0"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will fit separate </w:t>
      </w:r>
      <w:r w:rsidR="00CE2E16">
        <w:rPr>
          <w:rFonts w:asciiTheme="majorBidi" w:hAnsiTheme="majorBidi" w:cstheme="majorBidi"/>
        </w:rPr>
        <w:t xml:space="preserve">multiple linear regression </w:t>
      </w:r>
      <w:r>
        <w:rPr>
          <w:rFonts w:asciiTheme="majorBidi" w:hAnsiTheme="majorBidi" w:cstheme="majorBidi"/>
        </w:rPr>
        <w:t xml:space="preserve">models for each of the six </w:t>
      </w:r>
      <w:r w:rsidR="00C96450">
        <w:rPr>
          <w:rFonts w:asciiTheme="majorBidi" w:hAnsiTheme="majorBidi" w:cstheme="majorBidi"/>
        </w:rPr>
        <w:t xml:space="preserve">continuous </w:t>
      </w:r>
      <w:r>
        <w:rPr>
          <w:rFonts w:asciiTheme="majorBidi" w:hAnsiTheme="majorBidi" w:cstheme="majorBidi"/>
        </w:rPr>
        <w:t xml:space="preserve">outcomes of interest, the five cognitive measures (listed in Table 3) and cortical thickness. </w:t>
      </w:r>
      <w:r w:rsidR="00C96450">
        <w:rPr>
          <w:rFonts w:asciiTheme="majorBidi" w:hAnsiTheme="majorBidi" w:cstheme="majorBidi"/>
        </w:rPr>
        <w:t>Similar to Aim 1, e</w:t>
      </w:r>
      <w:r>
        <w:rPr>
          <w:rFonts w:asciiTheme="majorBidi" w:hAnsiTheme="majorBidi" w:cstheme="majorBidi"/>
        </w:rPr>
        <w:t>ach</w:t>
      </w:r>
      <w:r w:rsidRPr="006D0D6F">
        <w:rPr>
          <w:rFonts w:asciiTheme="majorBidi" w:hAnsiTheme="majorBidi" w:cstheme="majorBidi"/>
        </w:rPr>
        <w:t xml:space="preserve"> model will examine change from baseline to one-year follow-up in the respective outcome </w:t>
      </w:r>
      <w:r>
        <w:rPr>
          <w:rFonts w:asciiTheme="majorBidi" w:hAnsiTheme="majorBidi" w:cstheme="majorBidi"/>
        </w:rPr>
        <w:t xml:space="preserve">while </w:t>
      </w:r>
      <w:r w:rsidRPr="006D0D6F">
        <w:rPr>
          <w:rFonts w:asciiTheme="majorBidi" w:hAnsiTheme="majorBidi" w:cstheme="majorBidi"/>
        </w:rPr>
        <w:t xml:space="preserve">adjusting for the corresponding baseline outcome value, age, sex, </w:t>
      </w:r>
      <w:r w:rsidR="00C96450">
        <w:rPr>
          <w:rFonts w:asciiTheme="majorBidi" w:hAnsiTheme="majorBidi" w:cstheme="majorBidi"/>
        </w:rPr>
        <w:t xml:space="preserve">and </w:t>
      </w:r>
      <w:r w:rsidRPr="006D0D6F">
        <w:rPr>
          <w:rFonts w:asciiTheme="majorBidi" w:hAnsiTheme="majorBidi" w:cstheme="majorBidi"/>
        </w:rPr>
        <w:t xml:space="preserve">APOE genotype. </w:t>
      </w:r>
      <w:r w:rsidR="00C96450">
        <w:rPr>
          <w:rFonts w:asciiTheme="majorBidi" w:hAnsiTheme="majorBidi" w:cstheme="majorBidi"/>
        </w:rPr>
        <w:t>Additionally, e</w:t>
      </w:r>
      <w:r w:rsidRPr="006D0D6F">
        <w:rPr>
          <w:rFonts w:asciiTheme="majorBidi" w:hAnsiTheme="majorBidi" w:cstheme="majorBidi"/>
        </w:rPr>
        <w:t>ach model will include an interaction term between each inflammatory marker and amyloid status (positive vs. negative), along with the main effects of each</w:t>
      </w:r>
      <w:r w:rsidR="00C96450">
        <w:rPr>
          <w:rFonts w:asciiTheme="majorBidi" w:hAnsiTheme="majorBidi" w:cstheme="majorBidi"/>
        </w:rPr>
        <w:t>, while adjusting for SUVR global score</w:t>
      </w:r>
      <w:r w:rsidRPr="006D0D6F">
        <w:rPr>
          <w:rFonts w:asciiTheme="majorBidi" w:hAnsiTheme="majorBidi" w:cstheme="majorBidi"/>
        </w:rPr>
        <w:t>.</w:t>
      </w:r>
      <w:r w:rsidRPr="006D0D6F">
        <w:t xml:space="preserve"> </w:t>
      </w:r>
      <w:r w:rsidR="000370F5">
        <w:rPr>
          <w:rFonts w:asciiTheme="majorBidi" w:hAnsiTheme="majorBidi" w:cstheme="majorBidi"/>
        </w:rPr>
        <w:t xml:space="preserve">Additional potential confounders will be assessed. </w:t>
      </w:r>
      <w:r w:rsidRPr="006D0D6F">
        <w:rPr>
          <w:rFonts w:asciiTheme="majorBidi" w:hAnsiTheme="majorBidi" w:cstheme="majorBidi"/>
        </w:rPr>
        <w:t xml:space="preserve">The primary test of interest in each model is the interaction term between the inflammatory marker and amyloid </w:t>
      </w:r>
      <w:r w:rsidRPr="006D0D6F">
        <w:rPr>
          <w:rFonts w:asciiTheme="majorBidi" w:hAnsiTheme="majorBidi" w:cstheme="majorBidi"/>
        </w:rPr>
        <w:lastRenderedPageBreak/>
        <w:t>status, which evaluates whether the association between inflammation and cognitive or cortical change differs by amyloid deposition status.</w:t>
      </w:r>
    </w:p>
    <w:p w14:paraId="178FC195" w14:textId="77777777" w:rsidR="00E61051" w:rsidRDefault="00D5553A" w:rsidP="00E61051">
      <w:pPr>
        <w:spacing w:after="0"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D. Power Analysis and Additional Statistical Considerations</w:t>
      </w:r>
    </w:p>
    <w:p w14:paraId="54450141" w14:textId="0956F29E" w:rsidR="006A6DA6" w:rsidRDefault="00B156EF" w:rsidP="000370F5">
      <w:pPr>
        <w:spacing w:after="0" w:line="480" w:lineRule="auto"/>
        <w:rPr>
          <w:rFonts w:asciiTheme="majorBidi" w:hAnsiTheme="majorBidi" w:cstheme="majorBidi"/>
        </w:rPr>
      </w:pPr>
      <w:r w:rsidRPr="00B156EF">
        <w:rPr>
          <w:rFonts w:asciiTheme="majorBidi" w:hAnsiTheme="majorBidi" w:cstheme="majorBidi"/>
        </w:rPr>
        <w:t>Power analyses were conducted in R using the powertools package. For Aim 1, power was calculated for a test of a single correlation coefficient using the corr.1samp function, assuming a sample size of 175 and a range of expected effect sizes (0.20 to 0.70) informed by preliminary data</w:t>
      </w:r>
      <w:r w:rsidR="00E61051">
        <w:rPr>
          <w:rFonts w:asciiTheme="majorBidi" w:hAnsiTheme="majorBidi" w:cstheme="majorBidi"/>
        </w:rPr>
        <w:t xml:space="preserve"> (results displayed in Figure 1)</w:t>
      </w:r>
      <w:r w:rsidRPr="00B156EF">
        <w:rPr>
          <w:rFonts w:asciiTheme="majorBidi" w:hAnsiTheme="majorBidi" w:cstheme="majorBidi"/>
        </w:rPr>
        <w:t>.</w:t>
      </w:r>
      <w:r w:rsidR="00A84ED4">
        <w:rPr>
          <w:rFonts w:asciiTheme="majorBidi" w:hAnsiTheme="majorBidi" w:cstheme="majorBidi"/>
        </w:rPr>
        <w:t xml:space="preserve"> All tests were two-sided and</w:t>
      </w:r>
      <w:r w:rsidRPr="00B156EF">
        <w:rPr>
          <w:rFonts w:asciiTheme="majorBidi" w:hAnsiTheme="majorBidi" w:cstheme="majorBidi"/>
        </w:rPr>
        <w:t xml:space="preserve"> </w:t>
      </w:r>
      <w:r w:rsidR="00A84ED4">
        <w:rPr>
          <w:rFonts w:asciiTheme="majorBidi" w:hAnsiTheme="majorBidi" w:cstheme="majorBidi"/>
        </w:rPr>
        <w:t>t</w:t>
      </w:r>
      <w:r w:rsidRPr="00B156EF">
        <w:rPr>
          <w:rFonts w:asciiTheme="majorBidi" w:hAnsiTheme="majorBidi" w:cstheme="majorBidi"/>
        </w:rPr>
        <w:t xml:space="preserve">hree alpha levels were examined to account for multiple comparisons: α = 0.05/4 (correcting for the number of markers per outcome), α = 0.05/6 (correcting for the number of outcomes), and α = 0.05/24 (correcting for all models). </w:t>
      </w:r>
      <w:r w:rsidR="00A84ED4">
        <w:rPr>
          <w:rFonts w:asciiTheme="majorBidi" w:hAnsiTheme="majorBidi" w:cstheme="majorBidi"/>
        </w:rPr>
        <w:t>Power r</w:t>
      </w:r>
      <w:r w:rsidR="003C3609">
        <w:rPr>
          <w:rFonts w:asciiTheme="majorBidi" w:hAnsiTheme="majorBidi" w:cstheme="majorBidi"/>
        </w:rPr>
        <w:t xml:space="preserve">esults are summarized below in Table 1. </w:t>
      </w:r>
      <w:r w:rsidRPr="00B156EF">
        <w:rPr>
          <w:rFonts w:asciiTheme="majorBidi" w:hAnsiTheme="majorBidi" w:cstheme="majorBidi"/>
        </w:rPr>
        <w:t xml:space="preserve">For Aim 2, power was calculated for a test of the difference between two correlation coefficients using the corr.2samp function, reflecting the interaction between each inflammatory marker and amyloid status. </w:t>
      </w:r>
      <w:r w:rsidR="00A84ED4">
        <w:rPr>
          <w:rFonts w:asciiTheme="majorBidi" w:hAnsiTheme="majorBidi" w:cstheme="majorBidi"/>
        </w:rPr>
        <w:t xml:space="preserve">All tests were two-sided and the same three significance levels as Aim 1 were applied. Given uncertainty in the expected prevalence of amyloid positivity in this sample, power was evaluated across a range of amyloid positive group sizes (N+ = 25, 56, 88, 120, 150), with the corresponding amyloid negative group sizes (N- = 175 – N+). The two most extreme group sizes did not achieve 80% power within the range of effect sizes examined. The minimum detectable difference in correlations at 80% power for the remaining group size scenarios </w:t>
      </w:r>
      <w:r w:rsidR="00A27B4B">
        <w:rPr>
          <w:rFonts w:asciiTheme="majorBidi" w:hAnsiTheme="majorBidi" w:cstheme="majorBidi"/>
        </w:rPr>
        <w:t>is</w:t>
      </w:r>
      <w:r w:rsidR="00A84ED4">
        <w:rPr>
          <w:rFonts w:asciiTheme="majorBidi" w:hAnsiTheme="majorBidi" w:cstheme="majorBidi"/>
        </w:rPr>
        <w:t xml:space="preserve"> reported in Table 2.</w:t>
      </w:r>
    </w:p>
    <w:p w14:paraId="71CFA254" w14:textId="77777777" w:rsidR="000370F5" w:rsidRDefault="000370F5" w:rsidP="000370F5">
      <w:pPr>
        <w:spacing w:after="0" w:line="480" w:lineRule="auto"/>
        <w:rPr>
          <w:rFonts w:asciiTheme="majorBidi" w:hAnsiTheme="majorBidi" w:cstheme="majorBidi"/>
        </w:rPr>
      </w:pPr>
    </w:p>
    <w:p w14:paraId="77590FD0" w14:textId="77777777" w:rsidR="00A84ED4" w:rsidRDefault="00A84ED4" w:rsidP="006A6DA6">
      <w:pPr>
        <w:spacing w:after="0" w:line="480" w:lineRule="auto"/>
        <w:rPr>
          <w:rFonts w:asciiTheme="majorBidi" w:hAnsiTheme="majorBidi" w:cstheme="majorBidi"/>
          <w:b/>
          <w:bCs/>
        </w:rPr>
      </w:pPr>
    </w:p>
    <w:p w14:paraId="2FA5D62F" w14:textId="77777777" w:rsidR="00A84ED4" w:rsidRDefault="00A84ED4" w:rsidP="006A6DA6">
      <w:pPr>
        <w:spacing w:after="0" w:line="480" w:lineRule="auto"/>
        <w:rPr>
          <w:rFonts w:asciiTheme="majorBidi" w:hAnsiTheme="majorBidi" w:cstheme="majorBidi"/>
          <w:b/>
          <w:bCs/>
        </w:rPr>
      </w:pPr>
    </w:p>
    <w:p w14:paraId="65A031C2" w14:textId="77777777" w:rsidR="00A84ED4" w:rsidRDefault="00A84ED4" w:rsidP="006A6DA6">
      <w:pPr>
        <w:spacing w:after="0" w:line="480" w:lineRule="auto"/>
        <w:rPr>
          <w:rFonts w:asciiTheme="majorBidi" w:hAnsiTheme="majorBidi" w:cstheme="majorBidi"/>
          <w:b/>
          <w:bCs/>
        </w:rPr>
      </w:pPr>
    </w:p>
    <w:p w14:paraId="3CFF3BC3" w14:textId="081696B4" w:rsidR="00E61051" w:rsidRDefault="00E61051" w:rsidP="006A6DA6">
      <w:pPr>
        <w:spacing w:after="0" w:line="480" w:lineRule="auto"/>
        <w:rPr>
          <w:rFonts w:asciiTheme="majorBidi" w:hAnsiTheme="majorBidi" w:cstheme="majorBidi"/>
        </w:rPr>
      </w:pPr>
      <w:r w:rsidRPr="006A6DA6">
        <w:rPr>
          <w:rFonts w:asciiTheme="majorBidi" w:hAnsiTheme="majorBidi" w:cstheme="majorBidi"/>
          <w:b/>
          <w:bCs/>
        </w:rPr>
        <w:lastRenderedPageBreak/>
        <w:t>Figure 1.</w:t>
      </w:r>
      <w:r w:rsidR="006A6DA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Matrix of </w:t>
      </w:r>
      <w:r w:rsidR="006A6DA6">
        <w:rPr>
          <w:rFonts w:asciiTheme="majorBidi" w:hAnsiTheme="majorBidi" w:cstheme="majorBidi"/>
        </w:rPr>
        <w:t>Pearson c</w:t>
      </w:r>
      <w:r>
        <w:rPr>
          <w:rFonts w:asciiTheme="majorBidi" w:hAnsiTheme="majorBidi" w:cstheme="majorBidi"/>
        </w:rPr>
        <w:t>orrelations</w:t>
      </w:r>
      <w:r w:rsidR="006A6DA6">
        <w:rPr>
          <w:rFonts w:asciiTheme="majorBidi" w:hAnsiTheme="majorBidi" w:cstheme="majorBidi"/>
        </w:rPr>
        <w:t xml:space="preserve"> between two baseline inflammatory markers and changes for two outcomes (lower triangle shown).</w:t>
      </w:r>
      <w:r>
        <w:rPr>
          <w:rFonts w:asciiTheme="majorBidi" w:hAnsiTheme="majorBidi" w:cstheme="majorBidi"/>
        </w:rPr>
        <w:t xml:space="preserve"> </w:t>
      </w:r>
      <w:r w:rsidR="006A6DA6">
        <w:rPr>
          <w:rFonts w:asciiTheme="majorBidi" w:hAnsiTheme="majorBidi" w:cstheme="majorBidi"/>
        </w:rPr>
        <w:t>Color intensity reflects the strength of the correlation, with red indicating negative associations and blue indicating positive associations.</w:t>
      </w:r>
    </w:p>
    <w:p w14:paraId="2638BABB" w14:textId="2CA4C541" w:rsidR="00E61051" w:rsidRDefault="006A6DA6" w:rsidP="006A6DA6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4D96072" wp14:editId="5AC414E9">
            <wp:extent cx="3673612" cy="2734407"/>
            <wp:effectExtent l="0" t="0" r="0" b="0"/>
            <wp:docPr id="358992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92127" name="Picture 3589921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184" cy="276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3770" w14:textId="77777777" w:rsidR="003C3609" w:rsidRDefault="003C3609" w:rsidP="003C3609">
      <w:pPr>
        <w:rPr>
          <w:rFonts w:asciiTheme="majorBidi" w:hAnsiTheme="majorBidi" w:cstheme="majorBidi"/>
        </w:rPr>
      </w:pPr>
    </w:p>
    <w:p w14:paraId="2416A623" w14:textId="77777777" w:rsidR="00A84ED4" w:rsidRDefault="00A84ED4" w:rsidP="003C3609">
      <w:pPr>
        <w:spacing w:line="480" w:lineRule="auto"/>
        <w:rPr>
          <w:rFonts w:asciiTheme="majorBidi" w:hAnsiTheme="majorBidi" w:cstheme="majorBidi"/>
          <w:b/>
          <w:bCs/>
        </w:rPr>
      </w:pPr>
    </w:p>
    <w:p w14:paraId="06819F72" w14:textId="77777777" w:rsidR="00A84ED4" w:rsidRDefault="00A84ED4" w:rsidP="003C3609">
      <w:pPr>
        <w:spacing w:line="480" w:lineRule="auto"/>
        <w:rPr>
          <w:rFonts w:asciiTheme="majorBidi" w:hAnsiTheme="majorBidi" w:cstheme="majorBidi"/>
          <w:b/>
          <w:bCs/>
        </w:rPr>
      </w:pPr>
    </w:p>
    <w:p w14:paraId="50499675" w14:textId="77777777" w:rsidR="00A84ED4" w:rsidRDefault="00A84ED4" w:rsidP="003C3609">
      <w:pPr>
        <w:spacing w:line="480" w:lineRule="auto"/>
        <w:rPr>
          <w:rFonts w:asciiTheme="majorBidi" w:hAnsiTheme="majorBidi" w:cstheme="majorBidi"/>
          <w:b/>
          <w:bCs/>
        </w:rPr>
      </w:pPr>
    </w:p>
    <w:p w14:paraId="3E0C4EF6" w14:textId="77777777" w:rsidR="00A84ED4" w:rsidRDefault="00A84ED4" w:rsidP="003C3609">
      <w:pPr>
        <w:spacing w:line="480" w:lineRule="auto"/>
        <w:rPr>
          <w:rFonts w:asciiTheme="majorBidi" w:hAnsiTheme="majorBidi" w:cstheme="majorBidi"/>
          <w:b/>
          <w:bCs/>
        </w:rPr>
      </w:pPr>
    </w:p>
    <w:p w14:paraId="5CDB186F" w14:textId="77777777" w:rsidR="00A84ED4" w:rsidRDefault="00A84ED4" w:rsidP="003C3609">
      <w:pPr>
        <w:spacing w:line="480" w:lineRule="auto"/>
        <w:rPr>
          <w:rFonts w:asciiTheme="majorBidi" w:hAnsiTheme="majorBidi" w:cstheme="majorBidi"/>
          <w:b/>
          <w:bCs/>
        </w:rPr>
      </w:pPr>
    </w:p>
    <w:p w14:paraId="66733AFB" w14:textId="77777777" w:rsidR="00A84ED4" w:rsidRDefault="00A84ED4" w:rsidP="003C3609">
      <w:pPr>
        <w:spacing w:line="480" w:lineRule="auto"/>
        <w:rPr>
          <w:rFonts w:asciiTheme="majorBidi" w:hAnsiTheme="majorBidi" w:cstheme="majorBidi"/>
          <w:b/>
          <w:bCs/>
        </w:rPr>
      </w:pPr>
    </w:p>
    <w:p w14:paraId="429C79BF" w14:textId="77777777" w:rsidR="00A84ED4" w:rsidRDefault="00A84ED4" w:rsidP="003C3609">
      <w:pPr>
        <w:spacing w:line="480" w:lineRule="auto"/>
        <w:rPr>
          <w:rFonts w:asciiTheme="majorBidi" w:hAnsiTheme="majorBidi" w:cstheme="majorBidi"/>
          <w:b/>
          <w:bCs/>
        </w:rPr>
      </w:pPr>
    </w:p>
    <w:p w14:paraId="268AD34C" w14:textId="6DAA8AD2" w:rsidR="003C3609" w:rsidRDefault="003C3609" w:rsidP="003C3609">
      <w:pPr>
        <w:spacing w:line="480" w:lineRule="auto"/>
        <w:rPr>
          <w:rFonts w:asciiTheme="majorBidi" w:hAnsiTheme="majorBidi" w:cstheme="majorBidi"/>
        </w:rPr>
      </w:pPr>
      <w:r w:rsidRPr="003C3609">
        <w:rPr>
          <w:rFonts w:asciiTheme="majorBidi" w:hAnsiTheme="majorBidi" w:cstheme="majorBidi"/>
          <w:b/>
          <w:bCs/>
        </w:rPr>
        <w:lastRenderedPageBreak/>
        <w:t>Table 1.</w:t>
      </w:r>
      <w:r>
        <w:rPr>
          <w:rFonts w:asciiTheme="majorBidi" w:hAnsiTheme="majorBidi" w:cstheme="majorBidi"/>
        </w:rPr>
        <w:t xml:space="preserve"> </w:t>
      </w:r>
      <w:r w:rsidRPr="003C3609">
        <w:rPr>
          <w:rFonts w:asciiTheme="majorBidi" w:hAnsiTheme="majorBidi" w:cstheme="majorBidi"/>
        </w:rPr>
        <w:t>Statistical power for Aim 1 by effect size and significance level (N = 175, two-sided test). Significance levels reflect corrections for the number of markers per outcome (α = 0.05/4), number of outcomes (α = 0.05/6), and all models combined (α = 0.05/24)</w:t>
      </w:r>
      <w:r>
        <w:rPr>
          <w:rFonts w:asciiTheme="majorBidi" w:hAnsiTheme="majorBidi" w:cstheme="majorBidi"/>
        </w:rPr>
        <w:t>.</w:t>
      </w:r>
    </w:p>
    <w:p w14:paraId="3AD87BB4" w14:textId="1E0E7B30" w:rsidR="003C3609" w:rsidRDefault="003C3609" w:rsidP="006A6DA6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C98AF43" wp14:editId="4A2A7B2C">
            <wp:extent cx="4106008" cy="3777439"/>
            <wp:effectExtent l="0" t="0" r="0" b="0"/>
            <wp:docPr id="1692052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52849" name="Picture 16920528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723" cy="38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DC1A" w14:textId="77777777" w:rsidR="003C3609" w:rsidRDefault="003C3609">
      <w:pPr>
        <w:rPr>
          <w:rFonts w:asciiTheme="majorBidi" w:hAnsiTheme="majorBidi" w:cstheme="majorBidi"/>
        </w:rPr>
      </w:pPr>
    </w:p>
    <w:p w14:paraId="74B9E2AC" w14:textId="77777777" w:rsidR="00A84ED4" w:rsidRDefault="00A84ED4">
      <w:pPr>
        <w:rPr>
          <w:rFonts w:asciiTheme="majorBidi" w:hAnsiTheme="majorBidi" w:cstheme="majorBidi"/>
        </w:rPr>
      </w:pPr>
    </w:p>
    <w:p w14:paraId="35D5BB12" w14:textId="77777777" w:rsidR="00A84ED4" w:rsidRDefault="00A84ED4">
      <w:pPr>
        <w:rPr>
          <w:rFonts w:asciiTheme="majorBidi" w:hAnsiTheme="majorBidi" w:cstheme="majorBidi"/>
        </w:rPr>
      </w:pPr>
    </w:p>
    <w:p w14:paraId="50CA480B" w14:textId="77777777" w:rsidR="00A84ED4" w:rsidRDefault="00A84ED4">
      <w:pPr>
        <w:rPr>
          <w:rFonts w:asciiTheme="majorBidi" w:hAnsiTheme="majorBidi" w:cstheme="majorBidi"/>
        </w:rPr>
      </w:pPr>
    </w:p>
    <w:p w14:paraId="145F6D41" w14:textId="77777777" w:rsidR="00A84ED4" w:rsidRDefault="00A84ED4">
      <w:pPr>
        <w:rPr>
          <w:rFonts w:asciiTheme="majorBidi" w:hAnsiTheme="majorBidi" w:cstheme="majorBidi"/>
        </w:rPr>
      </w:pPr>
    </w:p>
    <w:p w14:paraId="0C85647B" w14:textId="77777777" w:rsidR="00A84ED4" w:rsidRDefault="00A84ED4">
      <w:pPr>
        <w:rPr>
          <w:rFonts w:asciiTheme="majorBidi" w:hAnsiTheme="majorBidi" w:cstheme="majorBidi"/>
        </w:rPr>
      </w:pPr>
    </w:p>
    <w:p w14:paraId="7E43287B" w14:textId="77777777" w:rsidR="00A84ED4" w:rsidRDefault="00A84ED4">
      <w:pPr>
        <w:rPr>
          <w:rFonts w:asciiTheme="majorBidi" w:hAnsiTheme="majorBidi" w:cstheme="majorBidi"/>
        </w:rPr>
      </w:pPr>
    </w:p>
    <w:p w14:paraId="2C7E5340" w14:textId="77777777" w:rsidR="00A84ED4" w:rsidRDefault="00A84ED4">
      <w:pPr>
        <w:rPr>
          <w:rFonts w:asciiTheme="majorBidi" w:hAnsiTheme="majorBidi" w:cstheme="majorBidi"/>
        </w:rPr>
      </w:pPr>
    </w:p>
    <w:p w14:paraId="662E7F21" w14:textId="77777777" w:rsidR="00A84ED4" w:rsidRDefault="00A84ED4">
      <w:pPr>
        <w:rPr>
          <w:rFonts w:asciiTheme="majorBidi" w:hAnsiTheme="majorBidi" w:cstheme="majorBidi"/>
        </w:rPr>
      </w:pPr>
    </w:p>
    <w:p w14:paraId="674BA72E" w14:textId="77777777" w:rsidR="00A84ED4" w:rsidRDefault="00A84ED4">
      <w:pPr>
        <w:rPr>
          <w:rFonts w:asciiTheme="majorBidi" w:hAnsiTheme="majorBidi" w:cstheme="majorBidi"/>
        </w:rPr>
      </w:pPr>
    </w:p>
    <w:p w14:paraId="7FBEC0FD" w14:textId="3382DF39" w:rsidR="003C3609" w:rsidRDefault="003C3609" w:rsidP="00A84ED4">
      <w:pPr>
        <w:spacing w:line="480" w:lineRule="auto"/>
        <w:rPr>
          <w:rFonts w:asciiTheme="majorBidi" w:hAnsiTheme="majorBidi" w:cstheme="majorBidi"/>
        </w:rPr>
      </w:pPr>
      <w:r w:rsidRPr="00A84ED4">
        <w:rPr>
          <w:rFonts w:asciiTheme="majorBidi" w:hAnsiTheme="majorBidi" w:cstheme="majorBidi"/>
          <w:b/>
          <w:bCs/>
        </w:rPr>
        <w:lastRenderedPageBreak/>
        <w:t>Table 2.</w:t>
      </w:r>
      <w:r>
        <w:rPr>
          <w:rFonts w:asciiTheme="majorBidi" w:hAnsiTheme="majorBidi" w:cstheme="majorBidi"/>
        </w:rPr>
        <w:t xml:space="preserve"> </w:t>
      </w:r>
      <w:r w:rsidR="00A84ED4" w:rsidRPr="00A84ED4">
        <w:rPr>
          <w:rFonts w:asciiTheme="majorBidi" w:hAnsiTheme="majorBidi" w:cstheme="majorBidi"/>
        </w:rPr>
        <w:t>Minimum detectable difference in correlations at 80% power for Aim 2 by amyloid group size and significance level (N = 175, two-sided test). Results are presented for the three most balanced amyloid group size scenarios (N+ = 56, 88, and 120); the two most extreme group sizes (N+ = 25 and N+ = 150) did not achieve 80% power within the range of effect sizes examined</w:t>
      </w:r>
      <w:r w:rsidR="00A84ED4">
        <w:rPr>
          <w:rFonts w:asciiTheme="majorBidi" w:hAnsiTheme="majorBidi" w:cstheme="majorBidi"/>
        </w:rPr>
        <w:t xml:space="preserve">. </w:t>
      </w:r>
      <w:r w:rsidR="00A84ED4" w:rsidRPr="00A84ED4">
        <w:rPr>
          <w:rFonts w:asciiTheme="majorBidi" w:hAnsiTheme="majorBidi" w:cstheme="majorBidi"/>
        </w:rPr>
        <w:t>Significance levels reflect corrections for the number of markers per outcome (α = 0.05/4), number of outcomes (α = 0.05/6), and all models combined (α = 0.05/24).</w:t>
      </w:r>
    </w:p>
    <w:p w14:paraId="2825B8AD" w14:textId="6DDC604E" w:rsidR="003C3609" w:rsidRDefault="00A84ED4" w:rsidP="003C3609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A67854D" wp14:editId="72DF4D89">
            <wp:extent cx="3824654" cy="3445866"/>
            <wp:effectExtent l="0" t="0" r="0" b="0"/>
            <wp:docPr id="1441451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51717" name="Picture 14414517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162" cy="348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A1AA" w14:textId="5214B709" w:rsidR="00E61051" w:rsidRDefault="00E6105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02272088" w14:textId="7431A8CE" w:rsidR="00E61051" w:rsidRDefault="00E61051" w:rsidP="00E61051">
      <w:pPr>
        <w:spacing w:after="0"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>Appendix</w:t>
      </w:r>
    </w:p>
    <w:p w14:paraId="35B7CFFB" w14:textId="77777777" w:rsidR="00E61051" w:rsidRPr="003870D1" w:rsidRDefault="00E61051" w:rsidP="00E61051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870D1">
        <w:rPr>
          <w:rFonts w:ascii="Times New Roman" w:hAnsi="Times New Roman" w:cs="Times New Roman"/>
          <w:b/>
          <w:bCs/>
        </w:rPr>
        <w:t>Reproducible Research</w:t>
      </w:r>
    </w:p>
    <w:p w14:paraId="76A03557" w14:textId="16932709" w:rsidR="00E61051" w:rsidRPr="00E61051" w:rsidRDefault="00E61051" w:rsidP="00E61051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data files and analysis code relevant to this project and final report are available at: </w:t>
      </w:r>
      <w:hyperlink r:id="rId9" w:history="1">
        <w:r w:rsidRPr="00DB18D5">
          <w:rPr>
            <w:rStyle w:val="Hyperlink"/>
            <w:rFonts w:ascii="Times New Roman" w:hAnsi="Times New Roman" w:cs="Times New Roman"/>
          </w:rPr>
          <w:t>https://github.com/mmschina/BIOS6624</w:t>
        </w:r>
      </w:hyperlink>
      <w:r>
        <w:rPr>
          <w:rFonts w:ascii="Times New Roman" w:hAnsi="Times New Roman" w:cs="Times New Roman"/>
        </w:rPr>
        <w:t>. All code can be found within the folder titled Project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/Code/. The </w:t>
      </w:r>
      <w:r>
        <w:rPr>
          <w:rFonts w:ascii="Times New Roman" w:hAnsi="Times New Roman" w:cs="Times New Roman"/>
        </w:rPr>
        <w:t>preliminary</w:t>
      </w:r>
      <w:r>
        <w:rPr>
          <w:rFonts w:ascii="Times New Roman" w:hAnsi="Times New Roman" w:cs="Times New Roman"/>
        </w:rPr>
        <w:t xml:space="preserve"> dataset can be found under Project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/</w:t>
      </w:r>
      <w:r w:rsidRPr="00752C4A">
        <w:rPr>
          <w:rFonts w:ascii="Times New Roman" w:hAnsi="Times New Roman" w:cs="Times New Roman"/>
        </w:rPr>
        <w:t>Data/</w:t>
      </w:r>
      <w:r>
        <w:rPr>
          <w:rFonts w:ascii="Times New Roman" w:hAnsi="Times New Roman" w:cs="Times New Roman"/>
        </w:rPr>
        <w:t>PrelimData</w:t>
      </w:r>
      <w:r w:rsidRPr="00752C4A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 xml:space="preserve"> on the local drive, specifically: </w:t>
      </w:r>
      <w:r w:rsidRPr="00ED4667">
        <w:rPr>
          <w:rFonts w:ascii="Times New Roman" w:hAnsi="Times New Roman" w:cs="Times New Roman"/>
        </w:rPr>
        <w:t xml:space="preserve">/Users/Madelynn/Documents/Spring 2026 Courses/Advanced Statistical Methods - BIOS 6624/BIOS6624/Project </w:t>
      </w:r>
      <w:r>
        <w:rPr>
          <w:rFonts w:ascii="Times New Roman" w:hAnsi="Times New Roman" w:cs="Times New Roman"/>
        </w:rPr>
        <w:t>2</w:t>
      </w:r>
      <w:r w:rsidRPr="00ED4667">
        <w:rPr>
          <w:rFonts w:ascii="Times New Roman" w:hAnsi="Times New Roman" w:cs="Times New Roman"/>
        </w:rPr>
        <w:t>/Data/</w:t>
      </w:r>
      <w:r>
        <w:rPr>
          <w:rFonts w:ascii="Times New Roman" w:hAnsi="Times New Roman" w:cs="Times New Roman"/>
        </w:rPr>
        <w:t>PrelimData</w:t>
      </w:r>
      <w:r w:rsidRPr="00ED4667">
        <w:rPr>
          <w:rFonts w:ascii="Times New Roman" w:hAnsi="Times New Roman" w:cs="Times New Roman"/>
        </w:rPr>
        <w:t>.csv</w:t>
      </w:r>
    </w:p>
    <w:p w14:paraId="693574E8" w14:textId="77777777" w:rsidR="00E61051" w:rsidRPr="00B156EF" w:rsidRDefault="00E61051" w:rsidP="00E61051">
      <w:pPr>
        <w:spacing w:after="0" w:line="480" w:lineRule="auto"/>
        <w:rPr>
          <w:rFonts w:asciiTheme="majorBidi" w:hAnsiTheme="majorBidi" w:cstheme="majorBidi"/>
        </w:rPr>
      </w:pPr>
    </w:p>
    <w:p w14:paraId="00F5677E" w14:textId="0383BAFD" w:rsidR="00F72201" w:rsidRPr="00F72201" w:rsidRDefault="00F72201" w:rsidP="00D5553A">
      <w:pPr>
        <w:spacing w:after="0" w:line="480" w:lineRule="auto"/>
        <w:rPr>
          <w:rFonts w:asciiTheme="majorBidi" w:hAnsiTheme="majorBidi" w:cstheme="majorBidi"/>
        </w:rPr>
      </w:pPr>
    </w:p>
    <w:sectPr w:rsidR="00F72201" w:rsidRPr="00F7220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14E63" w14:textId="77777777" w:rsidR="00232F1D" w:rsidRDefault="00232F1D" w:rsidP="00D5553A">
      <w:pPr>
        <w:spacing w:after="0" w:line="240" w:lineRule="auto"/>
      </w:pPr>
      <w:r>
        <w:separator/>
      </w:r>
    </w:p>
  </w:endnote>
  <w:endnote w:type="continuationSeparator" w:id="0">
    <w:p w14:paraId="2AB34C93" w14:textId="77777777" w:rsidR="00232F1D" w:rsidRDefault="00232F1D" w:rsidP="00D55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8AB38" w14:textId="77777777" w:rsidR="00232F1D" w:rsidRDefault="00232F1D" w:rsidP="00D5553A">
      <w:pPr>
        <w:spacing w:after="0" w:line="240" w:lineRule="auto"/>
      </w:pPr>
      <w:r>
        <w:separator/>
      </w:r>
    </w:p>
  </w:footnote>
  <w:footnote w:type="continuationSeparator" w:id="0">
    <w:p w14:paraId="2B41DEB5" w14:textId="77777777" w:rsidR="00232F1D" w:rsidRDefault="00232F1D" w:rsidP="00D55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D2AA" w14:textId="77777777" w:rsidR="00D5553A" w:rsidRDefault="00D5553A" w:rsidP="00D5553A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Madelynn Schina</w:t>
    </w:r>
  </w:p>
  <w:p w14:paraId="2963E23C" w14:textId="09A8E12E" w:rsidR="00D5553A" w:rsidRPr="00D5553A" w:rsidRDefault="00D5553A" w:rsidP="00D5553A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March </w:t>
    </w:r>
    <w:r>
      <w:rPr>
        <w:rFonts w:ascii="Times New Roman" w:hAnsi="Times New Roman" w:cs="Times New Roman"/>
      </w:rPr>
      <w:t>30</w:t>
    </w:r>
    <w:r>
      <w:rPr>
        <w:rFonts w:ascii="Times New Roman" w:hAnsi="Times New Roman" w:cs="Times New Roman"/>
      </w:rPr>
      <w:t>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3A"/>
    <w:rsid w:val="000370F5"/>
    <w:rsid w:val="00232F1D"/>
    <w:rsid w:val="00233506"/>
    <w:rsid w:val="003C3609"/>
    <w:rsid w:val="006A6DA6"/>
    <w:rsid w:val="006C25D4"/>
    <w:rsid w:val="006D0D6F"/>
    <w:rsid w:val="008B78A9"/>
    <w:rsid w:val="009312D1"/>
    <w:rsid w:val="00A27B4B"/>
    <w:rsid w:val="00A84ED4"/>
    <w:rsid w:val="00B156EF"/>
    <w:rsid w:val="00C96450"/>
    <w:rsid w:val="00CE2E16"/>
    <w:rsid w:val="00D5553A"/>
    <w:rsid w:val="00E07F74"/>
    <w:rsid w:val="00E61051"/>
    <w:rsid w:val="00F0478D"/>
    <w:rsid w:val="00F7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1CB62"/>
  <w15:chartTrackingRefBased/>
  <w15:docId w15:val="{622BA783-BCD6-324F-A20A-4C17BC449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53A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53A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55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53A"/>
    <w:rPr>
      <w:rFonts w:eastAsiaTheme="minorHAnsi"/>
      <w:lang w:eastAsia="en-US"/>
    </w:rPr>
  </w:style>
  <w:style w:type="character" w:styleId="Hyperlink">
    <w:name w:val="Hyperlink"/>
    <w:basedOn w:val="DefaultParagraphFont"/>
    <w:uiPriority w:val="99"/>
    <w:unhideWhenUsed/>
    <w:rsid w:val="00E6105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mmschina/BIOS66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783</Words>
  <Characters>4330</Characters>
  <Application>Microsoft Office Word</Application>
  <DocSecurity>0</DocSecurity>
  <Lines>68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Schina, Madelynn</dc:creator>
  <cp:keywords/>
  <dc:description/>
  <cp:lastModifiedBy>Schina, Madelynn</cp:lastModifiedBy>
  <cp:revision>8</cp:revision>
  <dcterms:created xsi:type="dcterms:W3CDTF">2026-03-27T18:53:00Z</dcterms:created>
  <dcterms:modified xsi:type="dcterms:W3CDTF">2026-03-30T15:00:00Z</dcterms:modified>
</cp:coreProperties>
</file>