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1.    Design DFA to accept the following languages:</w:t>
        <w:tab/>
        <w:tab/>
        <w:t xml:space="preserve">               [10]</w:t>
        <w:tab/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i)  L={w| w contains 101as substrings }, Verify that your   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DFA works by finding out extended transition function, </w:t>
      </w:r>
      <m:oMathPara>
        <m:oMathParaPr>
          <m:jc m:val="left"/>
        </m:oMathParaPr>
        <m:oMath>
          <m:acc>
            <m:accPr>
              <m:chr m:val="̂"/>
              <m:ctrlPr>
                <w:rPr>
                  <w:rFonts w:ascii="Times New Roman" w:cs="Times New Roman" w:eastAsia="Times New Roman" w:hAnsi="Times New Roman"/>
                  <w:sz w:val="24"/>
                  <w:szCs w:val="24"/>
                </w:rPr>
              </m:ctrlPr>
            </m:accPr>
            <m:e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δ</m:t>
              </m:r>
            </m:e>
          </m:acc>
        </m:oMath>
      </m:oMathPara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0 ,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1010), where 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  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start state.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