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91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Компьютерный</w:t>
      </w:r>
      <w:r>
        <w:t xml:space="preserve"> </w:t>
      </w:r>
      <w:r>
        <w:t xml:space="preserve">практикум</w:t>
      </w:r>
      <w:r>
        <w:t xml:space="preserve"> </w:t>
      </w:r>
      <w:r>
        <w:t xml:space="preserve">по</w:t>
      </w:r>
      <w:r>
        <w:t xml:space="preserve"> </w:t>
      </w:r>
      <w:r>
        <w:t xml:space="preserve">статистическому</w:t>
      </w:r>
      <w:r>
        <w:t xml:space="preserve"> </w:t>
      </w:r>
      <w:r>
        <w:t xml:space="preserve">анализу</w:t>
      </w:r>
      <w:r>
        <w:t xml:space="preserve"> </w:t>
      </w:r>
      <w:r>
        <w:t xml:space="preserve">данных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Управляющие</w:t>
      </w:r>
      <w:r>
        <w:t xml:space="preserve"> </w:t>
      </w:r>
      <w:r>
        <w:t xml:space="preserve">структуры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Мухсиновна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Основная цель работы – освоить применение циклов функций и сторонних для Julia пакетов для решения задач линейной алгебры и работы с матрицами.</w:t>
      </w:r>
    </w:p>
    <w:p>
      <w:pPr>
        <w:pStyle w:val="BodyText"/>
      </w:pPr>
      <w:r>
        <w:rPr>
          <w:b/>
          <w:bCs/>
        </w:rP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Jupyter Lab, повторите примеры из раздела 3.2.</w:t>
      </w:r>
    </w:p>
    <w:p>
      <w:pPr>
        <w:pStyle w:val="Compact"/>
        <w:numPr>
          <w:ilvl w:val="0"/>
          <w:numId w:val="1001"/>
        </w:numPr>
      </w:pPr>
      <w:r>
        <w:t xml:space="preserve">Выполните задания для самостоятельной работы (раздел 3.4).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свободный язык программирования с динамической типизацией, созданный для математических вычислений.</w:t>
      </w:r>
      <w:r>
        <w:t xml:space="preserve">[1]</w:t>
      </w:r>
      <w:r>
        <w:t xml:space="preserve">. Эффективен также и для написания программ общего назначения. Синтаксис языка схож с синтаксисом других математических языков, однако имеет некоторые существенные отличия.</w:t>
      </w:r>
    </w:p>
    <w:p>
      <w:pPr>
        <w:pStyle w:val="BodyText"/>
      </w:pPr>
      <w:r>
        <w:t xml:space="preserve">Для выполнения заданий была использована официальная документация Julia</w:t>
      </w:r>
      <w:r>
        <w:t xml:space="preserve">[2]</w:t>
      </w:r>
      <w:r>
        <w:t xml:space="preserve">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Выполним примеры из лабораторной работы для изучения циклов и функций(рис. fig. 1 - fig. 5)</w:t>
      </w:r>
    </w:p>
    <w:p>
      <w:pPr>
        <w:pStyle w:val="CaptionedFigure"/>
      </w:pPr>
      <w:r>
        <w:drawing>
          <wp:inline>
            <wp:extent cx="3733800" cy="2971166"/>
            <wp:effectExtent b="0" l="0" r="0" t="0"/>
            <wp:docPr descr="Рис. 1: Примеры. Циклы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Примеры. Циклы</w:t>
      </w:r>
    </w:p>
    <w:p>
      <w:pPr>
        <w:pStyle w:val="CaptionedFigure"/>
      </w:pPr>
      <w:r>
        <w:drawing>
          <wp:inline>
            <wp:extent cx="3733800" cy="3066925"/>
            <wp:effectExtent b="0" l="0" r="0" t="0"/>
            <wp:docPr descr="Рис. 2: Примеры. Циклы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Примеры. Циклы</w:t>
      </w:r>
    </w:p>
    <w:p>
      <w:pPr>
        <w:pStyle w:val="CaptionedFigure"/>
      </w:pPr>
      <w:r>
        <w:drawing>
          <wp:inline>
            <wp:extent cx="3733800" cy="3716943"/>
            <wp:effectExtent b="0" l="0" r="0" t="0"/>
            <wp:docPr descr="Рис. 3: Примеры. Цикл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Примеры. Циклы</w:t>
      </w:r>
    </w:p>
    <w:p>
      <w:pPr>
        <w:pStyle w:val="CaptionedFigure"/>
      </w:pPr>
      <w:r>
        <w:drawing>
          <wp:inline>
            <wp:extent cx="3733800" cy="3337049"/>
            <wp:effectExtent b="0" l="0" r="0" t="0"/>
            <wp:docPr descr="Рис. 4: Примеры. Услов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Примеры. Условия</w:t>
      </w:r>
    </w:p>
    <w:p>
      <w:pPr>
        <w:pStyle w:val="CaptionedFigure"/>
      </w:pPr>
      <w:r>
        <w:drawing>
          <wp:inline>
            <wp:extent cx="3733800" cy="3984850"/>
            <wp:effectExtent b="0" l="0" r="0" t="0"/>
            <wp:docPr descr="Рис. 5: Примеры. Функции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Примеры. Функции</w:t>
      </w:r>
    </w:p>
    <w:p>
      <w:pPr>
        <w:pStyle w:val="CaptionedFigure"/>
      </w:pPr>
      <w:r>
        <w:drawing>
          <wp:inline>
            <wp:extent cx="3733800" cy="4324124"/>
            <wp:effectExtent b="0" l="0" r="0" t="0"/>
            <wp:docPr descr="Рис. 6: Примеры. Функции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Примеры. Функции</w:t>
      </w:r>
    </w:p>
    <w:p>
      <w:pPr>
        <w:pStyle w:val="CaptionedFigure"/>
      </w:pPr>
      <w:r>
        <w:drawing>
          <wp:inline>
            <wp:extent cx="3733800" cy="4092729"/>
            <wp:effectExtent b="0" l="0" r="0" t="0"/>
            <wp:docPr descr="Рис. 7: Примеры. Функции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Примеры. Функции</w:t>
      </w:r>
    </w:p>
    <w:p>
      <w:pPr>
        <w:pStyle w:val="CaptionedFigure"/>
      </w:pPr>
      <w:r>
        <w:drawing>
          <wp:inline>
            <wp:extent cx="2941320" cy="2918460"/>
            <wp:effectExtent b="0" l="0" r="0" t="0"/>
            <wp:docPr descr="Рис. 8: Примеры. Функции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Примеры. Функции</w:t>
      </w:r>
    </w:p>
    <w:p>
      <w:pPr>
        <w:pStyle w:val="BodyText"/>
      </w:pPr>
      <w:r>
        <w:t xml:space="preserve">В первом задании рассмотрим цикл for и создадим словарь, который будет содержать целые числа в качестве ключей и квадраты в качестве их пар-значений(рис. fig. 9)</w:t>
      </w:r>
    </w:p>
    <w:p>
      <w:pPr>
        <w:pStyle w:val="CaptionedFigure"/>
      </w:pPr>
      <w:r>
        <w:drawing>
          <wp:inline>
            <wp:extent cx="3733800" cy="2929756"/>
            <wp:effectExtent b="0" l="0" r="0" t="0"/>
            <wp:docPr descr="Рис. 9: Задание 1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1</w:t>
      </w:r>
    </w:p>
    <w:p>
      <w:pPr>
        <w:pStyle w:val="BodyText"/>
      </w:pPr>
      <w:r>
        <w:t xml:space="preserve">Создадим список с квадратами чисел от 1 до 100:</w:t>
      </w:r>
    </w:p>
    <w:p>
      <w:pPr>
        <w:pStyle w:val="CaptionedFigure"/>
      </w:pPr>
      <w:r>
        <w:drawing>
          <wp:inline>
            <wp:extent cx="2895600" cy="3764279"/>
            <wp:effectExtent b="0" l="0" r="0" t="0"/>
            <wp:docPr descr="Рис. 10: Задание 1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76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</w:t>
      </w:r>
    </w:p>
    <w:p>
      <w:pPr>
        <w:pStyle w:val="BodyText"/>
      </w:pPr>
      <w:r>
        <w:t xml:space="preserve">Во втором задании напишем цикл на определение четности числа при помощи условных операторов</w:t>
      </w:r>
    </w:p>
    <w:p>
      <w:pPr>
        <w:pStyle w:val="CaptionedFigure"/>
      </w:pPr>
      <w:r>
        <w:drawing>
          <wp:inline>
            <wp:extent cx="3733800" cy="896398"/>
            <wp:effectExtent b="0" l="0" r="0" t="0"/>
            <wp:docPr descr="Рис. 11: Задание 2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2</w:t>
      </w:r>
    </w:p>
    <w:p>
      <w:pPr>
        <w:pStyle w:val="BodyText"/>
      </w:pPr>
      <w:r>
        <w:t xml:space="preserve">В третьем напишем простую функцию прибавления единицы,</w:t>
      </w:r>
    </w:p>
    <w:p>
      <w:pPr>
        <w:pStyle w:val="CaptionedFigure"/>
      </w:pPr>
      <w:r>
        <w:drawing>
          <wp:inline>
            <wp:extent cx="3733800" cy="1066183"/>
            <wp:effectExtent b="0" l="0" r="0" t="0"/>
            <wp:docPr descr="Рис. 12: Задание 3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3</w:t>
      </w:r>
    </w:p>
    <w:p>
      <w:pPr>
        <w:pStyle w:val="BodyText"/>
      </w:pPr>
      <w:r>
        <w:t xml:space="preserve">А в четвертом зададим матрицу A, каждый элемент которой увеличивается на единицу по сравнению с предыдущим(рис. fig. 13)</w:t>
      </w:r>
    </w:p>
    <w:p>
      <w:pPr>
        <w:pStyle w:val="CaptionedFigure"/>
      </w:pPr>
      <w:r>
        <w:drawing>
          <wp:inline>
            <wp:extent cx="3733800" cy="866673"/>
            <wp:effectExtent b="0" l="0" r="0" t="0"/>
            <wp:docPr descr="Рис. 13: Задание 4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4</w:t>
      </w:r>
    </w:p>
    <w:p>
      <w:pPr>
        <w:pStyle w:val="BodyText"/>
      </w:pPr>
      <w:r>
        <w:t xml:space="preserve">Зададим матрицу A, найдем ее куб и изменим столбец(рис. fig. </w:t>
      </w:r>
      <w:r>
        <w:rPr>
          <w:b/>
          <w:bCs/>
        </w:rPr>
        <w:t xml:space="preserve">¿fig:0014?</w:t>
      </w:r>
      <w:r>
        <w:t xml:space="preserve">)</w:t>
      </w:r>
    </w:p>
    <w:p>
      <w:pPr>
        <w:pStyle w:val="CaptionedFigure"/>
      </w:pPr>
      <w:r>
        <w:drawing>
          <wp:inline>
            <wp:extent cx="3733800" cy="3360420"/>
            <wp:effectExtent b="0" l="0" r="0" t="0"/>
            <wp:docPr descr="Рис. 14: Задание 5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5</w:t>
      </w:r>
    </w:p>
    <w:p>
      <w:pPr>
        <w:pStyle w:val="CaptionedFigure"/>
      </w:pPr>
      <w:r>
        <w:drawing>
          <wp:inline>
            <wp:extent cx="3733800" cy="3046780"/>
            <wp:effectExtent b="0" l="0" r="0" t="0"/>
            <wp:docPr descr="Рис. 15: Задание 5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5</w:t>
      </w:r>
    </w:p>
    <w:p>
      <w:pPr>
        <w:pStyle w:val="BodyText"/>
      </w:pPr>
      <w:r>
        <w:t xml:space="preserve">Зададим матрицу и умножим её на обратную себе же(рис. fig. 16)</w:t>
      </w:r>
    </w:p>
    <w:p>
      <w:pPr>
        <w:pStyle w:val="CaptionedFigure"/>
      </w:pPr>
      <w:r>
        <w:drawing>
          <wp:inline>
            <wp:extent cx="3733800" cy="2288681"/>
            <wp:effectExtent b="0" l="0" r="0" t="0"/>
            <wp:docPr descr="Рис. 16: Задание 6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6</w:t>
      </w:r>
    </w:p>
    <w:p>
      <w:pPr>
        <w:pStyle w:val="BodyText"/>
      </w:pPr>
      <w:r>
        <w:t xml:space="preserve">При помощи циклов преобразуем матрицы в различные виды(рис. fig. 17)</w:t>
      </w:r>
    </w:p>
    <w:p>
      <w:pPr>
        <w:pStyle w:val="CaptionedFigure"/>
      </w:pPr>
      <w:r>
        <w:drawing>
          <wp:inline>
            <wp:extent cx="3733800" cy="1606354"/>
            <wp:effectExtent b="0" l="0" r="0" t="0"/>
            <wp:docPr descr="Рис. 17: Задание 7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6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7</w:t>
      </w:r>
    </w:p>
    <w:p>
      <w:pPr>
        <w:pStyle w:val="CaptionedFigure"/>
      </w:pPr>
      <w:r>
        <w:drawing>
          <wp:inline>
            <wp:extent cx="3733800" cy="3549106"/>
            <wp:effectExtent b="0" l="0" r="0" t="0"/>
            <wp:docPr descr="Рис. 18: Задание 7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Задание 7</w:t>
      </w:r>
    </w:p>
    <w:p>
      <w:pPr>
        <w:pStyle w:val="CaptionedFigure"/>
      </w:pPr>
      <w:r>
        <w:drawing>
          <wp:inline>
            <wp:extent cx="2621280" cy="3230880"/>
            <wp:effectExtent b="0" l="0" r="0" t="0"/>
            <wp:docPr descr="Рис. 19: Задание 7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Задание 7</w:t>
      </w:r>
    </w:p>
    <w:p>
      <w:pPr>
        <w:pStyle w:val="BodyText"/>
      </w:pPr>
      <w:r>
        <w:t xml:space="preserve">Создадим функцию эквивалентную одноименной функции из языка R(рис. fig. 20)</w:t>
      </w:r>
    </w:p>
    <w:p>
      <w:pPr>
        <w:pStyle w:val="CaptionedFigure"/>
      </w:pPr>
      <w:r>
        <w:drawing>
          <wp:inline>
            <wp:extent cx="3733800" cy="1484987"/>
            <wp:effectExtent b="0" l="0" r="0" t="0"/>
            <wp:docPr descr="Рис. 20: Задания 8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Задания 8</w:t>
      </w:r>
    </w:p>
    <w:p>
      <w:pPr>
        <w:pStyle w:val="CaptionedFigure"/>
      </w:pPr>
      <w:r>
        <w:drawing>
          <wp:inline>
            <wp:extent cx="3733800" cy="2991262"/>
            <wp:effectExtent b="0" l="0" r="0" t="0"/>
            <wp:docPr descr="Рис. 21: Задания 8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1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Задания 8</w:t>
      </w:r>
    </w:p>
    <w:p>
      <w:pPr>
        <w:pStyle w:val="BodyText"/>
      </w:pPr>
      <w:r>
        <w:t xml:space="preserve">Решим линейное уравнение в матричном виде в задании 9(рис. fig. 22)</w:t>
      </w:r>
    </w:p>
    <w:p>
      <w:pPr>
        <w:pStyle w:val="CaptionedFigure"/>
      </w:pPr>
      <w:r>
        <w:drawing>
          <wp:inline>
            <wp:extent cx="3733800" cy="1708855"/>
            <wp:effectExtent b="0" l="0" r="0" t="0"/>
            <wp:docPr descr="Рис. 22: Задания 9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Задания 9</w:t>
      </w:r>
    </w:p>
    <w:p>
      <w:pPr>
        <w:pStyle w:val="BodyText"/>
      </w:pPr>
      <w:r>
        <w:t xml:space="preserve">В 10 задании произведем анализ количества элементов матрицы, удовлетворяющих необходимым условиям(рис. fig. 12)</w:t>
      </w:r>
    </w:p>
    <w:p>
      <w:pPr>
        <w:pStyle w:val="CaptionedFigure"/>
      </w:pPr>
      <w:r>
        <w:drawing>
          <wp:inline>
            <wp:extent cx="3733800" cy="1431505"/>
            <wp:effectExtent b="0" l="0" r="0" t="0"/>
            <wp:docPr descr="Рис. 23: Задание 10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Задание 10</w:t>
      </w:r>
    </w:p>
    <w:p>
      <w:pPr>
        <w:pStyle w:val="BodyText"/>
      </w:pPr>
      <w:r>
        <w:t xml:space="preserve">В задании 10 найдем значения двух сумм(рис. fig. 12)</w:t>
      </w:r>
    </w:p>
    <w:p>
      <w:pPr>
        <w:pStyle w:val="CaptionedFigure"/>
      </w:pPr>
      <w:r>
        <w:drawing>
          <wp:inline>
            <wp:extent cx="3733800" cy="2758499"/>
            <wp:effectExtent b="0" l="0" r="0" t="0"/>
            <wp:docPr descr="Рис. 24: Задание 11" title="" id="92" name="Picture"/>
            <a:graphic>
              <a:graphicData uri="http://schemas.openxmlformats.org/drawingml/2006/picture">
                <pic:pic>
                  <pic:nvPicPr>
                    <pic:cNvPr descr="image/24.JP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Задание 11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были освоены циклы, функции и сторонние для Julia пакеты для решения задач линейной алгебры и работы с матрицами.</w:t>
      </w:r>
    </w:p>
    <w:bookmarkEnd w:id="95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Start w:id="97" w:name="ref-julialang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JuliaLang [Электронный ресурс]. 2024 JuliaLang.org contributors. URL:</w:t>
      </w:r>
      <w:r>
        <w:t xml:space="preserve"> </w:t>
      </w:r>
      <w:hyperlink r:id="rId96">
        <w:r>
          <w:rPr>
            <w:rStyle w:val="Hyperlink"/>
          </w:rPr>
          <w:t xml:space="preserve">https://julialang.org/</w:t>
        </w:r>
      </w:hyperlink>
      <w:r>
        <w:t xml:space="preserve"> </w:t>
      </w:r>
      <w:r>
        <w:t xml:space="preserve">(дата обращения: 11.10.2024).</w:t>
      </w:r>
    </w:p>
    <w:bookmarkEnd w:id="97"/>
    <w:bookmarkStart w:id="99" w:name="ref-juliadoc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Julia 1.11 Documentation [Электронный ресурс]. 2024 JuliaLang.org contributors. URL:</w:t>
      </w:r>
      <w:r>
        <w:t xml:space="preserve"> </w:t>
      </w:r>
      <w:hyperlink r:id="rId98">
        <w:r>
          <w:rPr>
            <w:rStyle w:val="Hyperlink"/>
          </w:rPr>
          <w:t xml:space="preserve">https://docs.julialang.org/en/v1/</w:t>
        </w:r>
      </w:hyperlink>
      <w:r>
        <w:t xml:space="preserve"> </w:t>
      </w:r>
      <w:r>
        <w:t xml:space="preserve">(дата обращения: 11.10.2024).</w:t>
      </w:r>
    </w:p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91" Target="media/rId91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98" Target="https://docs.julialang.org/en/v1/" TargetMode="External" /><Relationship Type="http://schemas.openxmlformats.org/officeDocument/2006/relationships/hyperlink" Id="rId96" Target="https://julialang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docs.julialang.org/en/v1/" TargetMode="External" /><Relationship Type="http://schemas.openxmlformats.org/officeDocument/2006/relationships/hyperlink" Id="rId96" Target="https://julialang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Компьютерный практикум по статистическому анализу данных</dc:title>
  <dc:creator>Сунгурова Мариян Мухсиновна</dc:creator>
  <dc:language>ru-RU</dc:language>
  <cp:keywords/>
  <dcterms:created xsi:type="dcterms:W3CDTF">2024-11-30T19:50:33Z</dcterms:created>
  <dcterms:modified xsi:type="dcterms:W3CDTF">2024-11-30T19:50:33Z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3. Управляющие структуры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