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26.jpg" ContentType="image/jpeg"/>
  <Override PartName="/word/media/rId80.jpg" ContentType="image/jpeg"/>
  <Override PartName="/word/media/rId83.jpg" ContentType="image/jpeg"/>
  <Override PartName="/word/media/rId86.jpg" ContentType="image/jpeg"/>
  <Override PartName="/word/media/rId89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Решение</w:t>
      </w:r>
      <w:r>
        <w:t xml:space="preserve"> </w:t>
      </w:r>
      <w:r>
        <w:t xml:space="preserve">моделей</w:t>
      </w:r>
      <w:r>
        <w:t xml:space="preserve"> </w:t>
      </w:r>
      <w:r>
        <w:t xml:space="preserve">в</w:t>
      </w:r>
      <w:r>
        <w:t xml:space="preserve"> </w:t>
      </w:r>
      <w:r>
        <w:t xml:space="preserve">непрерывном</w:t>
      </w:r>
      <w:r>
        <w:t xml:space="preserve"> </w:t>
      </w:r>
      <w:r>
        <w:t xml:space="preserve">и</w:t>
      </w:r>
      <w:r>
        <w:t xml:space="preserve"> </w:t>
      </w:r>
      <w:r>
        <w:t xml:space="preserve">дискретном</w:t>
      </w:r>
      <w:r>
        <w:t xml:space="preserve"> </w:t>
      </w:r>
      <w:r>
        <w:t xml:space="preserve">времени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  <w:r>
        <w:t xml:space="preserve"> </w:t>
      </w:r>
      <w:r>
        <w:t xml:space="preserve">Мухсиновна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Основной целью данной лабораторной работы является освоение специализированных пакетов для решения задач в непрерывном и дискретном времени.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Используя JupyterLab, повторите примерыи. При этом дополните графики</w:t>
      </w:r>
      <w:r>
        <w:t xml:space="preserve"> </w:t>
      </w:r>
      <w:r>
        <w:t xml:space="preserve">обозначениями осей координат, легендой с названиями траекторий, названиями</w:t>
      </w:r>
      <w:r>
        <w:t xml:space="preserve"> </w:t>
      </w:r>
      <w:r>
        <w:t xml:space="preserve">графиков и т.п.</w:t>
      </w:r>
    </w:p>
    <w:p>
      <w:pPr>
        <w:numPr>
          <w:ilvl w:val="0"/>
          <w:numId w:val="1001"/>
        </w:numPr>
      </w:pPr>
      <w:r>
        <w:t xml:space="preserve">Выполните 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– высокоуровневый свободный язык программирования с динамической типизацией, созданный для математических вычислений</w:t>
      </w:r>
      <w:r>
        <w:t xml:space="preserve"> </w:t>
      </w:r>
      <w:r>
        <w:t xml:space="preserve">[1]</w:t>
      </w:r>
      <w:r>
        <w:t xml:space="preserve">. Эффективен также и для написания программ общего назначения. Синтаксис языка схож с синтаксисом других математических языков, однако имеет некоторые существенные отличия.</w:t>
      </w:r>
    </w:p>
    <w:p>
      <w:pPr>
        <w:pStyle w:val="BodyText"/>
      </w:pPr>
      <w:r>
        <w:t xml:space="preserve">Для выполнения заданий была использована официальная документация Julia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примеры из лабораторной работы для знакомства с работой с различными моделями и способами их задания решения (рис. 1-7).</w:t>
      </w:r>
    </w:p>
    <w:p>
      <w:pPr>
        <w:pStyle w:val="CaptionedFigure"/>
      </w:pPr>
      <w:r>
        <w:drawing>
          <wp:inline>
            <wp:extent cx="3733800" cy="2546961"/>
            <wp:effectExtent b="0" l="0" r="0" t="0"/>
            <wp:docPr descr="Рис. 1: Модель экспоненциального рост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экспоненциального роста</w:t>
      </w:r>
    </w:p>
    <w:p>
      <w:pPr>
        <w:pStyle w:val="CaptionedFigure"/>
      </w:pPr>
      <w:r>
        <w:drawing>
          <wp:inline>
            <wp:extent cx="3733800" cy="2584475"/>
            <wp:effectExtent b="0" l="0" r="0" t="0"/>
            <wp:docPr descr="Рис. 2: Модель экспоненциального рост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экспоненциального роста</w:t>
      </w:r>
    </w:p>
    <w:p>
      <w:pPr>
        <w:pStyle w:val="CaptionedFigure"/>
      </w:pPr>
      <w:r>
        <w:drawing>
          <wp:inline>
            <wp:extent cx="3733800" cy="2236941"/>
            <wp:effectExtent b="0" l="0" r="0" t="0"/>
            <wp:docPr descr="Рис. 3: Модель экспоненциального рост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экспоненциального роста</w:t>
      </w:r>
    </w:p>
    <w:p>
      <w:pPr>
        <w:pStyle w:val="CaptionedFigure"/>
      </w:pPr>
      <w:r>
        <w:drawing>
          <wp:inline>
            <wp:extent cx="3733800" cy="4213237"/>
            <wp:effectExtent b="0" l="0" r="0" t="0"/>
            <wp:docPr descr="Рис. 4: Система Лоренца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3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Система Лоренца</w:t>
      </w:r>
    </w:p>
    <w:p>
      <w:pPr>
        <w:pStyle w:val="CaptionedFigure"/>
      </w:pPr>
      <w:r>
        <w:drawing>
          <wp:inline>
            <wp:extent cx="3733800" cy="2067003"/>
            <wp:effectExtent b="0" l="0" r="0" t="0"/>
            <wp:docPr descr="Рис. 5: Система Лоренца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7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Система Лоренца</w:t>
      </w:r>
    </w:p>
    <w:p>
      <w:pPr>
        <w:pStyle w:val="CaptionedFigure"/>
      </w:pPr>
      <w:r>
        <w:drawing>
          <wp:inline>
            <wp:extent cx="3733800" cy="2936645"/>
            <wp:effectExtent b="0" l="0" r="0" t="0"/>
            <wp:docPr descr="Рис. 6: Модель Лотки–Вольтерры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Модель Лотки–Вольтерры</w:t>
      </w:r>
    </w:p>
    <w:p>
      <w:pPr>
        <w:pStyle w:val="CaptionedFigure"/>
      </w:pPr>
      <w:r>
        <w:drawing>
          <wp:inline>
            <wp:extent cx="3733800" cy="3277763"/>
            <wp:effectExtent b="0" l="0" r="0" t="0"/>
            <wp:docPr descr="Рис. 7: Модель Лотки–Вольтерры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Лотки–Вольтерры</w:t>
      </w:r>
    </w:p>
    <w:p>
      <w:pPr>
        <w:pStyle w:val="BodyText"/>
      </w:pPr>
      <w:r>
        <w:t xml:space="preserve">Далее перейдем к заданиям для самостоятельного выполнения.</w:t>
      </w:r>
    </w:p>
    <w:p>
      <w:pPr>
        <w:pStyle w:val="BodyText"/>
      </w:pPr>
      <w:r>
        <w:t xml:space="preserve">В первом задании реализуем и проанализируем модель роста численности изолированной популяции(модель Мальтуса):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t>a</m:t>
          </m:r>
          <m:r>
            <m:t>x</m:t>
          </m:r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=</m:t>
          </m:r>
          <m:r>
            <m:t>b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численность изолированной популяции в момент времени</w:t>
      </w:r>
      <w:r>
        <w:t xml:space="preserve"> </w:t>
      </w:r>
      <m:oMath>
        <m:r>
          <m:t>t</m:t>
        </m:r>
      </m:oMath>
      <w:r>
        <w:t xml:space="preserve">,</w:t>
      </w:r>
      <m:oMath>
        <m:r>
          <m:t>a</m:t>
        </m:r>
      </m:oMath>
      <w:r>
        <w:t xml:space="preserve"> </w:t>
      </w:r>
      <w:r>
        <w:t xml:space="preserve">– коэффициент роста популяции,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рождаемости,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смертности.</w:t>
      </w:r>
      <w:r>
        <w:t xml:space="preserve"> </w:t>
      </w:r>
      <w:r>
        <w:t xml:space="preserve">Построим соответствующие графики (в том числе с анимацией) (рис. 8-9).</w:t>
      </w:r>
    </w:p>
    <w:p>
      <w:pPr>
        <w:pStyle w:val="CaptionedFigure"/>
      </w:pPr>
      <w:r>
        <w:drawing>
          <wp:inline>
            <wp:extent cx="3733800" cy="3651938"/>
            <wp:effectExtent b="0" l="0" r="0" t="0"/>
            <wp:docPr descr="Рис. 8: модель Мальтуса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модель Мальтуса</w:t>
      </w:r>
    </w:p>
    <w:p>
      <w:pPr>
        <w:pStyle w:val="CaptionedFigure"/>
      </w:pPr>
      <w:r>
        <w:drawing>
          <wp:inline>
            <wp:extent cx="3733800" cy="4317966"/>
            <wp:effectExtent b="0" l="0" r="0" t="0"/>
            <wp:docPr descr="Рис. 9: модель Мальтуса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7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Мальтуса</w:t>
      </w:r>
    </w:p>
    <w:p>
      <w:pPr>
        <w:pStyle w:val="BodyText"/>
      </w:pPr>
      <w:r>
        <w:t xml:space="preserve">Далее во втором задании реализуем и проанализируем логистическую модель роста популяции: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t>r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k</m:t>
                  </m:r>
                </m:den>
              </m:f>
            </m:e>
          </m:d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 </m:t>
          </m:r>
          <m:r>
            <m:t>k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– коэффициент роста популяции,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потенциальная ёмкость экологической системы (предельное значение численности популяции).</w:t>
      </w:r>
      <w:r>
        <w:t xml:space="preserve"> </w:t>
      </w:r>
      <w:r>
        <w:t xml:space="preserve">Построим соответствующие графики (в том числе с анимацией) (рис. 10-11).</w:t>
      </w:r>
    </w:p>
    <w:p>
      <w:pPr>
        <w:pStyle w:val="CaptionedFigure"/>
      </w:pPr>
      <w:r>
        <w:drawing>
          <wp:inline>
            <wp:extent cx="3733800" cy="2292293"/>
            <wp:effectExtent b="0" l="0" r="0" t="0"/>
            <wp:docPr descr="Рис. 10: Логистическая модель роста популяции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Логистическая модель роста популяции</w:t>
      </w:r>
    </w:p>
    <w:p>
      <w:pPr>
        <w:pStyle w:val="BodyText"/>
      </w:pPr>
      <w:r>
        <w:t xml:space="preserve">Анимация:</w:t>
      </w:r>
    </w:p>
    <w:p>
      <w:pPr>
        <w:pStyle w:val="CaptionedFigure"/>
      </w:pPr>
      <w:r>
        <w:drawing>
          <wp:inline>
            <wp:extent cx="3733800" cy="2789782"/>
            <wp:effectExtent b="0" l="0" r="0" t="0"/>
            <wp:docPr descr="Рис. 11: Логистическая модель роста популяции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Логистическая модель роста популяции</w:t>
      </w:r>
    </w:p>
    <w:p>
      <w:pPr>
        <w:pStyle w:val="BodyText"/>
      </w:pPr>
      <w:r>
        <w:t xml:space="preserve">В заданиии номер 3 реализуем и проанализируем логистическую модель эпидемии Кермака–Маккендрика (SIR-модель):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I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γ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– численность восприимчивой популяции,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– численность инфицированных,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– численность удаленной популяции (в результате смерти или выздоровления), 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это сумма этих трёх, а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это коэффициенты заболеваемости</w:t>
      </w:r>
      <w:r>
        <w:t xml:space="preserve"> </w:t>
      </w:r>
      <w:r>
        <w:t xml:space="preserve">и выздоровления соответственно (рис. 12).</w:t>
      </w:r>
    </w:p>
    <w:p>
      <w:pPr>
        <w:pStyle w:val="CaptionedFigure"/>
      </w:pPr>
      <w:r>
        <w:drawing>
          <wp:inline>
            <wp:extent cx="3733800" cy="4229782"/>
            <wp:effectExtent b="0" l="0" r="0" t="0"/>
            <wp:docPr descr="Рис. 12: SIR-модель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SIR-модель</w:t>
      </w:r>
    </w:p>
    <w:p>
      <w:pPr>
        <w:pStyle w:val="BodyText"/>
      </w:pPr>
      <w:r>
        <w:t xml:space="preserve">Также была реализована и анимация</w:t>
      </w:r>
    </w:p>
    <w:p>
      <w:pPr>
        <w:pStyle w:val="CaptionedFigure"/>
      </w:pPr>
      <w:r>
        <w:drawing>
          <wp:inline>
            <wp:extent cx="3733800" cy="2703570"/>
            <wp:effectExtent b="0" l="0" r="0" t="0"/>
            <wp:docPr descr="Рис. 13: SIR-модель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3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SIR-модель</w:t>
      </w:r>
    </w:p>
    <w:p>
      <w:pPr>
        <w:pStyle w:val="BodyText"/>
      </w:pPr>
      <w:r>
        <w:t xml:space="preserve">Далее в рамках четвертого задания как расширение модели SIR (Susceptible-Infected-Removed) по результатам эпидемии испанки была предложена модель SEIR (Susceptible-Exposed-Infected-Removed) (рис. 9).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β</m:t>
                        </m:r>
                      </m:num>
                      <m:den>
                        <m:r>
                          <m:t>N</m:t>
                        </m:r>
                      </m:den>
                    </m:f>
                    <m:r>
                      <m:t>I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E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β</m:t>
                        </m:r>
                      </m:num>
                      <m:den>
                        <m:r>
                          <m:t>N</m:t>
                        </m:r>
                      </m:den>
                    </m:f>
                    <m:r>
                      <m:t>I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δ</m:t>
                    </m:r>
                    <m:r>
                      <m:t>E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δ</m:t>
                    </m:r>
                    <m:r>
                      <m:t>E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γ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4066814"/>
            <wp:effectExtent b="0" l="0" r="0" t="0"/>
            <wp:docPr descr="Рис. 14: SEIR-модель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6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SEIR-модель</w:t>
      </w:r>
    </w:p>
    <w:p>
      <w:pPr>
        <w:pStyle w:val="CaptionedFigure"/>
      </w:pPr>
      <w:r>
        <w:drawing>
          <wp:inline>
            <wp:extent cx="3733800" cy="2605109"/>
            <wp:effectExtent b="0" l="0" r="0" t="0"/>
            <wp:docPr descr="Рис. 15: SEIR-модель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5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SEIR-модель</w:t>
      </w:r>
    </w:p>
    <w:p>
      <w:pPr>
        <w:pStyle w:val="BodyText"/>
      </w:pPr>
      <w:r>
        <w:t xml:space="preserve">В задании номер 5 для дискретной модели Лотки–Вольтерры: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данными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найдем точку равновесия. Получим и сравним аналитическое и численное решения (рис. 16).</w:t>
      </w:r>
    </w:p>
    <w:p>
      <w:pPr>
        <w:pStyle w:val="CaptionedFigure"/>
      </w:pPr>
      <w:r>
        <w:drawing>
          <wp:inline>
            <wp:extent cx="3733800" cy="4039764"/>
            <wp:effectExtent b="0" l="0" r="0" t="0"/>
            <wp:docPr descr="Рис. 16: Дискретная модель Лотки–Вольтерры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Дискретная модель Лотки–Вольтерры</w:t>
      </w:r>
    </w:p>
    <w:p>
      <w:pPr>
        <w:pStyle w:val="CaptionedFigure"/>
      </w:pPr>
      <w:r>
        <w:drawing>
          <wp:inline>
            <wp:extent cx="3733800" cy="2832537"/>
            <wp:effectExtent b="0" l="0" r="0" t="0"/>
            <wp:docPr descr="Рис. 17: Дискретная модель Лотки–Вольтерры" title="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Дискретная модель Лотки–Вольтерры</w:t>
      </w:r>
    </w:p>
    <w:p>
      <w:pPr>
        <w:pStyle w:val="BodyText"/>
      </w:pPr>
      <w:r>
        <w:t xml:space="preserve">Реализуем на языке Julia модель отбора на основе конкурентных отношений: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α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α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задании 6 Построим соответствующие графики (в том числе с анимацией) и фазовый портрет (рис. 18-19).</w:t>
      </w:r>
    </w:p>
    <w:p>
      <w:pPr>
        <w:pStyle w:val="CaptionedFigure"/>
      </w:pPr>
      <w:r>
        <w:drawing>
          <wp:inline>
            <wp:extent cx="3733800" cy="3951080"/>
            <wp:effectExtent b="0" l="0" r="0" t="0"/>
            <wp:docPr descr="Рис. 18: Модель отбора на основе конкурентных отношений" title="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Модель отбора на основе конкурентных отношений</w:t>
      </w:r>
    </w:p>
    <w:p>
      <w:pPr>
        <w:pStyle w:val="CaptionedFigure"/>
      </w:pPr>
      <w:r>
        <w:drawing>
          <wp:inline>
            <wp:extent cx="3733800" cy="2936630"/>
            <wp:effectExtent b="0" l="0" r="0" t="0"/>
            <wp:docPr descr="Рис. 19: Модель отбора на основе конкурентных отношений" title="" id="78" name="Picture"/>
            <a:graphic>
              <a:graphicData uri="http://schemas.openxmlformats.org/drawingml/2006/picture">
                <pic:pic>
                  <pic:nvPicPr>
                    <pic:cNvPr descr="image/19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Модель отбора на основе конкурентных отношений</w:t>
      </w:r>
    </w:p>
    <w:p>
      <w:pPr>
        <w:pStyle w:val="BodyText"/>
      </w:pPr>
      <w:r>
        <w:t xml:space="preserve">Реализуем на языке Julia модель консервативного гармонического осциллятора: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x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В задании 7 построим соответствующие графики (в том числе с анимацией) и фазовый портрет (рис. 13-14).</w:t>
      </w:r>
    </w:p>
    <w:p>
      <w:pPr>
        <w:pStyle w:val="CaptionedFigure"/>
      </w:pPr>
      <w:r>
        <w:drawing>
          <wp:inline>
            <wp:extent cx="3733800" cy="4045397"/>
            <wp:effectExtent b="0" l="0" r="0" t="0"/>
            <wp:docPr descr="Рис. 20: Модель консервативного гармонического осциллятора" title="" id="81" name="Picture"/>
            <a:graphic>
              <a:graphicData uri="http://schemas.openxmlformats.org/drawingml/2006/picture">
                <pic:pic>
                  <pic:nvPicPr>
                    <pic:cNvPr descr="image/20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5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Модель консервативного гармонического осциллятора</w:t>
      </w:r>
    </w:p>
    <w:p>
      <w:pPr>
        <w:pStyle w:val="CaptionedFigure"/>
      </w:pPr>
      <w:r>
        <w:drawing>
          <wp:inline>
            <wp:extent cx="3733800" cy="5050605"/>
            <wp:effectExtent b="0" l="0" r="0" t="0"/>
            <wp:docPr descr="Рис. 21: Модель консервативного гармонического осциллятора" title="" id="84" name="Picture"/>
            <a:graphic>
              <a:graphicData uri="http://schemas.openxmlformats.org/drawingml/2006/picture">
                <pic:pic>
                  <pic:nvPicPr>
                    <pic:cNvPr descr="image/21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Модель консервативного гармонического осциллятора</w:t>
      </w:r>
    </w:p>
    <w:p>
      <w:pPr>
        <w:pStyle w:val="BodyText"/>
      </w:pPr>
      <w:r>
        <w:t xml:space="preserve">Реализуем на языке Julia модель свободных колебаний гармонического осциллятора: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x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Построим соответствующие графики (в том числе с анимацией) и фазовый портрет (рис. 15-16).</w:t>
      </w:r>
    </w:p>
    <w:p>
      <w:pPr>
        <w:pStyle w:val="CaptionedFigure"/>
      </w:pPr>
      <w:r>
        <w:drawing>
          <wp:inline>
            <wp:extent cx="3733800" cy="3212804"/>
            <wp:effectExtent b="0" l="0" r="0" t="0"/>
            <wp:docPr descr="Рис. 22: Модель свободных колебаний гармонического осциллятора" title="" id="87" name="Picture"/>
            <a:graphic>
              <a:graphicData uri="http://schemas.openxmlformats.org/drawingml/2006/picture">
                <pic:pic>
                  <pic:nvPicPr>
                    <pic:cNvPr descr="image/22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2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Модель свободных колебаний гармонического осциллятора</w:t>
      </w:r>
    </w:p>
    <w:p>
      <w:pPr>
        <w:pStyle w:val="CaptionedFigure"/>
      </w:pPr>
      <w:r>
        <w:drawing>
          <wp:inline>
            <wp:extent cx="3733800" cy="4932776"/>
            <wp:effectExtent b="0" l="0" r="0" t="0"/>
            <wp:docPr descr="Рис. 23: Модель свободных колебаний гармонического осциллятора" title="" id="90" name="Picture"/>
            <a:graphic>
              <a:graphicData uri="http://schemas.openxmlformats.org/drawingml/2006/picture">
                <pic:pic>
                  <pic:nvPicPr>
                    <pic:cNvPr descr="image/23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2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Модель свободных колебаний гармонического осциллятора</w:t>
      </w:r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были освоены специализированные пакеты для решения задач в непрерывном и дискретном времени.</w:t>
      </w:r>
    </w:p>
    <w:bookmarkEnd w:id="93"/>
    <w:bookmarkStart w:id="99" w:name="список-литературы"/>
    <w:p>
      <w:pPr>
        <w:pStyle w:val="Heading1"/>
      </w:pPr>
      <w:r>
        <w:t xml:space="preserve">Список литературы</w:t>
      </w:r>
    </w:p>
    <w:bookmarkStart w:id="98" w:name="refs"/>
    <w:bookmarkStart w:id="95" w:name="ref-julialang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JuliaLang [Электронный ресурс]. 2024 JuliaLang.org contributors. URL:</w:t>
      </w:r>
      <w:r>
        <w:t xml:space="preserve"> </w:t>
      </w:r>
      <w:hyperlink r:id="rId94">
        <w:r>
          <w:rPr>
            <w:rStyle w:val="Hyperlink"/>
          </w:rPr>
          <w:t xml:space="preserve">https://julialang.org/</w:t>
        </w:r>
      </w:hyperlink>
      <w:r>
        <w:t xml:space="preserve"> </w:t>
      </w:r>
      <w:r>
        <w:t xml:space="preserve">(дата обращения: 11.10.2024).</w:t>
      </w:r>
    </w:p>
    <w:bookmarkEnd w:id="95"/>
    <w:bookmarkStart w:id="97" w:name="ref-juliadoc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Julia 1.11 Documentation [Электронный ресурс]. 2024 JuliaLang.org contributors. URL:</w:t>
      </w:r>
      <w:r>
        <w:t xml:space="preserve"> </w:t>
      </w:r>
      <w:hyperlink r:id="rId96">
        <w:r>
          <w:rPr>
            <w:rStyle w:val="Hyperlink"/>
          </w:rPr>
          <w:t xml:space="preserve">https://docs.julialang.org/en/v1/</w:t>
        </w:r>
      </w:hyperlink>
      <w:r>
        <w:t xml:space="preserve"> </w:t>
      </w:r>
      <w:r>
        <w:t xml:space="preserve">(дата обращения: 11.10.2024).</w:t>
      </w:r>
    </w:p>
    <w:bookmarkEnd w:id="97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26" Target="media/rId26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hyperlink" Id="rId96" Target="https://docs.julialang.org/en/v1/" TargetMode="External" /><Relationship Type="http://schemas.openxmlformats.org/officeDocument/2006/relationships/hyperlink" Id="rId94" Target="https://julialang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6" Target="https://docs.julialang.org/en/v1/" TargetMode="External" /><Relationship Type="http://schemas.openxmlformats.org/officeDocument/2006/relationships/hyperlink" Id="rId94" Target="https://julialang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Сунгурова Мариян Мухсиновна</dc:creator>
  <dc:language>ru-RU</dc:language>
  <cp:keywords/>
  <dcterms:created xsi:type="dcterms:W3CDTF">2024-12-21T18:26:11Z</dcterms:created>
  <dcterms:modified xsi:type="dcterms:W3CDTF">2024-12-21T18:26:11Z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Решение моделей в непрерывном и дискретном времени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