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  <w:r>
        <w:t xml:space="preserve"> </w:t>
      </w: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данными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Основной целью работы является освоение специализированных пакетов Julia для обработки данных.</w:t>
      </w:r>
    </w:p>
    <w:p>
      <w:pPr>
        <w:pStyle w:val="BodyText"/>
      </w:pPr>
      <w:r>
        <w:rPr>
          <w:b/>
          <w:bCs/>
        </w:rP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Jupyter Lab, повторите примеры.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[2]</w:t>
      </w:r>
      <w:r>
        <w:t xml:space="preserve">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примеры из лабораторной работы для изучения циклов и функций(рис. fig. 1 - fig. 15)</w:t>
      </w:r>
    </w:p>
    <w:p>
      <w:pPr>
        <w:pStyle w:val="CaptionedFigure"/>
      </w:pPr>
      <w:r>
        <w:drawing>
          <wp:inline>
            <wp:extent cx="3733800" cy="1386840"/>
            <wp:effectExtent b="0" l="0" r="0" t="0"/>
            <wp:docPr descr="Рис. 1: Примеры Считывание данных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Считывание данных</w:t>
      </w:r>
    </w:p>
    <w:p>
      <w:pPr>
        <w:pStyle w:val="CaptionedFigure"/>
      </w:pPr>
      <w:r>
        <w:drawing>
          <wp:inline>
            <wp:extent cx="3733800" cy="2923032"/>
            <wp:effectExtent b="0" l="0" r="0" t="0"/>
            <wp:docPr descr="Рис. 2: Примеры Считывание данных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Считывание данных</w:t>
      </w:r>
    </w:p>
    <w:p>
      <w:pPr>
        <w:pStyle w:val="CaptionedFigure"/>
      </w:pPr>
      <w:r>
        <w:drawing>
          <wp:inline>
            <wp:extent cx="3733800" cy="1956928"/>
            <wp:effectExtent b="0" l="0" r="0" t="0"/>
            <wp:docPr descr="Рис. 3: Примеры Запись данных в файл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 Запись данных в файл</w:t>
      </w:r>
    </w:p>
    <w:p>
      <w:pPr>
        <w:pStyle w:val="CaptionedFigure"/>
      </w:pPr>
      <w:r>
        <w:drawing>
          <wp:inline>
            <wp:extent cx="3733800" cy="2567258"/>
            <wp:effectExtent b="0" l="0" r="0" t="0"/>
            <wp:docPr descr="Рис. 4: Примеры Словар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Словари</w:t>
      </w:r>
    </w:p>
    <w:p>
      <w:pPr>
        <w:pStyle w:val="CaptionedFigure"/>
      </w:pPr>
      <w:r>
        <w:drawing>
          <wp:inline>
            <wp:extent cx="3733800" cy="1847520"/>
            <wp:effectExtent b="0" l="0" r="0" t="0"/>
            <wp:docPr descr="Рис. 5: Примеры DataFrames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 DataFrames</w:t>
      </w:r>
    </w:p>
    <w:p>
      <w:pPr>
        <w:pStyle w:val="CaptionedFigure"/>
      </w:pPr>
      <w:r>
        <w:drawing>
          <wp:inline>
            <wp:extent cx="3733800" cy="2073949"/>
            <wp:effectExtent b="0" l="0" r="0" t="0"/>
            <wp:docPr descr="Рис. 6: Примеры RDatasets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Примеры RDatasets</w:t>
      </w:r>
    </w:p>
    <w:p>
      <w:pPr>
        <w:pStyle w:val="CaptionedFigure"/>
      </w:pPr>
      <w:r>
        <w:drawing>
          <wp:inline>
            <wp:extent cx="3733800" cy="2616771"/>
            <wp:effectExtent b="0" l="0" r="0" t="0"/>
            <wp:docPr descr="Рис. 7: Примеры Missing type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Примеры Missing type</w:t>
      </w:r>
    </w:p>
    <w:p>
      <w:pPr>
        <w:pStyle w:val="CaptionedFigure"/>
      </w:pPr>
      <w:r>
        <w:drawing>
          <wp:inline>
            <wp:extent cx="3733800" cy="2163407"/>
            <wp:effectExtent b="0" l="0" r="0" t="0"/>
            <wp:docPr descr="Рис. 8: Примеры Fileio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Примеры Fileio</w:t>
      </w:r>
    </w:p>
    <w:p>
      <w:pPr>
        <w:pStyle w:val="CaptionedFigure"/>
      </w:pPr>
      <w:r>
        <w:drawing>
          <wp:inline>
            <wp:extent cx="3733800" cy="3290364"/>
            <wp:effectExtent b="0" l="0" r="0" t="0"/>
            <wp:docPr descr="Рис. 9: Примеры Кластеризация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Примеры Кластеризация</w:t>
      </w:r>
    </w:p>
    <w:p>
      <w:pPr>
        <w:pStyle w:val="CaptionedFigure"/>
      </w:pPr>
      <w:r>
        <w:drawing>
          <wp:inline>
            <wp:extent cx="3733800" cy="2879572"/>
            <wp:effectExtent b="0" l="0" r="0" t="0"/>
            <wp:docPr descr="Рис. 10: Примеры Кластеризация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Примеры Кластеризация</w:t>
      </w:r>
    </w:p>
    <w:p>
      <w:pPr>
        <w:pStyle w:val="CaptionedFigure"/>
      </w:pPr>
      <w:r>
        <w:drawing>
          <wp:inline>
            <wp:extent cx="3733800" cy="3446978"/>
            <wp:effectExtent b="0" l="0" r="0" t="0"/>
            <wp:docPr descr="Рис. 11: Примеры Кластеризация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Примеры Кластеризация</w:t>
      </w:r>
    </w:p>
    <w:p>
      <w:pPr>
        <w:pStyle w:val="CaptionedFigure"/>
      </w:pPr>
      <w:r>
        <w:drawing>
          <wp:inline>
            <wp:extent cx="3733800" cy="3197041"/>
            <wp:effectExtent b="0" l="0" r="0" t="0"/>
            <wp:docPr descr="Рис. 12: Примеры Кластеризация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Примеры Кластеризация</w:t>
      </w:r>
    </w:p>
    <w:p>
      <w:pPr>
        <w:pStyle w:val="CaptionedFigure"/>
      </w:pPr>
      <w:r>
        <w:drawing>
          <wp:inline>
            <wp:extent cx="3733800" cy="3842816"/>
            <wp:effectExtent b="0" l="0" r="0" t="0"/>
            <wp:docPr descr="Рис. 13: Примеры Метод главных компанент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Примеры Метод главных компанент</w:t>
      </w:r>
    </w:p>
    <w:p>
      <w:pPr>
        <w:pStyle w:val="CaptionedFigure"/>
      </w:pPr>
      <w:r>
        <w:drawing>
          <wp:inline>
            <wp:extent cx="3733800" cy="2759332"/>
            <wp:effectExtent b="0" l="0" r="0" t="0"/>
            <wp:docPr descr="Рис. 14: Примеры Линейная регрессия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Примеры Линейная регрессия</w:t>
      </w:r>
    </w:p>
    <w:p>
      <w:pPr>
        <w:pStyle w:val="CaptionedFigure"/>
      </w:pPr>
      <w:r>
        <w:drawing>
          <wp:inline>
            <wp:extent cx="3733800" cy="3383608"/>
            <wp:effectExtent b="0" l="0" r="0" t="0"/>
            <wp:docPr descr="Рис. 15: Примеры Линейная регрессия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Примеры Линейная регрессия</w:t>
      </w:r>
    </w:p>
    <w:p>
      <w:pPr>
        <w:pStyle w:val="BodyText"/>
      </w:pPr>
      <w:r>
        <w:t xml:space="preserve">Затем выполним задания(рис. fig. 16 - fig. 15)</w:t>
      </w:r>
    </w:p>
    <w:p>
      <w:pPr>
        <w:pStyle w:val="CaptionedFigure"/>
      </w:pPr>
      <w:r>
        <w:drawing>
          <wp:inline>
            <wp:extent cx="3733800" cy="4297759"/>
            <wp:effectExtent b="0" l="0" r="0" t="0"/>
            <wp:docPr descr="Рис. 16: Задания 1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Задания 1</w:t>
      </w:r>
    </w:p>
    <w:p>
      <w:pPr>
        <w:pStyle w:val="CaptionedFigure"/>
      </w:pPr>
      <w:r>
        <w:drawing>
          <wp:inline>
            <wp:extent cx="3733800" cy="3618736"/>
            <wp:effectExtent b="0" l="0" r="0" t="0"/>
            <wp:docPr descr="Рис. 17: Задания 1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Задания 1</w:t>
      </w:r>
    </w:p>
    <w:p>
      <w:pPr>
        <w:pStyle w:val="CaptionedFigure"/>
      </w:pPr>
      <w:r>
        <w:drawing>
          <wp:inline>
            <wp:extent cx="3733800" cy="1844093"/>
            <wp:effectExtent b="0" l="0" r="0" t="0"/>
            <wp:docPr descr="Рис. 18: Задания 2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Задания 2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было освоено использование специализированных пакетов Julia для обработки данных.</w:t>
      </w:r>
    </w:p>
    <w:bookmarkEnd w:id="77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Start w:id="79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78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79"/>
    <w:bookmarkStart w:id="81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80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80" Target="https://docs.julialang.org/en/v1/" TargetMode="External" /><Relationship Type="http://schemas.openxmlformats.org/officeDocument/2006/relationships/hyperlink" Id="rId78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docs.julialang.org/en/v1/" TargetMode="External" /><Relationship Type="http://schemas.openxmlformats.org/officeDocument/2006/relationships/hyperlink" Id="rId78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Компьютерный практикум по статистическому анализу данных</dc:title>
  <dc:creator>Сунгурова Мариян Мухсиновна</dc:creator>
  <dc:language>ru-RU</dc:language>
  <cp:keywords/>
  <dcterms:created xsi:type="dcterms:W3CDTF">2024-12-28T20:43:10Z</dcterms:created>
  <dcterms:modified xsi:type="dcterms:W3CDTF">2024-12-28T20:43:10Z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7. Введение в работу с данными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