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ОС создадим учетную запись ползователя guest2 и добавляем его в группу guest (рис. fig. 1 – fig. 2)</w:t>
      </w:r>
    </w:p>
    <w:p>
      <w:pPr>
        <w:pStyle w:val="CaptionedFigure"/>
      </w:pPr>
      <w:bookmarkStart w:id="25" w:name="fig:001"/>
      <w:r>
        <w:drawing>
          <wp:inline>
            <wp:extent cx="4686300" cy="1539240"/>
            <wp:effectExtent b="0" l="0" r="0" t="0"/>
            <wp:docPr descr="Рис. 1: Создание нового пользователся guest2 и добавление его в группу guest" title="" id="23" name="Picture"/>
            <a:graphic>
              <a:graphicData uri="http://schemas.openxmlformats.org/drawingml/2006/picture">
                <pic:pic>
                  <pic:nvPicPr>
                    <pic:cNvPr descr="image/img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нового пользователся guest2 и добавление его в группу guest</w:t>
      </w:r>
    </w:p>
    <w:p>
      <w:pPr>
        <w:pStyle w:val="CaptionedFigure"/>
      </w:pPr>
      <w:bookmarkStart w:id="29" w:name="fig:002"/>
      <w:r>
        <w:drawing>
          <wp:inline>
            <wp:extent cx="3878579" cy="441959"/>
            <wp:effectExtent b="0" l="0" r="0" t="0"/>
            <wp:docPr descr="Рис. 2: Создание нового пользователся guest2 и добавление его в группу guest" title="" id="27" name="Picture"/>
            <a:graphic>
              <a:graphicData uri="http://schemas.openxmlformats.org/drawingml/2006/picture">
                <pic:pic>
                  <pic:nvPicPr>
                    <pic:cNvPr descr="image/img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79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нового пользователся guest2 и добавление его в группу guest</w:t>
      </w:r>
    </w:p>
    <w:p>
      <w:pPr>
        <w:numPr>
          <w:ilvl w:val="0"/>
          <w:numId w:val="1004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Далее для обоих пользователей командой pwd определим директорию, в которой находимся. Увидим, что она совпадает с приглашениями командной строки. Увидим, что guest принадлежит одной группе guet c ig 2001, а двум группам guest и guest2 с id 1001 и 1002. С помощью команд id -Gn и id -G можно увидеть только id существующиз групп и название соответственно</w:t>
      </w:r>
    </w:p>
    <w:p>
      <w:pPr>
        <w:numPr>
          <w:ilvl w:val="0"/>
          <w:numId w:val="1004"/>
        </w:numPr>
      </w:pPr>
      <w:r>
        <w:t xml:space="preserve">Уточним имя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 guest и guest2. Увидим, что guest принадлежит одной группе guet c ig 2001, а двум группам guest и guest2 с id 1001 и 1002. С помощью команд id -Gn и id -G можно увидеть только id существующиз групп и название соответственно (рис. fig. 3)</w:t>
      </w:r>
    </w:p>
    <w:p>
      <w:pPr>
        <w:pStyle w:val="CaptionedFigure"/>
      </w:pPr>
      <w:bookmarkStart w:id="33" w:name="fig:003"/>
      <w:r>
        <w:drawing>
          <wp:inline>
            <wp:extent cx="5044440" cy="6530340"/>
            <wp:effectExtent b="0" l="0" r="0" t="0"/>
            <wp:docPr descr="Рис. 3: Создание нового пользователся guest2 и добавление его в группу guest" title="" id="31" name="Picture"/>
            <a:graphic>
              <a:graphicData uri="http://schemas.openxmlformats.org/drawingml/2006/picture">
                <pic:pic>
                  <pic:nvPicPr>
                    <pic:cNvPr descr="image/img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53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нового пользователся guest2 и добавление его в группу guest</w:t>
      </w:r>
    </w:p>
    <w:p>
      <w:pPr>
        <w:numPr>
          <w:ilvl w:val="0"/>
          <w:numId w:val="1005"/>
        </w:numPr>
        <w:pStyle w:val="Compact"/>
      </w:pPr>
      <w:r>
        <w:t xml:space="preserve">Сравним полученную информацию с содержимым файла /etc/group, просмотрев файл командой</w:t>
      </w:r>
      <w:r>
        <w:t xml:space="preserve"> </w:t>
      </w:r>
      <w:r>
        <w:rPr>
          <w:rStyle w:val="VerbatimChar"/>
        </w:rPr>
        <w:t xml:space="preserve">cat /etc/group</w:t>
      </w:r>
    </w:p>
    <w:p>
      <w:pPr>
        <w:pStyle w:val="CaptionedFigure"/>
      </w:pPr>
      <w:bookmarkStart w:id="37" w:name="fig:004"/>
      <w:r>
        <w:drawing>
          <wp:inline>
            <wp:extent cx="5273040" cy="525780"/>
            <wp:effectExtent b="0" l="0" r="0" t="0"/>
            <wp:docPr descr="Рис. 4: Создание нового пользователся guest2 и добавление его в группу guest" title="" id="35" name="Picture"/>
            <a:graphic>
              <a:graphicData uri="http://schemas.openxmlformats.org/drawingml/2006/picture">
                <pic:pic>
                  <pic:nvPicPr>
                    <pic:cNvPr descr="image/img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нового пользователся guest2 и добавление его в группу guest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pStyle w:val="CaptionedFigure"/>
      </w:pPr>
      <w:bookmarkStart w:id="41" w:name="fig:005"/>
      <w:r>
        <w:drawing>
          <wp:inline>
            <wp:extent cx="3634740" cy="289560"/>
            <wp:effectExtent b="0" l="0" r="0" t="0"/>
            <wp:docPr descr="Рис. 5: Создание нового пользователся guest2 и добавление его в группу guest" title="" id="39" name="Picture"/>
            <a:graphic>
              <a:graphicData uri="http://schemas.openxmlformats.org/drawingml/2006/picture">
                <pic:pic>
                  <pic:nvPicPr>
                    <pic:cNvPr descr="image/im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нового пользователся guest2 и добавление его в группу 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</w:p>
    <w:p>
      <w:pPr>
        <w:pStyle w:val="CaptionedFigure"/>
      </w:pPr>
      <w:bookmarkStart w:id="45" w:name="fig:006"/>
      <w:r>
        <w:drawing>
          <wp:inline>
            <wp:extent cx="4792980" cy="914400"/>
            <wp:effectExtent b="0" l="0" r="0" t="0"/>
            <wp:docPr descr="Рис. 6: Создание нового пользователся guest2 и добавление его в группу guest" title="" id="43" name="Picture"/>
            <a:graphic>
              <a:graphicData uri="http://schemas.openxmlformats.org/drawingml/2006/picture">
                <pic:pic>
                  <pic:nvPicPr>
                    <pic:cNvPr descr="image/img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нового пользователся guest2 и добавление его в группу guest</w:t>
      </w:r>
    </w:p>
    <w:p>
      <w:pPr>
        <w:pStyle w:val="BodyText"/>
      </w:pPr>
      <w:r>
        <w:t xml:space="preserve">В табл. 1 приведены данные о том, какие операции разрешены, а какие нет для владельца данных.</w:t>
      </w:r>
    </w:p>
    <w:bookmarkStart w:id="46" w:name="tbl:tbl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000"/>
        <w:gridCol w:w="917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6"/>
    <w:p>
      <w:pPr>
        <w:pStyle w:val="BodyText"/>
      </w:pPr>
      <w:r>
        <w:t xml:space="preserve">В табл. 2 приведены данные о том, какие минимальные права должны быть для совершения различных действий.</w:t>
      </w:r>
    </w:p>
    <w:bookmarkStart w:id="47" w:name="tbl:tbl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3960"/>
        <w:gridCol w:w="2066"/>
        <w:gridCol w:w="18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47"/>
    <w:p>
      <w:pPr>
        <w:pStyle w:val="BodyText"/>
      </w:pPr>
      <w:r>
        <w:t xml:space="preserve">При сравнении с таблицей в лабораторной работе №2 можно увидеть, что отличие состоит только в том, что не владелец файла никогда не имеет прав на изменение его атрибутов. Менять права может владелец файла или администратор</w:t>
      </w:r>
      <w:r>
        <w:t xml:space="preserve">[2]</w:t>
      </w:r>
      <w:r>
        <w:t xml:space="preserve">. Члены группы файла никаких особых прав на inode не имеют. Пользователь может отобрать у себя собственные права на чтение и запись в файл, но право на запись в inode (в т.ч. право на смену прав) сохраняется у владельца файла при любых обстоятельствах. Пользователь не может передать право собственности на файл другому пользователю и не может забрать право собственности на файл у другого пользователя.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даной лабораторной работы были получены практические навыки работы в консоли с атрибутами файлов для групп пользователей.</w:t>
      </w:r>
    </w:p>
    <w:bookmarkEnd w:id="49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0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Скотт Граннеман: Linux. Карманный справочник. 2-е изд. Вильямс, 2019. 464 с.</w:t>
      </w:r>
    </w:p>
    <w:bookmarkEnd w:id="50"/>
    <w:bookmarkStart w:id="52" w:name="ref-uran202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Параллельные вычисления в УрО РАН Параллельные вычисления в УрО РАН. Материалы к спецкурсу ОС (Unix). Inode и каталоги</w:t>
      </w:r>
      <w:r>
        <w:t xml:space="preserve"> </w:t>
      </w:r>
      <w:r>
        <w:t xml:space="preserve"> </w:t>
      </w:r>
      <w:r>
        <w:t xml:space="preserve">[Электронный ресурс]. Red Hat, Inc., 2020. URL:</w:t>
      </w:r>
      <w:r>
        <w:t xml:space="preserve"> </w:t>
      </w:r>
      <w:hyperlink r:id="rId51">
        <w:r>
          <w:rPr>
            <w:rStyle w:val="Hyperlink"/>
          </w:rPr>
          <w:t xml:space="preserve">https://parallel.uran.ru/node/382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hyperlink" Id="rId51" Target="https://parallel.uran.ru/node/3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parallel.uran.ru/node/3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Мухсиновна</dc:creator>
  <dc:language>ru-RU</dc:language>
  <cp:keywords/>
  <dcterms:created xsi:type="dcterms:W3CDTF">2024-09-21T12:17:48Z</dcterms:created>
  <dcterms:modified xsi:type="dcterms:W3CDTF">2024-09-21T12:17:48Z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 3. Дискреционное разграничение прав в Linux. Два пользователя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