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7.jpg" ContentType="image/jpeg"/>
  <Override PartName="/word/media/rId31.jpg" ContentType="image/jpeg"/>
  <Override PartName="/word/media/rId35.jpg" ContentType="image/jpeg"/>
  <Override PartName="/word/media/rId39.jpg" ContentType="image/jpeg"/>
  <Override PartName="/word/media/rId43.jpg" ContentType="image/jpeg"/>
  <Override PartName="/word/media/rId47.jpg" ContentType="image/jpeg"/>
  <Override PartName="/word/media/rId51.jpg" ContentType="image/jpeg"/>
  <Override PartName="/word/media/rId5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Subtitle"/>
      </w:pPr>
      <w:r>
        <w:t xml:space="preserve">Индивидуальный</w:t>
      </w:r>
      <w:r>
        <w:t xml:space="preserve"> </w:t>
      </w:r>
      <w:r>
        <w:t xml:space="preserve">проект.</w:t>
      </w:r>
      <w:r>
        <w:t xml:space="preserve"> </w:t>
      </w:r>
      <w:r>
        <w:t xml:space="preserve">Этап</w:t>
      </w:r>
      <w:r>
        <w:t xml:space="preserve"> </w:t>
      </w:r>
      <w:r>
        <w:t xml:space="preserve">№</w:t>
      </w:r>
      <w:r>
        <w:t xml:space="preserve"> </w:t>
      </w:r>
      <w:r>
        <w:t xml:space="preserve">2.</w:t>
      </w:r>
      <w:r>
        <w:t xml:space="preserve"> </w:t>
      </w:r>
      <w:r>
        <w:t xml:space="preserve">Установка</w:t>
      </w:r>
      <w:r>
        <w:t xml:space="preserve"> </w:t>
      </w:r>
      <w:r>
        <w:t xml:space="preserve">DVWA</w:t>
      </w:r>
    </w:p>
    <w:p>
      <w:pPr>
        <w:pStyle w:val="Author"/>
      </w:pPr>
      <w:r>
        <w:t xml:space="preserve">Сунгурова</w:t>
      </w:r>
      <w:r>
        <w:t xml:space="preserve"> </w:t>
      </w:r>
      <w:r>
        <w:t xml:space="preserve">Мариян</w:t>
      </w:r>
      <w:r>
        <w:t xml:space="preserve"> </w:t>
      </w:r>
      <w:r>
        <w:t xml:space="preserve">М.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установка DVWA на Kali Linux.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Установить DVWA в гостевую систему к Kali Linux.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Damn Vulnerable Web Application (DVWA) – это веб-приложение PHP/MySQL, которое чертовски уязвимо</w:t>
      </w:r>
      <w:r>
        <w:t xml:space="preserve">[~ 1]</w:t>
      </w:r>
      <w:r>
        <w:t xml:space="preserve">. Его основная цель – помочь специалистам по безопасности проверить свои навыки и инструменты в правовой среде, помочь веб-разработчикам лучше понять процессы обеспечения безопасности веб-приложений, а также помочь студентам и преподавателям узнать о безопасности веб-приложений в контролируемом классе. обстановка помещения.</w:t>
      </w:r>
    </w:p>
    <w:p>
      <w:pPr>
        <w:pStyle w:val="BodyText"/>
      </w:pPr>
      <w:r>
        <w:t xml:space="preserve">Цель DVWA – отработать некоторые из наиболее распространенных веб-уязвимостей различного уровня сложности с помощью простого и понятного интерфейса. В этом программном обеспечении существуют как задокументированные, так и недокументированные уязвимости.</w:t>
      </w:r>
    </w:p>
    <w:p>
      <w:pPr>
        <w:pStyle w:val="BodyText"/>
      </w:pPr>
      <w:r>
        <w:t xml:space="preserve">Некоторые из уязвимостей веб приложений, который содержит DVWA:</w:t>
      </w:r>
    </w:p>
    <w:p>
      <w:pPr>
        <w:numPr>
          <w:ilvl w:val="0"/>
          <w:numId w:val="1001"/>
        </w:numPr>
        <w:pStyle w:val="Compact"/>
      </w:pPr>
      <w:r>
        <w:t xml:space="preserve">Брутфорс: Брутфорс HTTP формы страницы входа - используется для тестирования инструментов по атаке на пароль методом грубой силы и показывает небезопасность слабых паролей.</w:t>
      </w:r>
    </w:p>
    <w:p>
      <w:pPr>
        <w:numPr>
          <w:ilvl w:val="0"/>
          <w:numId w:val="1001"/>
        </w:numPr>
        <w:pStyle w:val="Compact"/>
      </w:pPr>
      <w:r>
        <w:t xml:space="preserve">Исполнение (внедрение) команд: Выполнение команд уровня операционной системы.</w:t>
      </w:r>
    </w:p>
    <w:p>
      <w:pPr>
        <w:numPr>
          <w:ilvl w:val="0"/>
          <w:numId w:val="1001"/>
        </w:numPr>
        <w:pStyle w:val="Compact"/>
      </w:pPr>
      <w:r>
        <w:t xml:space="preserve">Межсайтовая подделка запроса (CSRF): Позволяет «атакующему» изменить пароль администратора приложений.</w:t>
      </w:r>
    </w:p>
    <w:p>
      <w:pPr>
        <w:numPr>
          <w:ilvl w:val="0"/>
          <w:numId w:val="1001"/>
        </w:numPr>
        <w:pStyle w:val="Compact"/>
      </w:pPr>
      <w:r>
        <w:t xml:space="preserve">Внедрение (инклуд) файлов: Позволяет «атакующему» присоединить удалённые/локальные файлы в веб приложение.</w:t>
      </w:r>
    </w:p>
    <w:p>
      <w:pPr>
        <w:numPr>
          <w:ilvl w:val="0"/>
          <w:numId w:val="1001"/>
        </w:numPr>
        <w:pStyle w:val="Compact"/>
      </w:pPr>
      <w:r>
        <w:t xml:space="preserve">SQL внедрение: Позволяет «атакующему» внедрить SQL выражения в HTTP из поля ввода, DVWA включает слепое и основанное на ошибке SQL внедрение.</w:t>
      </w:r>
    </w:p>
    <w:p>
      <w:pPr>
        <w:numPr>
          <w:ilvl w:val="0"/>
          <w:numId w:val="1001"/>
        </w:numPr>
        <w:pStyle w:val="Compact"/>
      </w:pPr>
      <w:r>
        <w:t xml:space="preserve">Небезопасная выгрузка файлов: Позволяет «атакующему» выгрузить вредоносные файлы на веб сервер.</w:t>
      </w:r>
    </w:p>
    <w:p>
      <w:pPr>
        <w:numPr>
          <w:ilvl w:val="0"/>
          <w:numId w:val="1001"/>
        </w:numPr>
        <w:pStyle w:val="Compact"/>
      </w:pPr>
      <w:r>
        <w:t xml:space="preserve">Межсайтовый скриптинг (XSS): «Атакующий» может внедрить свои скрипты в веб приложение/базу данных. DVWA включает отражённую и хранимую XSS.</w:t>
      </w:r>
    </w:p>
    <w:p>
      <w:pPr>
        <w:numPr>
          <w:ilvl w:val="0"/>
          <w:numId w:val="1001"/>
        </w:numPr>
        <w:pStyle w:val="Compact"/>
      </w:pPr>
      <w:r>
        <w:t xml:space="preserve">Пасхальные яйца: раскрытие полных путей, обход аутентификации и некоторые другие.</w:t>
      </w:r>
    </w:p>
    <w:p>
      <w:pPr>
        <w:pStyle w:val="FirstParagraph"/>
      </w:pPr>
      <w:r>
        <w:t xml:space="preserve">DVWA имеет три уровня безопасности, они меняют уровень безопасности каждого веб приложения в DVWA:</w:t>
      </w:r>
    </w:p>
    <w:p>
      <w:pPr>
        <w:numPr>
          <w:ilvl w:val="0"/>
          <w:numId w:val="1002"/>
        </w:numPr>
        <w:pStyle w:val="Compact"/>
      </w:pPr>
      <w:r>
        <w:t xml:space="preserve">Невозможный — этот уровень должен быть безопасным от всех уязвимостей. Он используется для сравнения уязвимого исходного кода с безопасным исходным кодом.</w:t>
      </w:r>
    </w:p>
    <w:p>
      <w:pPr>
        <w:numPr>
          <w:ilvl w:val="0"/>
          <w:numId w:val="1002"/>
        </w:numPr>
        <w:pStyle w:val="Compact"/>
      </w:pPr>
      <w:r>
        <w:t xml:space="preserve">Высокий — это расширение среднего уровня сложности, со смесью более сложных или альтернативных плохих практик в попытке обезопасить код. Уязвимости не позволяют такой простор эксплуатации как на других уровнях.</w:t>
      </w:r>
    </w:p>
    <w:p>
      <w:pPr>
        <w:numPr>
          <w:ilvl w:val="0"/>
          <w:numId w:val="1002"/>
        </w:numPr>
        <w:pStyle w:val="Compact"/>
      </w:pPr>
      <w:r>
        <w:t xml:space="preserve">Средний — этот уровень безопасности предназначен главным образом для того, чтобы дать пользователю пример плохих практик безопасности, где разработчик попытался сделать приложение безопасным, но потерпел неудачу.</w:t>
      </w:r>
    </w:p>
    <w:p>
      <w:pPr>
        <w:numPr>
          <w:ilvl w:val="0"/>
          <w:numId w:val="1002"/>
        </w:numPr>
        <w:pStyle w:val="Compact"/>
      </w:pPr>
      <w:r>
        <w:t xml:space="preserve">Низкий — этот уровень безопасности совершенно уязвим и совсем не имеет защиты. Его предназначение быть примером среди уязвимых веб приложений, примером плохих практик программирования и служить платформой обучения базовым техникам эксплуатации.</w:t>
      </w:r>
    </w:p>
    <w:bookmarkEnd w:id="22"/>
    <w:bookmarkStart w:id="5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Перейдем в каталог /etc/www/html (рис. fig. 1)</w:t>
      </w:r>
    </w:p>
    <w:p>
      <w:pPr>
        <w:pStyle w:val="CaptionedFigure"/>
      </w:pPr>
      <w:bookmarkStart w:id="26" w:name="fig:001"/>
      <w:r>
        <w:drawing>
          <wp:inline>
            <wp:extent cx="4930140" cy="868680"/>
            <wp:effectExtent b="0" l="0" r="0" t="0"/>
            <wp:docPr descr="Рис. 1: Клонирование репозитория с DVWA" title="" id="24" name="Picture"/>
            <a:graphic>
              <a:graphicData uri="http://schemas.openxmlformats.org/drawingml/2006/picture">
                <pic:pic>
                  <pic:nvPicPr>
                    <pic:cNvPr descr="image/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140" cy="868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Клонирование репозитория с DVWA</w:t>
      </w:r>
    </w:p>
    <w:p>
      <w:pPr>
        <w:pStyle w:val="BodyText"/>
      </w:pPr>
      <w:r>
        <w:t xml:space="preserve">Скопируем в каталог /etc/www/html файлы веб-приложения DVWA с github:(рис. fig. 2)</w:t>
      </w:r>
    </w:p>
    <w:p>
      <w:pPr>
        <w:pStyle w:val="CaptionedFigure"/>
      </w:pPr>
      <w:bookmarkStart w:id="30" w:name="fig:002"/>
      <w:r>
        <w:drawing>
          <wp:inline>
            <wp:extent cx="4899660" cy="1539240"/>
            <wp:effectExtent b="0" l="0" r="0" t="0"/>
            <wp:docPr descr="Рис. 2: Клонирование репозитория с DVWA" title="" id="28" name="Picture"/>
            <a:graphic>
              <a:graphicData uri="http://schemas.openxmlformats.org/drawingml/2006/picture">
                <pic:pic>
                  <pic:nvPicPr>
                    <pic:cNvPr descr="image/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15392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Клонирование репозитория с DVWA</w:t>
      </w:r>
    </w:p>
    <w:p>
      <w:pPr>
        <w:pStyle w:val="BodyText"/>
      </w:pPr>
      <w:r>
        <w:t xml:space="preserve">Затем запускаем веб сервер (рис. fig. 3)</w:t>
      </w:r>
    </w:p>
    <w:p>
      <w:pPr>
        <w:pStyle w:val="CaptionedFigure"/>
      </w:pPr>
      <w:bookmarkStart w:id="34" w:name="fig:003"/>
      <w:r>
        <w:drawing>
          <wp:inline>
            <wp:extent cx="4968240" cy="1973580"/>
            <wp:effectExtent b="0" l="0" r="0" t="0"/>
            <wp:docPr descr="Рис. 3: Веб-сервер" title="" id="32" name="Picture"/>
            <a:graphic>
              <a:graphicData uri="http://schemas.openxmlformats.org/drawingml/2006/picture">
                <pic:pic>
                  <pic:nvPicPr>
                    <pic:cNvPr descr="image/3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240" cy="19735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Веб-сервер</w:t>
      </w:r>
    </w:p>
    <w:p>
      <w:pPr>
        <w:pStyle w:val="BodyText"/>
      </w:pPr>
      <w:r>
        <w:t xml:space="preserve">Скопируем файл конфигурации (рис. fig. 4, fig. 5)</w:t>
      </w:r>
    </w:p>
    <w:p>
      <w:pPr>
        <w:pStyle w:val="CaptionedFigure"/>
      </w:pPr>
      <w:bookmarkStart w:id="38" w:name="fig:004"/>
      <w:r>
        <w:drawing>
          <wp:inline>
            <wp:extent cx="5334000" cy="2989620"/>
            <wp:effectExtent b="0" l="0" r="0" t="0"/>
            <wp:docPr descr="Рис. 4: Конфигурация" title="" id="36" name="Picture"/>
            <a:graphic>
              <a:graphicData uri="http://schemas.openxmlformats.org/drawingml/2006/picture">
                <pic:pic>
                  <pic:nvPicPr>
                    <pic:cNvPr descr="image/4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96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Конфигурация</w:t>
      </w:r>
    </w:p>
    <w:p>
      <w:pPr>
        <w:pStyle w:val="CaptionedFigure"/>
      </w:pPr>
      <w:bookmarkStart w:id="42" w:name="fig:005"/>
      <w:r>
        <w:drawing>
          <wp:inline>
            <wp:extent cx="5029200" cy="419100"/>
            <wp:effectExtent b="0" l="0" r="0" t="0"/>
            <wp:docPr descr="Рис. 5: Конфигурация" title="" id="40" name="Picture"/>
            <a:graphic>
              <a:graphicData uri="http://schemas.openxmlformats.org/drawingml/2006/picture">
                <pic:pic>
                  <pic:nvPicPr>
                    <pic:cNvPr descr="image/5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Конфигурация</w:t>
      </w:r>
    </w:p>
    <w:p>
      <w:pPr>
        <w:pStyle w:val="BodyText"/>
      </w:pPr>
      <w:r>
        <w:t xml:space="preserve">Просмотр стартового окна DVWA (рис. fig. 6)</w:t>
      </w:r>
    </w:p>
    <w:p>
      <w:pPr>
        <w:pStyle w:val="CaptionedFigure"/>
      </w:pPr>
      <w:bookmarkStart w:id="46" w:name="fig:006"/>
      <w:r>
        <w:drawing>
          <wp:inline>
            <wp:extent cx="5334000" cy="4346630"/>
            <wp:effectExtent b="0" l="0" r="0" t="0"/>
            <wp:docPr descr="Рис. 6: Веб-сервер" title="" id="44" name="Picture"/>
            <a:graphic>
              <a:graphicData uri="http://schemas.openxmlformats.org/drawingml/2006/picture">
                <pic:pic>
                  <pic:nvPicPr>
                    <pic:cNvPr descr="image/6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466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Веб-сервер</w:t>
      </w:r>
    </w:p>
    <w:p>
      <w:pPr>
        <w:pStyle w:val="BodyText"/>
      </w:pPr>
      <w:r>
        <w:t xml:space="preserve">Запустим сервер mariadb и создадим на нем пользователя(имя и пароль совпадают с данными в файле конфигураций dvwa)(рис. fig. 7).</w:t>
      </w:r>
    </w:p>
    <w:p>
      <w:pPr>
        <w:pStyle w:val="CaptionedFigure"/>
      </w:pPr>
      <w:bookmarkStart w:id="50" w:name="fig:007"/>
      <w:r>
        <w:drawing>
          <wp:inline>
            <wp:extent cx="4884420" cy="3375660"/>
            <wp:effectExtent b="0" l="0" r="0" t="0"/>
            <wp:docPr descr="Рис. 7: Создание пользователя mariadb и базы данных" title="" id="48" name="Picture"/>
            <a:graphic>
              <a:graphicData uri="http://schemas.openxmlformats.org/drawingml/2006/picture">
                <pic:pic>
                  <pic:nvPicPr>
                    <pic:cNvPr descr="image/7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33756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Создание пользователя mariadb и базы данных</w:t>
      </w:r>
    </w:p>
    <w:p>
      <w:pPr>
        <w:pStyle w:val="BodyText"/>
      </w:pPr>
      <w:r>
        <w:t xml:space="preserve">Затем на стартовом окне DVWA нажмем кнопку</w:t>
      </w:r>
      <w:r>
        <w:t xml:space="preserve"> </w:t>
      </w:r>
      <w:r>
        <w:rPr>
          <w:rStyle w:val="VerbatimChar"/>
        </w:rPr>
        <w:t xml:space="preserve">Create/Reset Database</w:t>
      </w:r>
      <w:r>
        <w:t xml:space="preserve">, чтобы попасть на страницу ввода данных учетной записи. После ввода увидим рабочую область DVWA (рис. fig. 8, fig. 9).</w:t>
      </w:r>
    </w:p>
    <w:p>
      <w:pPr>
        <w:pStyle w:val="CaptionedFigure"/>
      </w:pPr>
      <w:bookmarkStart w:id="54" w:name="fig:008"/>
      <w:r>
        <w:drawing>
          <wp:inline>
            <wp:extent cx="5334000" cy="3002471"/>
            <wp:effectExtent b="0" l="0" r="0" t="0"/>
            <wp:docPr descr="Рис. 8: Аутентификация" title="" id="52" name="Picture"/>
            <a:graphic>
              <a:graphicData uri="http://schemas.openxmlformats.org/drawingml/2006/picture">
                <pic:pic>
                  <pic:nvPicPr>
                    <pic:cNvPr descr="image/8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24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Аутентификация</w:t>
      </w:r>
    </w:p>
    <w:p>
      <w:pPr>
        <w:pStyle w:val="CaptionedFigure"/>
      </w:pPr>
      <w:bookmarkStart w:id="58" w:name="fig:009"/>
      <w:r>
        <w:drawing>
          <wp:inline>
            <wp:extent cx="5334000" cy="3457530"/>
            <wp:effectExtent b="0" l="0" r="0" t="0"/>
            <wp:docPr descr="Рис. 9: Запуск DVWA" title="" id="56" name="Picture"/>
            <a:graphic>
              <a:graphicData uri="http://schemas.openxmlformats.org/drawingml/2006/picture">
                <pic:pic>
                  <pic:nvPicPr>
                    <pic:cNvPr descr="image/9.JP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575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Запуск DVWA</w:t>
      </w:r>
    </w:p>
    <w:bookmarkEnd w:id="59"/>
    <w:bookmarkStart w:id="6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данного этапа персонального проекта был установлен DVWA на Kali Linux.</w:t>
      </w:r>
    </w:p>
    <w:bookmarkEnd w:id="60"/>
    <w:bookmarkStart w:id="64" w:name="список-литературы"/>
    <w:p>
      <w:pPr>
        <w:pStyle w:val="Heading1"/>
      </w:pPr>
      <w:r>
        <w:t xml:space="preserve">Список литературы</w:t>
      </w:r>
    </w:p>
    <w:bookmarkStart w:id="63" w:name="refs"/>
    <w:bookmarkStart w:id="62" w:name="ref-dvwa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DVWA</w:t>
      </w:r>
      <w:r>
        <w:t xml:space="preserve"> </w:t>
      </w:r>
      <w:r>
        <w:t xml:space="preserve">[Электронный ресурс]. GitHub, Inc, 2024. URL:</w:t>
      </w:r>
      <w:r>
        <w:t xml:space="preserve"> </w:t>
      </w:r>
      <w:hyperlink r:id="rId61">
        <w:r>
          <w:rPr>
            <w:rStyle w:val="Hyperlink"/>
          </w:rPr>
          <w:t xml:space="preserve">https://github.com/digininja/DVWA</w:t>
        </w:r>
      </w:hyperlink>
      <w:r>
        <w:t xml:space="preserve">.</w:t>
      </w:r>
    </w:p>
    <w:bookmarkEnd w:id="62"/>
    <w:bookmarkEnd w:id="63"/>
    <w:bookmarkEnd w:id="6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7" Target="media/rId27.jpg" /><Relationship Type="http://schemas.openxmlformats.org/officeDocument/2006/relationships/image" Id="rId31" Target="media/rId31.jpg" /><Relationship Type="http://schemas.openxmlformats.org/officeDocument/2006/relationships/image" Id="rId35" Target="media/rId35.jpg" /><Relationship Type="http://schemas.openxmlformats.org/officeDocument/2006/relationships/image" Id="rId39" Target="media/rId39.jpg" /><Relationship Type="http://schemas.openxmlformats.org/officeDocument/2006/relationships/image" Id="rId43" Target="media/rId43.jpg" /><Relationship Type="http://schemas.openxmlformats.org/officeDocument/2006/relationships/image" Id="rId47" Target="media/rId47.jpg" /><Relationship Type="http://schemas.openxmlformats.org/officeDocument/2006/relationships/image" Id="rId51" Target="media/rId51.jpg" /><Relationship Type="http://schemas.openxmlformats.org/officeDocument/2006/relationships/image" Id="rId55" Target="media/rId55.jpg" /><Relationship Type="http://schemas.openxmlformats.org/officeDocument/2006/relationships/hyperlink" Id="rId61" Target="https://github.com/digininja/DVWA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1" Target="https://github.com/digininja/DVW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Основы информационной безопасности</dc:title>
  <dc:creator>Сунгурова Мариян М.</dc:creator>
  <dc:language>ru-RU</dc:language>
  <cp:keywords/>
  <dcterms:created xsi:type="dcterms:W3CDTF">2024-09-21T18:16:06Z</dcterms:created>
  <dcterms:modified xsi:type="dcterms:W3CDTF">2024-09-21T18:16:06Z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Индивидуальный проект. Этап № 2. Установка DVWA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