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before="0"/>
        <w:jc w:val="left"/>
      </w:pPr>
      <w:r>
        <w:rPr>
          <w:rFonts w:ascii="Segoe UI" w:hAnsi="Segoe UI"/>
          <w:b/>
          <w:i w:val="0"/>
          <w:color w:val="6B7280"/>
          <w:sz w:val="18"/>
        </w:rPr>
        <w:t>Complexo de Educação, Tecnologia, Inovação e Saúde Paulo Vargas</w:t>
      </w:r>
    </w:p>
    <w:p>
      <w:pPr>
        <w:spacing w:after="40" w:before="0"/>
        <w:jc w:val="left"/>
      </w:pPr>
      <w:r>
        <w:rPr>
          <w:rFonts w:ascii="Segoe UI" w:hAnsi="Segoe UI"/>
          <w:b/>
          <w:i w:val="0"/>
          <w:color w:val="D71920"/>
          <w:sz w:val="42"/>
        </w:rPr>
        <w:t>BI DE REGÊNCIA — SÍNTESE EXECUTIVA</w:t>
      </w:r>
    </w:p>
    <w:p>
      <w:pPr>
        <w:spacing w:after="200" w:before="0"/>
        <w:jc w:val="left"/>
      </w:pPr>
      <w:r>
        <w:rPr>
          <w:rFonts w:ascii="Segoe UI" w:hAnsi="Segoe UI"/>
          <w:b w:val="0"/>
          <w:i w:val="0"/>
          <w:color w:val="0B0F14"/>
          <w:sz w:val="22"/>
        </w:rPr>
        <w:t>Regência dos instrutores em sala de aula · Complexo de Educação, Tecnologia, Inovação e Saúde Paulo Vargas · Quadro 2026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</w:tcPr>
          <w:p>
            <w:r>
              <w:rPr>
                <w:rFonts w:ascii="Segoe UI" w:hAnsi="Segoe UI"/>
                <w:b/>
                <w:color w:val="6B7280"/>
                <w:sz w:val="17"/>
              </w:rPr>
              <w:t>INSTRUTORES</w:t>
            </w:r>
          </w:p>
        </w:tc>
        <w:tc>
          <w:tcPr>
            <w:tcW w:type="dxa" w:w="2353"/>
          </w:tcPr>
          <w:p>
            <w:r>
              <w:rPr>
                <w:rFonts w:ascii="Segoe UI" w:hAnsi="Segoe UI"/>
                <w:b/>
                <w:color w:val="6B7280"/>
                <w:sz w:val="17"/>
              </w:rPr>
              <w:t>REGÊNCIA MÉDIA</w:t>
            </w:r>
          </w:p>
        </w:tc>
        <w:tc>
          <w:tcPr>
            <w:tcW w:type="dxa" w:w="2353"/>
          </w:tcPr>
          <w:p>
            <w:r>
              <w:rPr>
                <w:rFonts w:ascii="Segoe UI" w:hAnsi="Segoe UI"/>
                <w:b/>
                <w:color w:val="6B7280"/>
                <w:sz w:val="17"/>
              </w:rPr>
              <w:t>HORAS-AULA</w:t>
            </w:r>
          </w:p>
        </w:tc>
        <w:tc>
          <w:tcPr>
            <w:tcW w:type="dxa" w:w="2353"/>
          </w:tcPr>
          <w:p>
            <w:r>
              <w:rPr>
                <w:rFonts w:ascii="Segoe UI" w:hAnsi="Segoe UI"/>
                <w:b/>
                <w:color w:val="6B7280"/>
                <w:sz w:val="17"/>
              </w:rPr>
              <w:t>ABAIXO DE 50%</w:t>
            </w:r>
          </w:p>
        </w:tc>
      </w:tr>
      <w:tr>
        <w:tc>
          <w:tcPr>
            <w:tcW w:type="dxa" w:w="2353"/>
          </w:tcPr>
          <w:p>
            <w:r>
              <w:rPr>
                <w:rFonts w:ascii="Segoe UI" w:hAnsi="Segoe UI"/>
                <w:b/>
                <w:color w:val="0B0F14"/>
                <w:sz w:val="40"/>
              </w:rPr>
              <w:t>45</w:t>
            </w:r>
          </w:p>
        </w:tc>
        <w:tc>
          <w:tcPr>
            <w:tcW w:type="dxa" w:w="2353"/>
          </w:tcPr>
          <w:p>
            <w:r>
              <w:rPr>
                <w:rFonts w:ascii="Segoe UI" w:hAnsi="Segoe UI"/>
                <w:b/>
                <w:color w:val="0B0F14"/>
                <w:sz w:val="40"/>
              </w:rPr>
              <w:t>61%</w:t>
            </w:r>
          </w:p>
        </w:tc>
        <w:tc>
          <w:tcPr>
            <w:tcW w:type="dxa" w:w="2353"/>
          </w:tcPr>
          <w:p>
            <w:r>
              <w:rPr>
                <w:rFonts w:ascii="Segoe UI" w:hAnsi="Segoe UI"/>
                <w:b/>
                <w:color w:val="0B0F14"/>
                <w:sz w:val="40"/>
              </w:rPr>
              <w:t>37,3 mil</w:t>
            </w:r>
          </w:p>
        </w:tc>
        <w:tc>
          <w:tcPr>
            <w:tcW w:type="dxa" w:w="2353"/>
          </w:tcPr>
          <w:p>
            <w:r>
              <w:rPr>
                <w:rFonts w:ascii="Segoe UI" w:hAnsi="Segoe UI"/>
                <w:b/>
                <w:color w:val="0B0F14"/>
                <w:sz w:val="40"/>
              </w:rPr>
              <w:t>12 instr.</w:t>
            </w:r>
          </w:p>
        </w:tc>
      </w:tr>
    </w:tbl>
    <w:p>
      <w:pPr>
        <w:spacing w:after="120" w:before="0"/>
        <w:jc w:val="left"/>
      </w:pPr>
      <w:r>
        <w:rPr>
          <w:rFonts w:ascii="Segoe UI" w:hAnsi="Segoe UI"/>
          <w:b w:val="0"/>
          <w:i w:val="0"/>
          <w:color w:val="0B0F14"/>
          <w:sz w:val="8"/>
        </w:rPr>
      </w:r>
    </w:p>
    <w:p>
      <w:pPr>
        <w:spacing w:after="60" w:before="0"/>
        <w:jc w:val="left"/>
      </w:pPr>
      <w:r>
        <w:rPr>
          <w:rFonts w:ascii="Segoe UI" w:hAnsi="Segoe UI"/>
          <w:b/>
          <w:i w:val="0"/>
          <w:color w:val="D71920"/>
          <w:sz w:val="25"/>
        </w:rPr>
        <w:t>O QUE É</w:t>
      </w:r>
    </w:p>
    <w:p>
      <w:pPr>
        <w:spacing w:after="120" w:before="0"/>
        <w:jc w:val="left"/>
      </w:pPr>
      <w:r>
        <w:rPr>
          <w:rFonts w:ascii="Segoe UI" w:hAnsi="Segoe UI"/>
          <w:b w:val="0"/>
          <w:i w:val="0"/>
          <w:color w:val="0B0F14"/>
          <w:sz w:val="20"/>
        </w:rPr>
        <w:t>Painel interativo (Streamlit) que consolida as horas-aula dos instrutores do quadro a partir da aba CONSOLIDADO da planilha de regência, com atualização automática.</w:t>
      </w:r>
    </w:p>
    <w:p>
      <w:pPr>
        <w:spacing w:after="60" w:before="0"/>
        <w:jc w:val="left"/>
      </w:pPr>
      <w:r>
        <w:rPr>
          <w:rFonts w:ascii="Segoe UI" w:hAnsi="Segoe UI"/>
          <w:b/>
          <w:i w:val="0"/>
          <w:color w:val="2E90FA"/>
          <w:sz w:val="25"/>
        </w:rPr>
        <w:t>PRINCIPAIS ACHADOS (2026)</w:t>
      </w:r>
    </w:p>
    <w:p>
      <w:pPr>
        <w:spacing w:after="40"/>
        <w:ind w:left="227"/>
      </w:pPr>
      <w:r>
        <w:rPr>
          <w:rFonts w:ascii="Segoe UI" w:hAnsi="Segoe UI"/>
          <w:b/>
          <w:color w:val="D71920"/>
          <w:sz w:val="19"/>
        </w:rPr>
        <w:t xml:space="preserve">•  </w:t>
      </w:r>
      <w:r>
        <w:rPr>
          <w:rFonts w:ascii="Segoe UI" w:hAnsi="Segoe UI"/>
          <w:b/>
          <w:color w:val="0B0F14"/>
          <w:sz w:val="19"/>
        </w:rPr>
        <w:t xml:space="preserve">Dois totais: </w:t>
      </w:r>
      <w:r>
        <w:rPr>
          <w:rFonts w:ascii="Segoe UI" w:hAnsi="Segoe UI"/>
          <w:color w:val="0B0F14"/>
          <w:sz w:val="19"/>
        </w:rPr>
        <w:t>soma dos meses (37.306 h) difere da coluna ANO (36.458 h) — padronizar cálculo na planilha.</w:t>
      </w:r>
    </w:p>
    <w:p>
      <w:pPr>
        <w:spacing w:after="40"/>
        <w:ind w:left="227"/>
      </w:pPr>
      <w:r>
        <w:rPr>
          <w:rFonts w:ascii="Segoe UI" w:hAnsi="Segoe UI"/>
          <w:b/>
          <w:color w:val="D71920"/>
          <w:sz w:val="19"/>
        </w:rPr>
        <w:t xml:space="preserve">•  </w:t>
      </w:r>
      <w:r>
        <w:rPr>
          <w:rFonts w:ascii="Segoe UI" w:hAnsi="Segoe UI"/>
          <w:b/>
          <w:color w:val="0B0F14"/>
          <w:sz w:val="19"/>
        </w:rPr>
        <w:t xml:space="preserve">Alerta: </w:t>
      </w:r>
      <w:r>
        <w:rPr>
          <w:rFonts w:ascii="Segoe UI" w:hAnsi="Segoe UI"/>
          <w:color w:val="0B0F14"/>
          <w:sz w:val="19"/>
        </w:rPr>
        <w:t>12 instrutores (27%) abaixo de 50% de regência; 2 acima de 100% (referência).</w:t>
      </w:r>
    </w:p>
    <w:p>
      <w:pPr>
        <w:spacing w:after="40"/>
        <w:ind w:left="227"/>
      </w:pPr>
      <w:r>
        <w:rPr>
          <w:rFonts w:ascii="Segoe UI" w:hAnsi="Segoe UI"/>
          <w:b/>
          <w:color w:val="D71920"/>
          <w:sz w:val="19"/>
        </w:rPr>
        <w:t xml:space="preserve">•  </w:t>
      </w:r>
      <w:r>
        <w:rPr>
          <w:rFonts w:ascii="Segoe UI" w:hAnsi="Segoe UI"/>
          <w:b/>
          <w:color w:val="0B0F14"/>
          <w:sz w:val="19"/>
        </w:rPr>
        <w:t xml:space="preserve">Manutenção automotiva: </w:t>
      </w:r>
      <w:r>
        <w:rPr>
          <w:rFonts w:ascii="Segoe UI" w:hAnsi="Segoe UI"/>
          <w:color w:val="0B0F14"/>
          <w:sz w:val="19"/>
        </w:rPr>
        <w:t>área unificada (13 instrutores), 7 abaixo de 50% — prioridade com a coordenação.</w:t>
      </w:r>
    </w:p>
    <w:p>
      <w:pPr>
        <w:spacing w:after="40"/>
        <w:ind w:left="227"/>
      </w:pPr>
      <w:r>
        <w:rPr>
          <w:rFonts w:ascii="Segoe UI" w:hAnsi="Segoe UI"/>
          <w:b/>
          <w:color w:val="D71920"/>
          <w:sz w:val="19"/>
        </w:rPr>
        <w:t xml:space="preserve">•  </w:t>
      </w:r>
      <w:r>
        <w:rPr>
          <w:rFonts w:ascii="Segoe UI" w:hAnsi="Segoe UI"/>
          <w:b/>
          <w:color w:val="0B0F14"/>
          <w:sz w:val="19"/>
        </w:rPr>
        <w:t xml:space="preserve">Sazonalidade: </w:t>
      </w:r>
      <w:r>
        <w:rPr>
          <w:rFonts w:ascii="Segoe UI" w:hAnsi="Segoe UI"/>
          <w:color w:val="0B0F14"/>
          <w:sz w:val="19"/>
        </w:rPr>
        <w:t>julho (18% — férias), janeiro (41%) e dezembro (37%); base produtiva: mar–set (78–82%).</w:t>
      </w:r>
    </w:p>
    <w:p>
      <w:pPr>
        <w:spacing w:after="40"/>
        <w:ind w:left="227"/>
      </w:pPr>
      <w:r>
        <w:rPr>
          <w:rFonts w:ascii="Segoe UI" w:hAnsi="Segoe UI"/>
          <w:b/>
          <w:color w:val="D71920"/>
          <w:sz w:val="19"/>
        </w:rPr>
        <w:t xml:space="preserve">•  </w:t>
      </w:r>
      <w:r>
        <w:rPr>
          <w:rFonts w:ascii="Segoe UI" w:hAnsi="Segoe UI"/>
          <w:b/>
          <w:color w:val="0B0F14"/>
          <w:sz w:val="19"/>
        </w:rPr>
        <w:t xml:space="preserve">Referências boas: </w:t>
      </w:r>
      <w:r>
        <w:rPr>
          <w:rFonts w:ascii="Segoe UI" w:hAnsi="Segoe UI"/>
          <w:color w:val="0B0F14"/>
          <w:sz w:val="19"/>
        </w:rPr>
        <w:t>Gráfica editorial (74,7%) e Alimentos e bebidas (73,0%); ROMULO FLORIANO 109,5%.</w:t>
      </w:r>
    </w:p>
    <w:p>
      <w:pPr>
        <w:spacing w:after="40"/>
        <w:ind w:left="227"/>
      </w:pPr>
      <w:r>
        <w:rPr>
          <w:rFonts w:ascii="Segoe UI" w:hAnsi="Segoe UI"/>
          <w:b/>
          <w:color w:val="D71920"/>
          <w:sz w:val="19"/>
        </w:rPr>
        <w:t xml:space="preserve">•  </w:t>
      </w:r>
      <w:r>
        <w:rPr>
          <w:rFonts w:ascii="Segoe UI" w:hAnsi="Segoe UI"/>
          <w:b/>
          <w:color w:val="0B0F14"/>
          <w:sz w:val="19"/>
        </w:rPr>
        <w:t xml:space="preserve">Qualidade dos dados: </w:t>
      </w:r>
      <w:r>
        <w:rPr>
          <w:rFonts w:ascii="Segoe UI" w:hAnsi="Segoe UI"/>
          <w:color w:val="0B0F14"/>
          <w:sz w:val="19"/>
        </w:rPr>
        <w:t>erros de digitação e rótulos antigos são unificados pelo próprio BI (ex.: "(JD)" → Manutenção automotiva); falta preencher POLO/LOCAL na planilha para todos.</w:t>
      </w:r>
    </w:p>
    <w:p>
      <w:pPr>
        <w:spacing w:after="60" w:before="0"/>
        <w:jc w:val="left"/>
      </w:pPr>
      <w:r>
        <w:rPr>
          <w:rFonts w:ascii="Segoe UI" w:hAnsi="Segoe UI"/>
          <w:b/>
          <w:i w:val="0"/>
          <w:color w:val="2E90FA"/>
          <w:sz w:val="25"/>
        </w:rPr>
        <w:t>PLANO DE AÇÃO</w:t>
      </w:r>
    </w:p>
    <w:p>
      <w:pPr>
        <w:spacing w:after="40"/>
        <w:ind w:left="227"/>
      </w:pPr>
      <w:r>
        <w:rPr>
          <w:rFonts w:ascii="Segoe UI" w:hAnsi="Segoe UI"/>
          <w:b/>
          <w:color w:val="D71920"/>
          <w:sz w:val="19"/>
        </w:rPr>
        <w:t xml:space="preserve">•  </w:t>
      </w:r>
      <w:r>
        <w:rPr>
          <w:rFonts w:ascii="Segoe UI" w:hAnsi="Segoe UI"/>
          <w:b/>
          <w:color w:val="0B0F14"/>
          <w:sz w:val="19"/>
        </w:rPr>
        <w:t xml:space="preserve">1) </w:t>
      </w:r>
      <w:r>
        <w:rPr>
          <w:rFonts w:ascii="Segoe UI" w:hAnsi="Segoe UI"/>
          <w:color w:val="0B0F14"/>
          <w:sz w:val="19"/>
        </w:rPr>
        <w:t>validar casos de baixa regência (por que, o que fazer) — prioridade Manutenção automotiva.</w:t>
      </w:r>
    </w:p>
    <w:p>
      <w:pPr>
        <w:spacing w:after="40"/>
        <w:ind w:left="227"/>
      </w:pPr>
      <w:r>
        <w:rPr>
          <w:rFonts w:ascii="Segoe UI" w:hAnsi="Segoe UI"/>
          <w:b/>
          <w:color w:val="D71920"/>
          <w:sz w:val="19"/>
        </w:rPr>
        <w:t xml:space="preserve">•  </w:t>
      </w:r>
      <w:r>
        <w:rPr>
          <w:rFonts w:ascii="Segoe UI" w:hAnsi="Segoe UI"/>
          <w:b/>
          <w:color w:val="0B0F14"/>
          <w:sz w:val="19"/>
        </w:rPr>
        <w:t xml:space="preserve">2) </w:t>
      </w:r>
      <w:r>
        <w:rPr>
          <w:rFonts w:ascii="Segoe UI" w:hAnsi="Segoe UI"/>
          <w:color w:val="0B0F14"/>
          <w:sz w:val="19"/>
        </w:rPr>
        <w:t>padronizar planilha: preencher POLO/LOCAL (já suportado pelo BI), totais anuais e lançamentos mensais.</w:t>
      </w:r>
    </w:p>
    <w:p>
      <w:pPr>
        <w:spacing w:after="40"/>
        <w:ind w:left="227"/>
      </w:pPr>
      <w:r>
        <w:rPr>
          <w:rFonts w:ascii="Segoe UI" w:hAnsi="Segoe UI"/>
          <w:b/>
          <w:color w:val="D71920"/>
          <w:sz w:val="19"/>
        </w:rPr>
        <w:t xml:space="preserve">•  </w:t>
      </w:r>
      <w:r>
        <w:rPr>
          <w:rFonts w:ascii="Segoe UI" w:hAnsi="Segoe UI"/>
          <w:b/>
          <w:color w:val="0B0F14"/>
          <w:sz w:val="19"/>
        </w:rPr>
        <w:t xml:space="preserve">3) </w:t>
      </w:r>
      <w:r>
        <w:rPr>
          <w:rFonts w:ascii="Segoe UI" w:hAnsi="Segoe UI"/>
          <w:color w:val="0B0F14"/>
          <w:sz w:val="19"/>
        </w:rPr>
        <w:t>definir metas de regência por período, respeitando férias e sazonalidade.</w:t>
      </w:r>
    </w:p>
    <w:p>
      <w:pPr>
        <w:spacing w:after="40"/>
        <w:ind w:left="227"/>
      </w:pPr>
      <w:r>
        <w:rPr>
          <w:rFonts w:ascii="Segoe UI" w:hAnsi="Segoe UI"/>
          <w:b/>
          <w:color w:val="D71920"/>
          <w:sz w:val="19"/>
        </w:rPr>
        <w:t xml:space="preserve">•  </w:t>
      </w:r>
      <w:r>
        <w:rPr>
          <w:rFonts w:ascii="Segoe UI" w:hAnsi="Segoe UI"/>
          <w:b/>
          <w:color w:val="0B0F14"/>
          <w:sz w:val="19"/>
        </w:rPr>
        <w:t xml:space="preserve">4) </w:t>
      </w:r>
      <w:r>
        <w:rPr>
          <w:rFonts w:ascii="Segoe UI" w:hAnsi="Segoe UI"/>
          <w:color w:val="0B0F14"/>
          <w:sz w:val="19"/>
        </w:rPr>
        <w:t>acompanhamento mensal no painel, com reavaliação do mesmo indicador.</w:t>
      </w:r>
    </w:p>
    <w:p>
      <w:pPr>
        <w:spacing w:after="80" w:before="0"/>
        <w:jc w:val="left"/>
      </w:pPr>
      <w:r>
        <w:rPr>
          <w:rFonts w:ascii="Segoe UI" w:hAnsi="Segoe UI"/>
          <w:b w:val="0"/>
          <w:i w:val="0"/>
          <w:color w:val="0B0F14"/>
          <w:sz w:val="8"/>
        </w:rPr>
      </w:r>
    </w:p>
    <w:p>
      <w:pPr>
        <w:spacing w:after="0" w:before="0"/>
        <w:jc w:val="left"/>
      </w:pPr>
      <w:r>
        <w:rPr>
          <w:rFonts w:ascii="Segoe UI" w:hAnsi="Segoe UI"/>
          <w:b w:val="0"/>
          <w:i w:val="0"/>
          <w:color w:val="6B7280"/>
          <w:sz w:val="17"/>
        </w:rPr>
        <w:t>Fonte: planilha REGÊNCIA - INSTRUTORES DO QUADRO 2026.xlsx (aba CONSOLIDADO) processada pelo BI de Regência. Gerado em 20/08/2026 — os números podem ser atualizados pela coordenação na planilha-fonte.</w:t>
      </w:r>
    </w:p>
    <w:sectPr w:rsidR="00FC693F" w:rsidRPr="0006063C" w:rsidSect="00034616">
      <w:pgSz w:w="11906" w:h="16838"/>
      <w:pgMar w:top="907" w:right="1247" w:bottom="90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