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2590"/>
        <w:gridCol w:w="1739"/>
        <w:gridCol w:w="1587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设计模式名称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实现个（套）数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何处体现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  <w:t>C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h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ainsOfResponsibility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 xml:space="preserve"> 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动物运动会医院中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所有医生构成责任链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Iterator 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观赛前检票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检票员给观众检票就像遍历迭代器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Specification 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动物运动会最终评选奖项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通过一定的规约来决定每个动物的最终评奖等级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III</w:t>
      </w:r>
      <w:r>
        <w:rPr>
          <w:rFonts w:hint="eastAsia" w:ascii="Times New Roman" w:hAnsi="Times New Roman" w:eastAsia="宋体" w:cs="Times New Roman"/>
          <w:sz w:val="24"/>
          <w:szCs w:val="24"/>
        </w:rPr>
        <w:t>.设计模式详述，按下列内容给出详细说明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设计模式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</w:rPr>
        <w:t>C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h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ainsOfResponsibility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3.1.1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default" w:ascii="华文楷体" w:hAnsi="华文楷体" w:eastAsia="华文楷体" w:cs="Helvetica Neue"/>
          <w:color w:val="000000"/>
          <w:sz w:val="24"/>
          <w:szCs w:val="24"/>
        </w:rPr>
        <w:t>C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h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ainsOfResponsibilityP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先通过创建一些医生并使他们构成责任链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然后接受病人请求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并返回给一个符合要求的医生来给其治病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3.1.2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类图（还可添加流程图、时序图、等等其他UML图辅助说明）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sz w:val="28"/>
          <w:szCs w:val="28"/>
        </w:rPr>
        <w:drawing>
          <wp:inline distT="0" distB="0" distL="114300" distR="114300">
            <wp:extent cx="5272405" cy="3792220"/>
            <wp:effectExtent l="0" t="0" r="10795" b="177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设计模式 </w:t>
      </w:r>
      <w:r>
        <w:rPr>
          <w:rFonts w:ascii="华文楷体" w:hAnsi="华文楷体" w:eastAsia="华文楷体" w:cs="Helvetica Neue"/>
          <w:color w:val="000000"/>
          <w:sz w:val="24"/>
          <w:szCs w:val="24"/>
        </w:rPr>
        <w:t>Iterator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华文楷体" w:hAnsi="华文楷体" w:eastAsia="华文楷体" w:cs="Helvetica Neue"/>
          <w:color w:val="000000"/>
          <w:sz w:val="24"/>
          <w:szCs w:val="24"/>
        </w:rPr>
        <w:t>Iterator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通过访问观众audience类的迭代器来实现遍历整个观众队列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类图（还可添加流程图、时序图、等等其他UML图辅助说明）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sz w:val="28"/>
          <w:szCs w:val="28"/>
        </w:rPr>
        <w:drawing>
          <wp:inline distT="0" distB="0" distL="114300" distR="114300">
            <wp:extent cx="5275580" cy="3976370"/>
            <wp:effectExtent l="0" t="0" r="7620" b="1143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20" w:leftChars="0"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设计模式 </w:t>
      </w:r>
      <w:r>
        <w:rPr>
          <w:rFonts w:ascii="华文楷体" w:hAnsi="华文楷体" w:eastAsia="华文楷体" w:cs="Helvetica Neue"/>
          <w:color w:val="000000"/>
          <w:sz w:val="24"/>
          <w:szCs w:val="24"/>
        </w:rPr>
        <w:t>Specification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华文楷体" w:hAnsi="华文楷体" w:eastAsia="华文楷体" w:cs="Helvetica Neue"/>
          <w:color w:val="000000"/>
          <w:sz w:val="24"/>
          <w:szCs w:val="24"/>
        </w:rPr>
        <w:t>Specification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通过调用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A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nd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()、O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r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()、N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ot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方法来实现不同规约之间的与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、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或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、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非逻辑组合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类图（还可添加流程图、时序图、等等其他UML图辅助说明）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sz w:val="28"/>
          <w:szCs w:val="28"/>
        </w:rPr>
        <w:drawing>
          <wp:inline distT="0" distB="0" distL="114300" distR="114300">
            <wp:extent cx="5272405" cy="3402965"/>
            <wp:effectExtent l="0" t="0" r="10795" b="63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7D136"/>
    <w:rsid w:val="1F9F4E6E"/>
    <w:rsid w:val="77EF8E1E"/>
    <w:rsid w:val="7AD7D136"/>
    <w:rsid w:val="7BFFD74E"/>
    <w:rsid w:val="DF76B633"/>
    <w:rsid w:val="FEFF4914"/>
    <w:rsid w:val="FF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2020-11-23T22:41:00Z</dcterms:created>
  <dc:creator>houtong</dc:creator>
  <cp:lastModifiedBy>houtong</cp:lastModifiedBy>
  <dcterms:modified xsi:type="dcterms:W3CDTF">2020-11-23T22:44:59Z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