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Data Protection Impact Assessment</w:t>
      </w:r>
    </w:p>
    <w:p>
      <w:pPr>
        <w:spacing w:after="120"/>
      </w:pPr>
      <w:r>
        <w:rPr>
          <w:i/>
          <w:iCs/>
          <w:color w:val="595959"/>
        </w:rPr>
        <w:t xml:space="preserve">A DPIA assesses and mitigates the privacy risk of a processing activity before you build it (GDPR Art. 35; UAE PDPL equivalent for high-risk processing). Complete the bracketed fields. If the trigger test shows no DPIA is required, record that decision and stop.</w:t>
      </w:r>
    </w:p>
    <w:p>
      <w:pPr>
        <w:pStyle w:val="Heading1"/>
      </w:pPr>
      <w:r>
        <w:t xml:space="preserve">1. 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/ system name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 &amp; DPO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[name, role] / [DPO name]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/ version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[YYYY-MM-DD] / [v]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ROPA activity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[reference]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[what the project does, in 3–4 sentences]</w:t>
            </w:r>
          </w:p>
        </w:tc>
      </w:tr>
    </w:tbl>
    <w:p>
      <w:pPr>
        <w:pStyle w:val="Heading1"/>
      </w:pPr>
      <w:r>
        <w:t xml:space="preserve">2. Data Flows</w:t>
      </w:r>
    </w:p>
    <w:p>
      <w:pPr>
        <w:spacing w:after="120"/>
      </w:pPr>
      <w:r>
        <w:t xml:space="preserve">Describe the lifecycle: what is collected, from whom, how it moves, where it is stored, who can access it, and when it is deleted.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[data elements + source]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[where, classification tier]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by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[systems / teams]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Shared with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[recipients, processors, transfers]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Retained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[period + deletion trigger]</w:t>
            </w:r>
          </w:p>
        </w:tc>
      </w:tr>
    </w:tbl>
    <w:p>
      <w:pPr>
        <w:pStyle w:val="Heading1"/>
      </w:pPr>
      <w:r>
        <w:t xml:space="preserve">3. Necessity &amp; Proportionality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[why this processing is needed]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Lawful basis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[GDPR Art.6 / PDPL basis; Art.9 condition if special-category]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 intrusive option?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[data minimisation analysis]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Data-subject rights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[how individuals are informed and exercise their rights]</w:t>
            </w:r>
          </w:p>
        </w:tc>
      </w:tr>
    </w:tbl>
    <w:p>
      <w:pPr>
        <w:pStyle w:val="Heading1"/>
      </w:pPr>
      <w:r>
        <w:t xml:space="preserve">4. Stakeholder Consultation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concern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[DPO]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[Security]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[Affected individuals / reps]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</w:tr>
    </w:tbl>
    <w:p>
      <w:pPr>
        <w:pStyle w:val="Heading1"/>
      </w:pPr>
      <w:r>
        <w:t xml:space="preserve">5. Risk Assessment</w:t>
      </w:r>
    </w:p>
    <w:p>
      <w:pPr>
        <w:spacing w:after="120"/>
      </w:pPr>
      <w:r>
        <w:t xml:space="preserve">Score each risk to the individual: Likelihood (Low/Med/High) × Severity (Low/Med/High) → rating. Re-score after mitigation for the residual rating.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100"/>
        <w:gridCol w:w="1100"/>
        <w:gridCol w:w="1000"/>
        <w:gridCol w:w="2100"/>
        <w:gridCol w:w="1000"/>
      </w:tblGrid>
      <w:t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to individuals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</w:t>
            </w:r>
          </w:p>
        </w:tc>
      </w:tr>
      <w:t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[unauthorised access to sensitive data]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[control]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[data used beyond stated purpose]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[control]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[excessive retention]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[control]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[unlawful cross-border transfer]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[control]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]</w:t>
            </w:r>
          </w:p>
        </w:tc>
      </w:tr>
    </w:tbl>
    <w:p>
      <w:pPr>
        <w:pStyle w:val="Heading1"/>
      </w:pPr>
      <w:r>
        <w:t xml:space="preserve">6. Outcome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Residual risk acceptable?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[Yes / No - if high residual risk remains, prior consultation with the regulator (GDPR Art.36) may be required]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Conditions before go-live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DPO recommendation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 &amp;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[approved/rejected, by whom, date]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1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160"/>
      </w:pPr>
      <w:r>
        <w:rPr>
          <w:i/>
          <w:iCs/>
          <w:color w:val="C00000"/>
          <w:sz w:val="18"/>
          <w:szCs w:val="18"/>
        </w:rPr>
        <w:t xml:space="preserve">If any residual risk remains High after mitigation, consult your supervisory authority before proceeding and record that step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A0A0A0"/>
        <w:sz w:val="14"/>
        <w:szCs w:val="14"/>
      </w:rPr>
      <w:t xml:space="preserve">Not legal advice - validate against applicable law. </w:t>
    </w:r>
    <w:r>
      <w:rPr>
        <w:rFonts w:ascii="Arial" w:cs="Arial" w:eastAsia="Arial" w:hAnsi="Arial"/>
        <w:color w:val="A0A0A0"/>
        <w:sz w:val="14"/>
        <w:szCs w:val="14"/>
      </w:rPr>
      <w:t xml:space="preserve">Page </w:t>
    </w:r>
    <w:r>
      <w:rPr>
        <w:rFonts w:ascii="Arial" w:cs="Arial" w:eastAsia="Arial" w:hAnsi="Arial"/>
        <w:color w:val="A0A0A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Arial" w:cs="Arial" w:eastAsia="Arial" w:hAnsi="Arial"/>
        <w:color w:val="808080"/>
        <w:sz w:val="16"/>
        <w:szCs w:val="16"/>
      </w:rPr>
      <w:t xml:space="preserve">Data Protection Impact Assessment (DPIA)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2026-06-29T17:46:02.470Z</dcterms:created>
  <dcterms:modified xsi:type="dcterms:W3CDTF">2026-06-29T17:46:02.470Z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