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left"/>
      </w:pPr>
      <w:r>
        <w:rPr>
          <w:rFonts w:ascii="Arial" w:cs="Arial" w:eastAsia="Arial" w:hAnsi="Arial"/>
          <w:b/>
          <w:bCs/>
          <w:color w:val="1F3A5F"/>
          <w:sz w:val="40"/>
          <w:szCs w:val="40"/>
        </w:rPr>
        <w:t xml:space="preserve">Data Protection Impact Assessment</w:t>
      </w:r>
    </w:p>
    <w:p>
      <w:pPr>
        <w:spacing w:after="120"/>
      </w:pPr>
      <w:r>
        <w:rPr>
          <w:i/>
          <w:iCs/>
          <w:color w:val="595959"/>
        </w:rPr>
        <w:t xml:space="preserve">A DPIA assesses and mitigates the privacy risk of a processing activity before you build it (GDPR Art. 35; UAE PDPL equivalent for high-risk processing). Complete the bracketed fields. If the trigger test shows no DPIA is required, record that decision and stop.</w:t>
      </w:r>
    </w:p>
    <w:p>
      <w:pPr>
        <w:pStyle w:val="Heading1"/>
      </w:pPr>
      <w:r>
        <w:t xml:space="preserve">1. Project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gridSpan w:val="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1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Project / system name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3000"/>
            <w:gridSpan w:val="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1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Owner &amp; DPO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20"/>
                <w:szCs w:val="20"/>
              </w:rPr>
              <w:t xml:space="preserve">[name, role] / [DPO name]</w:t>
            </w:r>
          </w:p>
        </w:tc>
      </w:tr>
      <w:tr>
        <w:tc>
          <w:tcPr>
            <w:tcW w:type="dxa" w:w="3000"/>
            <w:gridSpan w:val="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1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/ version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20"/>
                <w:szCs w:val="20"/>
              </w:rPr>
              <w:t xml:space="preserve">[YYYY-MM-DD] / [v]</w:t>
            </w:r>
          </w:p>
        </w:tc>
      </w:tr>
      <w:tr>
        <w:tc>
          <w:tcPr>
            <w:tcW w:type="dxa" w:w="3000"/>
            <w:gridSpan w:val="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1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Linked ROPA activity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20"/>
                <w:szCs w:val="20"/>
              </w:rPr>
              <w:t xml:space="preserve">[reference]</w:t>
            </w:r>
          </w:p>
        </w:tc>
      </w:tr>
      <w:tr>
        <w:tc>
          <w:tcPr>
            <w:tcW w:type="dxa" w:w="3000"/>
            <w:gridSpan w:val="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1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20"/>
                <w:szCs w:val="20"/>
              </w:rPr>
              <w:t xml:space="preserve">[what the project does, in 3–4 sentences]</w:t>
            </w:r>
          </w:p>
        </w:tc>
      </w:tr>
    </w:tbl>
    <w:p>
      <w:pPr>
        <w:pStyle w:val="Heading1"/>
      </w:pPr>
      <w:r>
        <w:t xml:space="preserve">2. Data Flows</w:t>
      </w:r>
    </w:p>
    <w:p>
      <w:pPr>
        <w:spacing w:after="120"/>
      </w:pPr>
      <w:r>
        <w:t xml:space="preserve">Describe the lifecycle: what is collected, from whom, how it moves, where it is stored, who can access it, and when it is deleted.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gridSpan w:val="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1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Collected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20"/>
                <w:szCs w:val="20"/>
              </w:rPr>
              <w:t xml:space="preserve">[data elements + source]</w:t>
            </w:r>
          </w:p>
        </w:tc>
      </w:tr>
      <w:tr>
        <w:tc>
          <w:tcPr>
            <w:tcW w:type="dxa" w:w="3000"/>
            <w:gridSpan w:val="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1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Stored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20"/>
                <w:szCs w:val="20"/>
              </w:rPr>
              <w:t xml:space="preserve">[where, classification tier]</w:t>
            </w:r>
          </w:p>
        </w:tc>
      </w:tr>
      <w:tr>
        <w:tc>
          <w:tcPr>
            <w:tcW w:type="dxa" w:w="3000"/>
            <w:gridSpan w:val="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1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Used by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20"/>
                <w:szCs w:val="20"/>
              </w:rPr>
              <w:t xml:space="preserve">[systems / teams]</w:t>
            </w:r>
          </w:p>
        </w:tc>
      </w:tr>
      <w:tr>
        <w:tc>
          <w:tcPr>
            <w:tcW w:type="dxa" w:w="3000"/>
            <w:gridSpan w:val="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1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Shared with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20"/>
                <w:szCs w:val="20"/>
              </w:rPr>
              <w:t xml:space="preserve">[recipients, processors, transfers]</w:t>
            </w:r>
          </w:p>
        </w:tc>
      </w:tr>
      <w:tr>
        <w:tc>
          <w:tcPr>
            <w:tcW w:type="dxa" w:w="3000"/>
            <w:gridSpan w:val="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1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Retained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20"/>
                <w:szCs w:val="20"/>
              </w:rPr>
              <w:t xml:space="preserve">[period + deletion trigger]</w:t>
            </w:r>
          </w:p>
        </w:tc>
      </w:tr>
    </w:tbl>
    <w:p>
      <w:pPr>
        <w:pStyle w:val="Heading1"/>
      </w:pPr>
      <w:r>
        <w:t xml:space="preserve">3. Necessity &amp; Proportionality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gridSpan w:val="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1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20"/>
                <w:szCs w:val="20"/>
              </w:rPr>
              <w:t xml:space="preserve">[why this processing is needed]</w:t>
            </w:r>
          </w:p>
        </w:tc>
      </w:tr>
      <w:tr>
        <w:tc>
          <w:tcPr>
            <w:tcW w:type="dxa" w:w="3000"/>
            <w:gridSpan w:val="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1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Lawful basis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20"/>
                <w:szCs w:val="20"/>
              </w:rPr>
              <w:t xml:space="preserve">[GDPR Art.6 / PDPL basis; Art.9 condition if special-category]</w:t>
            </w:r>
          </w:p>
        </w:tc>
      </w:tr>
      <w:tr>
        <w:tc>
          <w:tcPr>
            <w:tcW w:type="dxa" w:w="3000"/>
            <w:gridSpan w:val="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1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Less intrusive option?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20"/>
                <w:szCs w:val="20"/>
              </w:rPr>
              <w:t xml:space="preserve">[data minimisation analysis]</w:t>
            </w:r>
          </w:p>
        </w:tc>
      </w:tr>
      <w:tr>
        <w:tc>
          <w:tcPr>
            <w:tcW w:type="dxa" w:w="3000"/>
            <w:gridSpan w:val="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1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Data-subject rights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20"/>
                <w:szCs w:val="20"/>
              </w:rPr>
              <w:t xml:space="preserve">[how individuals are informed and exercise their rights]</w:t>
            </w:r>
          </w:p>
        </w:tc>
      </w:tr>
    </w:tbl>
    <w:p>
      <w:pPr>
        <w:pStyle w:val="Heading1"/>
      </w:pPr>
      <w:r>
        <w:t xml:space="preserve">4. Stakeholder Consultation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360"/>
        <w:gridCol w:w="2000"/>
      </w:tblGrid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Stakeholder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concern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[DPO]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 ]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 ]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[Security]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 ]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 ]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[Affected individuals / reps]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 ]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 ]</w:t>
            </w:r>
          </w:p>
        </w:tc>
      </w:tr>
    </w:tbl>
    <w:p>
      <w:pPr>
        <w:pStyle w:val="Heading1"/>
      </w:pPr>
      <w:r>
        <w:t xml:space="preserve">5. Risk Assessment</w:t>
      </w:r>
    </w:p>
    <w:p>
      <w:pPr>
        <w:spacing w:after="120"/>
      </w:pPr>
      <w:r>
        <w:t xml:space="preserve">Score each risk to the individual: Likelihood (Low/Med/High) × Severity (Low/Med/High) → rating. Re-score after mitigation for the residual rating.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1100"/>
        <w:gridCol w:w="1100"/>
        <w:gridCol w:w="1000"/>
        <w:gridCol w:w="2100"/>
        <w:gridCol w:w="1000"/>
      </w:tblGrid>
      <w:tr>
        <w:tc>
          <w:tcPr>
            <w:tcW w:type="dxa" w:w="3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Risk to individuals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Likeli.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Severity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Rating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Mitigation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Residual</w:t>
            </w:r>
          </w:p>
        </w:tc>
      </w:tr>
      <w:tr>
        <w:tc>
          <w:tcPr>
            <w:tcW w:type="dxa" w:w="3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[unauthorised access to sensitive data]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 ]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 ]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 ]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[control]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 ]</w:t>
            </w:r>
          </w:p>
        </w:tc>
      </w:tr>
      <w:tr>
        <w:tc>
          <w:tcPr>
            <w:tcW w:type="dxa" w:w="3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[data used beyond stated purpose]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 ]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 ]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 ]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[control]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 ]</w:t>
            </w:r>
          </w:p>
        </w:tc>
      </w:tr>
      <w:tr>
        <w:tc>
          <w:tcPr>
            <w:tcW w:type="dxa" w:w="3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[excessive retention]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 ]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 ]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 ]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[control]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 ]</w:t>
            </w:r>
          </w:p>
        </w:tc>
      </w:tr>
      <w:tr>
        <w:tc>
          <w:tcPr>
            <w:tcW w:type="dxa" w:w="3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[unlawful cross-border transfer]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 ]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 ]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 ]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[control]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 ]</w:t>
            </w:r>
          </w:p>
        </w:tc>
      </w:tr>
    </w:tbl>
    <w:p>
      <w:pPr>
        <w:pStyle w:val="Heading1"/>
      </w:pPr>
      <w:r>
        <w:t xml:space="preserve">6. Outcome &amp;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gridSpan w:val="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1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Residual risk acceptable?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20"/>
                <w:szCs w:val="20"/>
              </w:rPr>
              <w:t xml:space="preserve">[Yes / No — if high residual risk remains, prior consultation with the regulator (GDPR Art.36) may be required]</w:t>
            </w:r>
          </w:p>
        </w:tc>
      </w:tr>
      <w:tr>
        <w:tc>
          <w:tcPr>
            <w:tcW w:type="dxa" w:w="3000"/>
            <w:gridSpan w:val="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1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Conditions before go-live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3000"/>
            <w:gridSpan w:val="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1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DPO recommendation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3000"/>
            <w:gridSpan w:val="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1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Decision &amp; owner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20"/>
                <w:szCs w:val="20"/>
              </w:rPr>
              <w:t xml:space="preserve">[approved/rejected, by whom, date]</w:t>
            </w:r>
          </w:p>
        </w:tc>
      </w:tr>
      <w:tr>
        <w:tc>
          <w:tcPr>
            <w:tcW w:type="dxa" w:w="3000"/>
            <w:gridSpan w:val="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1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Next review date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20"/>
                <w:szCs w:val="20"/>
              </w:rPr>
              <w:t xml:space="preserve">[YYYY-MM-DD]</w:t>
            </w:r>
          </w:p>
        </w:tc>
      </w:tr>
    </w:tbl>
    <w:p>
      <w:pPr>
        <w:spacing w:before="160"/>
      </w:pPr>
      <w:r>
        <w:rPr>
          <w:i/>
          <w:iCs/>
          <w:color w:val="C00000"/>
          <w:sz w:val="18"/>
          <w:szCs w:val="18"/>
        </w:rPr>
        <w:t xml:space="preserve">If any residual risk remains High after mitigation, consult your supervisory authority before proceeding and record that step above.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i/>
        <w:iCs/>
        <w:color w:val="A0A0A0"/>
        <w:sz w:val="14"/>
        <w:szCs w:val="14"/>
      </w:rPr>
      <w:t xml:space="preserve">Not legal advice — validate against applicable law. </w:t>
    </w:r>
    <w:r>
      <w:rPr>
        <w:rFonts w:ascii="Arial" w:cs="Arial" w:eastAsia="Arial" w:hAnsi="Arial"/>
        <w:color w:val="A0A0A0"/>
        <w:sz w:val="14"/>
        <w:szCs w:val="14"/>
      </w:rPr>
      <w:t xml:space="preserve">Page </w:t>
    </w:r>
    <w:r>
      <w:rPr>
        <w:rFonts w:ascii="Arial" w:cs="Arial" w:eastAsia="Arial" w:hAnsi="Arial"/>
        <w:color w:val="A0A0A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2"/>
      </w:pBdr>
    </w:pPr>
    <w:r>
      <w:rPr>
        <w:rFonts w:ascii="Arial" w:cs="Arial" w:eastAsia="Arial" w:hAnsi="Arial"/>
        <w:color w:val="808080"/>
        <w:sz w:val="16"/>
        <w:szCs w:val="16"/>
      </w:rPr>
      <w:t xml:space="preserve">Data Protection Impact Assessment (DPIA)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2026-06-29T17:46:02.470Z</dcterms:created>
  <dcterms:modified xsi:type="dcterms:W3CDTF">2026-06-29T17:46:02.470Z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