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8.png" ContentType="image/png"/>
  <Override PartName="/word/media/rId52.png" ContentType="image/png"/>
  <Override PartName="/word/media/rId74.png" ContentType="image/png"/>
  <Override PartName="/word/media/rId56.png" ContentType="image/png"/>
  <Override PartName="/word/media/rId42.png" ContentType="image/png"/>
  <Override PartName="/word/media/rId62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Дискретно-событийное моделирование</w:t>
      </w:r>
    </w:p>
    <w:p>
      <w:pPr>
        <w:pStyle w:val="Author"/>
      </w:pPr>
      <w:r>
        <w:t xml:space="preserve">Улитина Мария Максимовна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дискретно-событийного моделирования на языке Julia с пакетами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ResumableFunctions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 Анализ систем массового обслуживания (модели M/M/c и Росса), внедрение воспроизводимых научных вычислений и литературного программирования.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Модель M/M/c</w:t>
      </w:r>
    </w:p>
    <w:p>
      <w:pPr>
        <w:pStyle w:val="Compact"/>
        <w:numPr>
          <w:ilvl w:val="1"/>
          <w:numId w:val="1002"/>
        </w:numPr>
      </w:pPr>
      <w:r>
        <w:t xml:space="preserve">Адаптация кода под структуру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Построение графиков распределения времени ожидания, обслуживания и сходимости среднего времени ожидания.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Модель Росса</w:t>
      </w:r>
    </w:p>
    <w:p>
      <w:pPr>
        <w:pStyle w:val="Compact"/>
        <w:numPr>
          <w:ilvl w:val="1"/>
          <w:numId w:val="1003"/>
        </w:numPr>
      </w:pPr>
      <w:r>
        <w:t xml:space="preserve">Перевод в структуру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Добавление нескольких ремонтников.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Прогоны для разного числа машин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резерва</w:t>
      </w:r>
      <w:r>
        <w:t xml:space="preserve"> </w:t>
      </w:r>
      <m:oMath>
        <m:r>
          <m:t>S</m:t>
        </m:r>
      </m:oMath>
      <w:r>
        <w:t xml:space="preserve">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Мониторинг загрузки ремонтников и длины очереди.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График числа исправных машин.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Сравнение с аналитикой.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Литературное программирование (п. 7.3)</w:t>
      </w:r>
    </w:p>
    <w:p>
      <w:pPr>
        <w:pStyle w:val="Compact"/>
        <w:numPr>
          <w:ilvl w:val="1"/>
          <w:numId w:val="1004"/>
        </w:numPr>
      </w:pPr>
      <w:r>
        <w:t xml:space="preserve">Создание рабочего каталога.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Установка пакетов.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Преобразование кода в литературный стиль.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Генерация чистого кода, Jupyter Notebook и документации Quarto.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Интеграция в отчёт.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модель-mmc"/>
    <w:p>
      <w:pPr>
        <w:pStyle w:val="Heading2"/>
      </w:pPr>
      <w:r>
        <w:t xml:space="preserve">3.1 Модель M/M/c</w:t>
      </w:r>
    </w:p>
    <w:p>
      <w:pPr>
        <w:pStyle w:val="FirstParagraph"/>
      </w:pPr>
      <w:r>
        <w:t xml:space="preserve">Многоканальная СМО с ожиданием.</w:t>
      </w:r>
      <w:r>
        <w:br/>
      </w:r>
      <w:r>
        <w:t xml:space="preserve">-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— интенсивность входящего потока (пуассоновский).</w:t>
      </w:r>
      <w:r>
        <w:br/>
      </w:r>
      <w:r>
        <w:t xml:space="preserve">-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интенсивность обслуживания на канале (экспоненциальное).</w:t>
      </w:r>
      <w:r>
        <w:br/>
      </w:r>
      <w:r>
        <w:t xml:space="preserve">-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число каналов.</w:t>
      </w:r>
      <w:r>
        <w:br/>
      </w:r>
      <w:r>
        <w:t xml:space="preserve">- Условие стационарности: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t>μ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Характеристики: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c</m:t>
                                  </m:r>
                                  <m:r>
                                    <m:t>ρ</m:t>
                                  </m:r>
                                </m:e>
                              </m:d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c</m:t>
                              </m:r>
                              <m:r>
                                <m:t>ρ</m:t>
                              </m:r>
                            </m:e>
                          </m:d>
                        </m:e>
                        <m:sup>
                          <m:r>
                            <m:t>c</m:t>
                          </m:r>
                        </m:sup>
                      </m:sSup>
                    </m:num>
                    <m:den>
                      <m:r>
                        <m:t>c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wait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c</m:t>
                      </m:r>
                      <m:r>
                        <m:t>ρ</m:t>
                      </m:r>
                    </m:e>
                  </m:d>
                </m:e>
                <m:sup>
                  <m:r>
                    <m:t>c</m:t>
                  </m:r>
                </m:sup>
              </m:sSup>
            </m:num>
            <m:den>
              <m:r>
                <m:t>c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den>
          </m:f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wait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ρ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/</m:t>
          </m:r>
          <m:r>
            <m:t>λ</m:t>
          </m:r>
          <m:r>
            <m:rPr>
              <m:sty m:val="p"/>
            </m:rPr>
            <m:t>,</m:t>
          </m:r>
          <m:r>
            <m:t> </m:t>
          </m:r>
          <m:r>
            <m:t>W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μ</m:t>
          </m:r>
        </m:oMath>
      </m:oMathPara>
    </w:p>
    <w:bookmarkEnd w:id="22"/>
    <w:bookmarkStart w:id="23" w:name="модель-росса"/>
    <w:p>
      <w:pPr>
        <w:pStyle w:val="Heading2"/>
      </w:pPr>
      <w:r>
        <w:t xml:space="preserve">3.2 Модель Росса</w:t>
      </w:r>
    </w:p>
    <w:p>
      <w:pPr>
        <w:pStyle w:val="FirstParagraph"/>
      </w:pPr>
      <w:r>
        <w:t xml:space="preserve">Система с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работающими машинами,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резервными 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ремонтниками.</w:t>
      </w:r>
      <w:r>
        <w:br/>
      </w:r>
      <w:r>
        <w:t xml:space="preserve">- Отказ каждой работающей машины:</w:t>
      </w:r>
      <w:r>
        <w:t xml:space="preserve"> </w:t>
      </w:r>
      <m:oMath>
        <m:r>
          <m:t>E</m:t>
        </m:r>
        <m:r>
          <m:t>x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</m:e>
        </m:d>
      </m:oMath>
      <w:r>
        <w:t xml:space="preserve">, среднее время жизни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.</w:t>
      </w:r>
      <w:r>
        <w:br/>
      </w:r>
      <w:r>
        <w:t xml:space="preserve">- Ремонт:</w:t>
      </w:r>
      <w:r>
        <w:t xml:space="preserve"> </w:t>
      </w:r>
      <m:oMath>
        <m:r>
          <m:t>E</m:t>
        </m:r>
        <m:r>
          <m:t>x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</m:oMath>
      <w:r>
        <w:t xml:space="preserve">, среднее время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μ</m:t>
        </m:r>
      </m:oMath>
      <w:r>
        <w:t xml:space="preserve">.</w:t>
      </w:r>
      <w:r>
        <w:br/>
      </w:r>
      <w:r>
        <w:t xml:space="preserve">- При отказе: если есть резерв, он заменяет отказавшую машину, иначе — останов моделирования.</w:t>
      </w:r>
      <w:r>
        <w:br/>
      </w:r>
      <w:r>
        <w:t xml:space="preserve">- Состояние: число исправных машин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+</m:t>
            </m:r>
            <m:r>
              <m:t>S</m:t>
            </m:r>
          </m:e>
        </m:d>
      </m:oMath>
      <w:r>
        <w:t xml:space="preserve">.</w:t>
      </w:r>
    </w:p>
    <w:p>
      <w:pPr>
        <w:pStyle w:val="BodyText"/>
      </w:pPr>
      <w:r>
        <w:t xml:space="preserve">Интенсивность отказов: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⋅</m:t>
        </m:r>
        <m:r>
          <m:t>λ</m:t>
        </m:r>
      </m:oMath>
      <w:r>
        <w:br/>
      </w:r>
      <w:r>
        <w:t xml:space="preserve">Интенсивность ремонта: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+</m:t>
            </m:r>
            <m:r>
              <m:t>S</m:t>
            </m:r>
            <m:r>
              <m:rPr>
                <m:sty m:val="p"/>
              </m:rPr>
              <m:t>−</m:t>
            </m:r>
            <m:r>
              <m:t>i</m:t>
            </m:r>
          </m:e>
        </m:d>
        <m:r>
          <m:rPr>
            <m:sty m:val="p"/>
          </m:rPr>
          <m:t>⋅</m:t>
        </m:r>
        <m:r>
          <m:t>μ</m:t>
        </m:r>
      </m:oMath>
    </w:p>
    <w:p>
      <w:pPr>
        <w:pStyle w:val="BodyText"/>
      </w:pPr>
      <w:r>
        <w:t xml:space="preserve">Среднее время до падения находится имитационно или аналитически.</w:t>
      </w:r>
    </w:p>
    <w:bookmarkEnd w:id="23"/>
    <w:bookmarkEnd w:id="24"/>
    <w:bookmarkStart w:id="8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9" w:name="организация-проекта-drwatson"/>
    <w:p>
      <w:pPr>
        <w:pStyle w:val="Heading2"/>
      </w:pPr>
      <w:r>
        <w:t xml:space="preserve">4.1 Организация проекта (DrWatson)</w:t>
      </w:r>
    </w:p>
    <w:p>
      <w:pPr>
        <w:pStyle w:val="FirstParagraph"/>
      </w:pPr>
      <w:r>
        <w:t xml:space="preserve">Рабочий каталог создан согласно структуре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1"/>
          <w:p>
            <w:pPr>
              <w:pStyle w:val="Compact"/>
              <w:jc w:val="center"/>
            </w:pPr>
            <w:r>
              <w:drawing>
                <wp:inline>
                  <wp:extent cx="4267200" cy="47295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s/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72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каталога project</w:t>
            </w:r>
          </w:p>
          <w:bookmarkEnd w:id="28"/>
        </w:tc>
      </w:tr>
    </w:tbl>
    <w:bookmarkEnd w:id="29"/>
    <w:bookmarkStart w:id="47" w:name="модель-mmc-1"/>
    <w:p>
      <w:pPr>
        <w:pStyle w:val="Heading2"/>
      </w:pPr>
      <w:r>
        <w:t xml:space="preserve">4.2 Модель M/M/c</w:t>
      </w:r>
    </w:p>
    <w:p>
      <w:pPr>
        <w:pStyle w:val="FirstParagraph"/>
      </w:pPr>
      <w:r>
        <w:t xml:space="preserve">Код размещён в</w:t>
      </w:r>
      <w:r>
        <w:t xml:space="preserve"> </w:t>
      </w:r>
      <w:r>
        <w:rPr>
          <w:rStyle w:val="VerbatimChar"/>
        </w:rPr>
        <w:t xml:space="preserve">scripts/mmc.jl</w:t>
      </w:r>
      <w:r>
        <w:t xml:space="preserve">. Редактирование файла показано на</w:t>
      </w:r>
      <w:r>
        <w:t xml:space="preserve"> 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2"/>
          <w:p>
            <w:pPr>
              <w:pStyle w:val="Compact"/>
              <w:jc w:val="center"/>
            </w:pPr>
            <w:r>
              <w:drawing>
                <wp:inline>
                  <wp:extent cx="4267200" cy="24173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s/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41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Редактирование mmc.jl</w:t>
            </w:r>
          </w:p>
          <w:bookmarkEnd w:id="33"/>
        </w:tc>
      </w:tr>
    </w:tbl>
    <w:p>
      <w:pPr>
        <w:pStyle w:val="BodyText"/>
      </w:pPr>
      <w:r>
        <w:t xml:space="preserve">Фрагмент кода с подключением пакетов и параметрами —</w:t>
      </w:r>
      <w:r>
        <w:t xml:space="preserve"> 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3"/>
          <w:p>
            <w:pPr>
              <w:pStyle w:val="Compact"/>
              <w:jc w:val="center"/>
            </w:pPr>
            <w:r>
              <w:drawing>
                <wp:inline>
                  <wp:extent cx="4267200" cy="274448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s/3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444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Код mmc.jl (начало)</w:t>
            </w:r>
          </w:p>
          <w:bookmarkEnd w:id="37"/>
        </w:tc>
      </w:tr>
    </w:tbl>
    <w:p>
      <w:pPr>
        <w:pStyle w:val="BodyText"/>
      </w:pPr>
      <w:r>
        <w:t xml:space="preserve">Запуск симуляции выполнен командой</w:t>
      </w:r>
      <w:r>
        <w:t xml:space="preserve"> </w:t>
      </w:r>
      <w:r>
        <w:rPr>
          <w:rStyle w:val="VerbatimChar"/>
        </w:rPr>
        <w:t xml:space="preserve">julia scripts/mmc.jl</w:t>
      </w:r>
      <w:r>
        <w:t xml:space="preserve"> </w:t>
      </w:r>
      <w:r>
        <w:t xml:space="preserve">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4"/>
          <w:p>
            <w:pPr>
              <w:pStyle w:val="Compact"/>
              <w:jc w:val="center"/>
            </w:pPr>
            <w:r>
              <w:drawing>
                <wp:inline>
                  <wp:extent cx="4267200" cy="24063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s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40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Запуск M/M/c</w:t>
            </w:r>
          </w:p>
          <w:bookmarkEnd w:id="41"/>
        </w:tc>
      </w:tr>
    </w:tbl>
    <w:bookmarkStart w:id="46" w:name="результаты-моделирования-mmc"/>
    <w:p>
      <w:pPr>
        <w:pStyle w:val="Heading3"/>
      </w:pPr>
      <w:r>
        <w:t xml:space="preserve">4.2.1 Результаты моделирования M/M/c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mmc">
        <w:r>
          <w:rPr>
            <w:rStyle w:val="Hyperlink"/>
          </w:rPr>
          <w:t xml:space="preserve">рис. 5</w:t>
        </w:r>
      </w:hyperlink>
      <w:r>
        <w:t xml:space="preserve"> </w:t>
      </w:r>
      <w:r>
        <w:t xml:space="preserve">представлены три графика: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Распределение времени ожидания в очереди</w:t>
      </w:r>
      <w:r>
        <w:t xml:space="preserve"> </w:t>
      </w:r>
      <w:r>
        <w:t xml:space="preserve">— гистограмма, показывающая долю заявок с различным временем ожидания. Пик вблизи нуля означает, что большинство заявок обслуживаются без очереди (при</w:t>
      </w:r>
      <w:r>
        <w:t xml:space="preserve"> </w:t>
      </w:r>
      <m:oMath>
        <m:r>
          <m:t>ρ</m:t>
        </m:r>
        <m:r>
          <m:rPr>
            <m:sty m:val="p"/>
          </m:rPr>
          <m:t>&lt;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Распределение времени обслуживания</w:t>
      </w:r>
      <w:r>
        <w:t xml:space="preserve"> </w:t>
      </w:r>
      <w:r>
        <w:t xml:space="preserve">— экспоненциальное распределение с параметром</w:t>
      </w:r>
      <w:r>
        <w:t xml:space="preserve"> </w:t>
      </w:r>
      <m:oMath>
        <m:r>
          <m:t>μ</m:t>
        </m:r>
      </m:oMath>
      <w:r>
        <w:t xml:space="preserve">, что соответствует теоретическому предположению модели M/M/c.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Сходимость среднего времени ожидания</w:t>
      </w:r>
      <w:r>
        <w:t xml:space="preserve"> </w:t>
      </w:r>
      <w:r>
        <w:t xml:space="preserve">— по мере увеличения числа обслуженных заявок выборочное среднее стабилизируется, приближаясь к теоретическому значению</w:t>
      </w:r>
      <w:r>
        <w:t xml:space="preserve"> </w:t>
      </w: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mmc"/>
          <w:p>
            <w:pPr>
              <w:pStyle w:val="Compact"/>
              <w:jc w:val="center"/>
            </w:pPr>
            <w:r>
              <w:drawing>
                <wp:inline>
                  <wp:extent cx="5334000" cy="801029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s/mmc_analysis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0102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Анализ модели M/M/c: распределения и сходимость</w:t>
            </w:r>
          </w:p>
          <w:bookmarkEnd w:id="45"/>
        </w:tc>
      </w:tr>
    </w:tbl>
    <w:bookmarkEnd w:id="46"/>
    <w:bookmarkEnd w:id="47"/>
    <w:bookmarkStart w:id="73" w:name="модель-росса-1"/>
    <w:p>
      <w:pPr>
        <w:pStyle w:val="Heading2"/>
      </w:pPr>
      <w:r>
        <w:t xml:space="preserve">4.3 Модель Росса</w:t>
      </w:r>
    </w:p>
    <w:p>
      <w:pPr>
        <w:pStyle w:val="FirstParagraph"/>
      </w:pPr>
      <w:r>
        <w:t xml:space="preserve">Код модели Росса —</w:t>
      </w:r>
      <w:r>
        <w:t xml:space="preserve"> </w:t>
      </w:r>
      <w:r>
        <w:rPr>
          <w:rStyle w:val="VerbatimChar"/>
        </w:rPr>
        <w:t xml:space="preserve">scripts/ross_simulation.jl</w:t>
      </w:r>
      <w:r>
        <w:t xml:space="preserve">. Редактирование и запуск показаны на</w:t>
      </w:r>
      <w:r>
        <w:t xml:space="preserve"> </w:t>
      </w:r>
      <w:hyperlink w:anchor="fig-5">
        <w:r>
          <w:rPr>
            <w:rStyle w:val="Hyperlink"/>
          </w:rPr>
          <w:t xml:space="preserve">рис. 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5"/>
          <w:p>
            <w:pPr>
              <w:pStyle w:val="Compact"/>
              <w:jc w:val="center"/>
            </w:pPr>
            <w:r>
              <w:drawing>
                <wp:inline>
                  <wp:extent cx="4267200" cy="48288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s/5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828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Редактирование и запуск ross_simulation.jl</w:t>
            </w:r>
          </w:p>
          <w:bookmarkEnd w:id="51"/>
        </w:tc>
      </w:tr>
    </w:tbl>
    <w:p>
      <w:pPr>
        <w:pStyle w:val="BodyText"/>
      </w:pPr>
      <w:r>
        <w:t xml:space="preserve">Фрагмент кода с функцией</w:t>
      </w:r>
      <w:r>
        <w:t xml:space="preserve"> </w:t>
      </w:r>
      <w:r>
        <w:rPr>
          <w:rStyle w:val="VerbatimChar"/>
        </w:rPr>
        <w:t xml:space="preserve">machine</w:t>
      </w:r>
      <w:r>
        <w:t xml:space="preserve"> </w:t>
      </w:r>
      <w:r>
        <w:t xml:space="preserve">и сбором истории состояний —</w:t>
      </w:r>
      <w:r>
        <w:t xml:space="preserve"> </w:t>
      </w:r>
      <w:hyperlink w:anchor="fig-6">
        <w:r>
          <w:rPr>
            <w:rStyle w:val="Hyperlink"/>
          </w:rPr>
          <w:t xml:space="preserve">рис.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6"/>
          <w:p>
            <w:pPr>
              <w:pStyle w:val="Compact"/>
              <w:jc w:val="center"/>
            </w:pPr>
            <w:r>
              <w:drawing>
                <wp:inline>
                  <wp:extent cx="4267200" cy="2735225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s/6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35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Фрагмент кода модели Росса</w:t>
            </w:r>
          </w:p>
          <w:bookmarkEnd w:id="55"/>
        </w:tc>
      </w:tr>
    </w:tbl>
    <w:bookmarkStart w:id="60" w:name="запуск-с-makefile"/>
    <w:p>
      <w:pPr>
        <w:pStyle w:val="Heading3"/>
      </w:pPr>
      <w:r>
        <w:t xml:space="preserve">4.3.1 Запуск с Makefile</w:t>
      </w:r>
    </w:p>
    <w:p>
      <w:pPr>
        <w:pStyle w:val="FirstParagraph"/>
      </w:pPr>
      <w:r>
        <w:t xml:space="preserve">Для автоматизации эксперимента использован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(</w:t>
      </w:r>
      <w:hyperlink w:anchor="fig-7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7"/>
          <w:p>
            <w:pPr>
              <w:pStyle w:val="Compact"/>
              <w:jc w:val="center"/>
            </w:pPr>
            <w:r>
              <w:drawing>
                <wp:inline>
                  <wp:extent cx="4267200" cy="220717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s/8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0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Использование make</w:t>
            </w:r>
          </w:p>
          <w:bookmarkEnd w:id="59"/>
        </w:tc>
      </w:tr>
    </w:tbl>
    <w:bookmarkEnd w:id="60"/>
    <w:bookmarkStart w:id="61" w:name="X578b40dac2ac9dfc1ccfc7b82f6f20ebbd51350"/>
    <w:p>
      <w:pPr>
        <w:pStyle w:val="Heading3"/>
      </w:pPr>
      <w:r>
        <w:t xml:space="preserve">4.3.2 Мониторинг загрузки ремонтников и очереди</w:t>
      </w:r>
    </w:p>
    <w:p>
      <w:pPr>
        <w:pStyle w:val="FirstParagraph"/>
      </w:pPr>
      <w:r>
        <w:t xml:space="preserve">В процессе симуляции логировались:</w:t>
      </w:r>
      <w:r>
        <w:t xml:space="preserve"> </w:t>
      </w:r>
      <w:r>
        <w:t xml:space="preserve">- число занятых ремонтников;</w:t>
      </w:r>
      <w:r>
        <w:t xml:space="preserve"> </w:t>
      </w:r>
      <w:r>
        <w:t xml:space="preserve">- длина очереди на ремонт.</w:t>
      </w:r>
    </w:p>
    <w:bookmarkEnd w:id="61"/>
    <w:bookmarkStart w:id="66" w:name="сравнение-имитации-и-аналитики"/>
    <w:p>
      <w:pPr>
        <w:pStyle w:val="Heading3"/>
      </w:pPr>
      <w:r>
        <w:t xml:space="preserve">4.3.3 Сравнение имитации и аналитики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compare">
        <w:r>
          <w:rPr>
            <w:rStyle w:val="Hyperlink"/>
          </w:rPr>
          <w:t xml:space="preserve">рис. 9</w:t>
        </w:r>
      </w:hyperlink>
      <w:r>
        <w:t xml:space="preserve"> </w:t>
      </w:r>
      <w:r>
        <w:t xml:space="preserve">показано сравнение среднего времени до падения системы, полученного имитационным моделированием и аналитическим расчётом. Отклонение не превышает 6% для большинства конфигураций.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compare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s/ross_compar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Сравнение имитации и аналитики</w:t>
            </w:r>
          </w:p>
          <w:bookmarkEnd w:id="65"/>
        </w:tc>
      </w:tr>
    </w:tbl>
    <w:bookmarkEnd w:id="66"/>
    <w:bookmarkStart w:id="71" w:name="влияние-числа-ремонтников-и-резерва"/>
    <w:p>
      <w:pPr>
        <w:pStyle w:val="Heading3"/>
      </w:pPr>
      <w:r>
        <w:t xml:space="preserve">4.3.4 Влияние числа ремонтников и резерва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crash">
        <w:r>
          <w:rPr>
            <w:rStyle w:val="Hyperlink"/>
          </w:rPr>
          <w:t xml:space="preserve">рис. 10</w:t>
        </w:r>
      </w:hyperlink>
      <w:r>
        <w:t xml:space="preserve"> </w:t>
      </w:r>
      <w:r>
        <w:t xml:space="preserve">представлена зависимость среднего времени до краха от числа резервных машин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для одного и двух ремонтников.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crash"/>
          <w:p>
            <w:pPr>
              <w:pStyle w:val="Compact"/>
              <w:jc w:val="center"/>
            </w:pPr>
            <w:r>
              <w:drawing>
                <wp:inline>
                  <wp:extent cx="4267200" cy="271549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s/ross_crash_tim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15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Среднее время до краха для разного числа ремонтников и резерва</w:t>
            </w:r>
          </w:p>
          <w:bookmarkEnd w:id="70"/>
        </w:tc>
      </w:tr>
    </w:tbl>
    <w:p>
      <w:pPr>
        <w:pStyle w:val="BodyText"/>
      </w:pPr>
      <w:r>
        <w:rPr>
          <w:b/>
          <w:bCs/>
        </w:rPr>
        <w:t xml:space="preserve">Наблюдения:</w:t>
      </w:r>
      <w:r>
        <w:t xml:space="preserve"> </w:t>
      </w:r>
      <w:r>
        <w:t xml:space="preserve">- Увеличение числа ремонтников с 1 до 2 значительно повышает живучесть системы (особенно при малом резерве).</w:t>
      </w:r>
      <w:r>
        <w:t xml:space="preserve"> </w:t>
      </w:r>
      <w:r>
        <w:t xml:space="preserve">- При</w:t>
      </w:r>
      <w:r>
        <w:t xml:space="preserve"> </w:t>
      </w:r>
      <m:oMath>
        <m:r>
          <m:t>S</m:t>
        </m:r>
        <m:r>
          <m:rPr>
            <m:sty m:val="p"/>
          </m:rPr>
          <m:t>≥</m:t>
        </m:r>
        <m:r>
          <m:t>10</m:t>
        </m:r>
      </m:oMath>
      <w:r>
        <w:t xml:space="preserve"> </w:t>
      </w:r>
      <w:r>
        <w:t xml:space="preserve">время до падения становится очень большим (&gt;1000 часов), что подтверждает важность резервирования.</w:t>
      </w:r>
    </w:p>
    <w:bookmarkEnd w:id="71"/>
    <w:bookmarkStart w:id="72" w:name="прогоны-для-разного-количества-машин"/>
    <w:p>
      <w:pPr>
        <w:pStyle w:val="Heading3"/>
      </w:pPr>
      <w:r>
        <w:t xml:space="preserve">4.3.5 Прогоны для разного количества машин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352"/>
        <w:gridCol w:w="1835"/>
        <w:gridCol w:w="299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(работающих)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 </w:t>
            </w:r>
            <w:r>
              <w:t xml:space="preserve">(резерв)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(ремонтников)</w:t>
            </w:r>
          </w:p>
        </w:tc>
        <w:tc>
          <w:tcPr/>
          <w:p>
            <w:pPr>
              <w:pStyle w:val="Compact"/>
            </w:pPr>
            <w:r>
              <w:t xml:space="preserve">Среднее время до падения (ч)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142.3 ± 31.7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88.6 ± 19.2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58.1 ± 12.4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612.4 ± 98.2</w:t>
            </w:r>
          </w:p>
        </w:tc>
      </w:tr>
    </w:tbl>
    <w:bookmarkEnd w:id="72"/>
    <w:bookmarkEnd w:id="73"/>
    <w:bookmarkStart w:id="85" w:name="X056f9af2aa366f510f3875a1e0543c91f3d116a"/>
    <w:p>
      <w:pPr>
        <w:pStyle w:val="Heading2"/>
      </w:pPr>
      <w:r>
        <w:t xml:space="preserve">4.4 Литературное программирование и генерация документации</w:t>
      </w:r>
    </w:p>
    <w:p>
      <w:pPr>
        <w:pStyle w:val="FirstParagraph"/>
      </w:pPr>
      <w:r>
        <w:t xml:space="preserve">Исходные скрипты (</w:t>
      </w:r>
      <w:r>
        <w:rPr>
          <w:rStyle w:val="VerbatimChar"/>
        </w:rPr>
        <w:t xml:space="preserve">mmc.jl</w:t>
      </w:r>
      <w:r>
        <w:t xml:space="preserve">,</w:t>
      </w:r>
      <w:r>
        <w:t xml:space="preserve"> </w:t>
      </w:r>
      <w:r>
        <w:rPr>
          <w:rStyle w:val="VerbatimChar"/>
        </w:rPr>
        <w:t xml:space="preserve">ross_simulation.jl</w:t>
      </w:r>
      <w:r>
        <w:t xml:space="preserve">) преобразованы в литературный стиль с помощью</w:t>
      </w:r>
      <w:r>
        <w:t xml:space="preserve"> </w:t>
      </w:r>
      <w:r>
        <w:rPr>
          <w:rStyle w:val="VerbatimChar"/>
        </w:rPr>
        <w:t xml:space="preserve">Weave.jl</w:t>
      </w:r>
      <w:r>
        <w:t xml:space="preserve"> </w:t>
      </w:r>
      <w:r>
        <w:t xml:space="preserve">и инструментов Quarto. Файлы</w:t>
      </w:r>
      <w:r>
        <w:t xml:space="preserve"> </w:t>
      </w:r>
      <w:r>
        <w:rPr>
          <w:rStyle w:val="VerbatimChar"/>
        </w:rPr>
        <w:t xml:space="preserve">lit_mmc.jl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lit_ross.jl</w:t>
      </w:r>
      <w:r>
        <w:t xml:space="preserve"> </w:t>
      </w:r>
      <w:r>
        <w:t xml:space="preserve">содержат перемежающийся текст и код (</w:t>
      </w:r>
      <w:hyperlink w:anchor="fig-lit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lit"/>
          <w:p>
            <w:pPr>
              <w:pStyle w:val="Compact"/>
              <w:jc w:val="center"/>
            </w:pPr>
            <w:r>
              <w:drawing>
                <wp:inline>
                  <wp:extent cx="4267200" cy="509516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s/7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09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Создание литературных скриптов</w:t>
            </w:r>
          </w:p>
          <w:bookmarkEnd w:id="77"/>
        </w:tc>
      </w:tr>
    </w:tbl>
    <w:bookmarkStart w:id="78" w:name="генерация-артефактов"/>
    <w:p>
      <w:pPr>
        <w:pStyle w:val="Heading3"/>
      </w:pPr>
      <w:r>
        <w:t xml:space="preserve">4.4.1 Генерация артефактов</w:t>
      </w:r>
    </w:p>
    <w:p>
      <w:pPr>
        <w:pStyle w:val="FirstParagraph"/>
      </w:pPr>
      <w:r>
        <w:t xml:space="preserve">Для каждого набора параметров (базовый и модифицированный) выполнены следующие шаги:</w:t>
      </w:r>
      <w:r>
        <w:t xml:space="preserve"> </w:t>
      </w:r>
      <w:r>
        <w:t xml:space="preserve">- Генерация Jupyter Notebook (</w:t>
      </w:r>
      <w:r>
        <w:rPr>
          <w:rStyle w:val="VerbatimChar"/>
        </w:rPr>
        <w:t xml:space="preserve">.ipynb</w:t>
      </w:r>
      <w:r>
        <w:t xml:space="preserve">) из литературного кода.</w:t>
      </w:r>
      <w:r>
        <w:t xml:space="preserve"> </w:t>
      </w:r>
      <w:r>
        <w:t xml:space="preserve">- Генерация чистой версии кода (</w:t>
      </w:r>
      <w:r>
        <w:rPr>
          <w:rStyle w:val="VerbatimChar"/>
        </w:rPr>
        <w:t xml:space="preserve">.jl</w:t>
      </w:r>
      <w:r>
        <w:t xml:space="preserve">) без документации.</w:t>
      </w:r>
      <w:r>
        <w:t xml:space="preserve"> </w:t>
      </w:r>
      <w:r>
        <w:t xml:space="preserve">- Компиляция Quarto-документации в HTML.</w:t>
      </w:r>
    </w:p>
    <w:bookmarkEnd w:id="78"/>
    <w:bookmarkStart w:id="79" w:name="результаты-выполнения"/>
    <w:p>
      <w:pPr>
        <w:pStyle w:val="Heading3"/>
      </w:pPr>
      <w:r>
        <w:t xml:space="preserve">4.4.2 Результаты выполнения</w:t>
      </w:r>
    </w:p>
    <w:p>
      <w:pPr>
        <w:pStyle w:val="FirstParagraph"/>
      </w:pPr>
      <w:r>
        <w:t xml:space="preserve">Код успешно выполнен в сгенерированных Jupyter Notebook. Полученные численные результаты совпадают с запуском исходных скриптов, что подтверждает корректность процесса литературного программирования.</w:t>
      </w:r>
    </w:p>
    <w:bookmarkEnd w:id="79"/>
    <w:bookmarkStart w:id="84" w:name="интеграция-в-отчёт"/>
    <w:p>
      <w:pPr>
        <w:pStyle w:val="Heading3"/>
      </w:pPr>
      <w:r>
        <w:t xml:space="preserve">4.4.3 Интеграция в отчёт</w:t>
      </w:r>
    </w:p>
    <w:p>
      <w:pPr>
        <w:pStyle w:val="FirstParagraph"/>
      </w:pPr>
      <w:r>
        <w:t xml:space="preserve">Сгенерированная документация Quarto для обоих вариантов параметров включена в итоговый отчёт в виде ссылок:</w:t>
      </w:r>
      <w:r>
        <w:t xml:space="preserve"> </w:t>
      </w:r>
      <w:r>
        <w:t xml:space="preserve">-</w:t>
      </w:r>
      <w:r>
        <w:t xml:space="preserve"> </w:t>
      </w:r>
      <w:hyperlink r:id="rId80">
        <w:r>
          <w:rPr>
            <w:rStyle w:val="Hyperlink"/>
          </w:rPr>
          <w:t xml:space="preserve">Отчёт M/M/c (базовый)</w:t>
        </w:r>
      </w:hyperlink>
      <w:r>
        <w:t xml:space="preserve"> </w:t>
      </w:r>
      <w:r>
        <w:t xml:space="preserve">-</w:t>
      </w:r>
      <w:r>
        <w:t xml:space="preserve"> </w:t>
      </w:r>
      <w:hyperlink r:id="rId81">
        <w:r>
          <w:rPr>
            <w:rStyle w:val="Hyperlink"/>
          </w:rPr>
          <w:t xml:space="preserve">Отчёт M/M/c (модифицированный)</w:t>
        </w:r>
      </w:hyperlink>
      <w:r>
        <w:t xml:space="preserve"> </w:t>
      </w:r>
      <w:r>
        <w:t xml:space="preserve">-</w:t>
      </w:r>
      <w:r>
        <w:t xml:space="preserve"> </w:t>
      </w:r>
      <w:hyperlink r:id="rId82">
        <w:r>
          <w:rPr>
            <w:rStyle w:val="Hyperlink"/>
          </w:rPr>
          <w:t xml:space="preserve">Отчёт Росса (базовый)</w:t>
        </w:r>
      </w:hyperlink>
      <w:r>
        <w:t xml:space="preserve"> </w:t>
      </w:r>
      <w:r>
        <w:t xml:space="preserve">-</w:t>
      </w:r>
      <w:r>
        <w:t xml:space="preserve"> </w:t>
      </w:r>
      <w:hyperlink r:id="rId83">
        <w:r>
          <w:rPr>
            <w:rStyle w:val="Hyperlink"/>
          </w:rPr>
          <w:t xml:space="preserve">Отчёт Росса (модифицированный)</w:t>
        </w:r>
      </w:hyperlink>
    </w:p>
    <w:bookmarkEnd w:id="84"/>
    <w:bookmarkEnd w:id="85"/>
    <w:bookmarkEnd w:id="86"/>
    <w:bookmarkStart w:id="8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Реализованы</w:t>
      </w:r>
      <w:r>
        <w:t xml:space="preserve"> </w:t>
      </w:r>
      <w:r>
        <w:t xml:space="preserve">две модели дискретно-событийного моделирования: M/M/c и Росса — с использованием</w:t>
      </w:r>
      <w:r>
        <w:t xml:space="preserve"> </w:t>
      </w:r>
      <w:r>
        <w:rPr>
          <w:rStyle w:val="VerbatimChar"/>
        </w:rPr>
        <w:t xml:space="preserve">ConcurrentSim.jl</w:t>
      </w:r>
      <w:r>
        <w:t xml:space="preserve"> </w:t>
      </w:r>
      <w:r>
        <w:t xml:space="preserve">в Julia.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Организован проект</w:t>
      </w:r>
      <w:r>
        <w:t xml:space="preserve"> </w:t>
      </w:r>
      <w:r>
        <w:t xml:space="preserve">по стандарту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 обеспечивающему воспроизводимость и структурированность.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Расширена модель Росса</w:t>
      </w:r>
      <w:r>
        <w:t xml:space="preserve">: добавлена возможность задавать произвольное число ремонтников, проведён мониторинг загрузки и очереди.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Выполнены серии вычислительных экспериментов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Для M/M/c получены эмпирические распределения времени ожидания и обслуживания, а также график сходимости среднего времени ожидания.</w:t>
      </w:r>
    </w:p>
    <w:p>
      <w:pPr>
        <w:pStyle w:val="Compact"/>
        <w:numPr>
          <w:ilvl w:val="1"/>
          <w:numId w:val="1007"/>
        </w:numPr>
      </w:pPr>
      <w:r>
        <w:t xml:space="preserve">Для модели Росса исследовано влияние числа резервных машин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и числа ремонтников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на среднее время до падения системы. Показано, что увеличение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значительно повышает живучесть.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Проведено сравнение с аналитическим решением</w:t>
      </w:r>
      <w:r>
        <w:t xml:space="preserve">: расхождение имитационных результатов с аналитикой не превышает 6%, что подтверждает корректность модели.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Реализовано литературное программирование</w:t>
      </w:r>
      <w:r>
        <w:t xml:space="preserve">: исходные скрипты преобразованы в литературный стиль, из них сгенерированы чистые скрипты, Jupyter Notebook и документация Quarto для двух наборов параметров.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Интегрирована документация</w:t>
      </w:r>
      <w:r>
        <w:t xml:space="preserve">: все сгенерированные артефакты включены в итоговый отчёт.</w:t>
      </w:r>
    </w:p>
    <w:p>
      <w:pPr>
        <w:pStyle w:val="FirstParagraph"/>
      </w:pPr>
      <w:r>
        <w:t xml:space="preserve">Таким образом, цель работы полностью достигнута: освоены современные методы дискретно-событийного моделирования, воспроизводимых научных вычислений и автоматизированной генерации документации.</w:t>
      </w:r>
    </w:p>
    <w:bookmarkEnd w:id="87"/>
    <w:bookmarkStart w:id="89" w:name="список-литературы"/>
    <w:p>
      <w:pPr>
        <w:pStyle w:val="Heading1"/>
      </w:pPr>
      <w:r>
        <w:t xml:space="preserve">Список литературы</w:t>
      </w:r>
    </w:p>
    <w:bookmarkStart w:id="88" w:name="refs"/>
    <w:p>
      <w:pPr>
        <w:pStyle w:val="Compact"/>
        <w:numPr>
          <w:ilvl w:val="0"/>
          <w:numId w:val="1008"/>
        </w:numPr>
      </w:pPr>
      <w:r>
        <w:t xml:space="preserve">Banks J., Carson J.S., Nelson B.L., Nicol D.M. Discrete-Event System Simulation. – Pearson, 2014.</w:t>
      </w:r>
    </w:p>
    <w:p>
      <w:pPr>
        <w:pStyle w:val="Compact"/>
        <w:numPr>
          <w:ilvl w:val="0"/>
          <w:numId w:val="1008"/>
        </w:numPr>
      </w:pPr>
      <w:r>
        <w:t xml:space="preserve">Ross S.M. Introduction to Probability Models. – Academic Press, 2019.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ConcurrentSim.jl</w:t>
      </w:r>
      <w:r>
        <w:t xml:space="preserve"> </w:t>
      </w:r>
      <w:r>
        <w:t xml:space="preserve">Documentation: https://github.com/pszufe/ConcurrentSim.jl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DrWatson.jl</w:t>
      </w:r>
      <w:r>
        <w:t xml:space="preserve"> </w:t>
      </w:r>
      <w:r>
        <w:t xml:space="preserve">Documentation: https://juliadynamics.github.io/DrWatson.jl/stable/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Weave.jl</w:t>
      </w:r>
      <w:r>
        <w:t xml:space="preserve"> </w:t>
      </w:r>
      <w:r>
        <w:t xml:space="preserve">Documentation: https://github.com/JunoLab/Weave.jl</w:t>
      </w:r>
    </w:p>
    <w:p>
      <w:pPr>
        <w:pStyle w:val="Compact"/>
        <w:numPr>
          <w:ilvl w:val="0"/>
          <w:numId w:val="1008"/>
        </w:numPr>
      </w:pPr>
      <w:r>
        <w:t xml:space="preserve">Quarto Documentation: https://quarto.org/</w:t>
      </w:r>
    </w:p>
    <w:p>
      <w:pPr>
        <w:pStyle w:val="Compact"/>
        <w:numPr>
          <w:ilvl w:val="0"/>
          <w:numId w:val="1008"/>
        </w:numPr>
      </w:pPr>
      <w:r>
        <w:t xml:space="preserve">Кулябов Д.С., Королькова А.В. Материалы курса «Компьютерное моделирование». – РУДН, 2025.</w:t>
      </w:r>
    </w:p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74" Target="media/rId74.png" /><Relationship Type="http://schemas.openxmlformats.org/officeDocument/2006/relationships/image" Id="rId56" Target="media/rId56.png" /><Relationship Type="http://schemas.openxmlformats.org/officeDocument/2006/relationships/image" Id="rId42" Target="media/rId42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hyperlink" Id="rId80" Target="output/mmc_base_report.html" TargetMode="External" /><Relationship Type="http://schemas.openxmlformats.org/officeDocument/2006/relationships/hyperlink" Id="rId81" Target="output/mmc_mod_report.html" TargetMode="External" /><Relationship Type="http://schemas.openxmlformats.org/officeDocument/2006/relationships/hyperlink" Id="rId82" Target="output/ross_base_report.html" TargetMode="External" /><Relationship Type="http://schemas.openxmlformats.org/officeDocument/2006/relationships/hyperlink" Id="rId83" Target="output/ross_mod_repor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output/mmc_base_report.html" TargetMode="External" /><Relationship Type="http://schemas.openxmlformats.org/officeDocument/2006/relationships/hyperlink" Id="rId81" Target="output/mmc_mod_report.html" TargetMode="External" /><Relationship Type="http://schemas.openxmlformats.org/officeDocument/2006/relationships/hyperlink" Id="rId82" Target="output/ross_base_report.html" TargetMode="External" /><Relationship Type="http://schemas.openxmlformats.org/officeDocument/2006/relationships/hyperlink" Id="rId83" Target="output/ross_mod_repor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Улитина Мария Максимовна</dc:creator>
  <dc:language>ru-RU</dc:language>
  <cp:keywords/>
  <dcterms:created xsi:type="dcterms:W3CDTF">2026-05-16T19:40:57Z</dcterms:created>
  <dcterms:modified xsi:type="dcterms:W3CDTF">2026-05-16T19:40:57Z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Дискретно-событийное моделирование</vt:lpwstr>
  </property>
  <property fmtid="{D5CDD505-2E9C-101B-9397-08002B2CF9AE}" pid="16" name="toc-title">
    <vt:lpwstr>Содержание</vt:lpwstr>
  </property>
</Properties>
</file>