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8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53.png" ContentType="image/png"/>
  <Override PartName="/word/media/rId58.png" ContentType="image/png"/>
  <Override PartName="/word/media/rId48.png" ContentType="image/png"/>
  <Override PartName="/word/media/rId63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Реализация основных моделей в дискретно-событийном подходе</w:t>
      </w:r>
    </w:p>
    <w:p>
      <w:pPr>
        <w:pStyle w:val="Author"/>
      </w:pPr>
      <w:r>
        <w:t xml:space="preserve">Улитина Мария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классической модели распространения инфекции SIR. Реализовать стохастическую дискретно-событийную модель в виде программного комплекса на языке Julia. Провести анализ влияния параметров, сравнить со стохастической и детерминированной версиями, оценить производительность и модифицировать модель.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чувствительности к параметрам (β, c, γ).</w:t>
      </w:r>
    </w:p>
    <w:p>
      <w:pPr>
        <w:pStyle w:val="Compact"/>
        <w:numPr>
          <w:ilvl w:val="0"/>
          <w:numId w:val="1001"/>
        </w:numPr>
      </w:pPr>
      <w:r>
        <w:t xml:space="preserve">Реализовать детерминированную версию длительности болезни.</w:t>
      </w:r>
    </w:p>
    <w:p>
      <w:pPr>
        <w:pStyle w:val="Compact"/>
        <w:numPr>
          <w:ilvl w:val="0"/>
          <w:numId w:val="1001"/>
        </w:numPr>
      </w:pPr>
      <w:r>
        <w:t xml:space="preserve">Оценить производительность модели с помощью бенчмаркинга.</w:t>
      </w:r>
    </w:p>
    <w:p>
      <w:pPr>
        <w:pStyle w:val="Compact"/>
        <w:numPr>
          <w:ilvl w:val="0"/>
          <w:numId w:val="1001"/>
        </w:numPr>
      </w:pPr>
      <w:r>
        <w:t xml:space="preserve">Реализовать сохранение результатов в CSV.</w:t>
      </w:r>
    </w:p>
    <w:p>
      <w:pPr>
        <w:pStyle w:val="Compact"/>
        <w:numPr>
          <w:ilvl w:val="0"/>
          <w:numId w:val="1001"/>
        </w:numPr>
      </w:pPr>
      <w:r>
        <w:t xml:space="preserve">Добавить демографические события (рождение и смерть).</w:t>
      </w:r>
    </w:p>
    <w:p>
      <w:pPr>
        <w:pStyle w:val="Compact"/>
        <w:numPr>
          <w:ilvl w:val="0"/>
          <w:numId w:val="1001"/>
        </w:numPr>
      </w:pPr>
      <w:r>
        <w:t xml:space="preserve">Реализовать вакцинацию.</w:t>
      </w:r>
    </w:p>
    <w:p>
      <w:pPr>
        <w:pStyle w:val="Compact"/>
        <w:numPr>
          <w:ilvl w:val="0"/>
          <w:numId w:val="1001"/>
        </w:numPr>
      </w:pPr>
      <w:r>
        <w:t xml:space="preserve">Расширить модель до SEIR с латентным периодом.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дискретно-событийное-моделирование"/>
    <w:p>
      <w:pPr>
        <w:pStyle w:val="Heading2"/>
      </w:pPr>
      <w:r>
        <w:t xml:space="preserve">3.1 Дискретно-событийное моделирование</w:t>
      </w:r>
    </w:p>
    <w:p>
      <w:pPr>
        <w:pStyle w:val="FirstParagraph"/>
      </w:pPr>
      <w:r>
        <w:t xml:space="preserve">Дискретно-событийное моделирование (ДСМ) — подход, при котором состояние системы изменяется только в дискретные моменты времени, соответствующие наступлению событий. В отличие от непрерывного (дифференциальные уравнения) или пошагового (фиксированный шаг по времени) подходов, ДСМ позволяет эффективно моделировать системы, где значимые изменения происходят относительно редко.</w:t>
      </w:r>
    </w:p>
    <w:p>
      <w:pPr>
        <w:pStyle w:val="BodyText"/>
      </w:pPr>
      <w:r>
        <w:t xml:space="preserve">В данной работе используется пакет ConcurrentSim.jl для языка Julia. Этот пакет предоставляет:</w:t>
      </w:r>
      <w:r>
        <w:t xml:space="preserve"> </w:t>
      </w:r>
      <w:r>
        <w:t xml:space="preserve">- корутины (на основе макроса</w:t>
      </w:r>
      <w:r>
        <w:t xml:space="preserve"> </w:t>
      </w:r>
      <w:r>
        <w:rPr>
          <w:rStyle w:val="VerbatimChar"/>
        </w:rPr>
        <w:t xml:space="preserve">@yield</w:t>
      </w:r>
      <w:r>
        <w:t xml:space="preserve">) для описания процессов;</w:t>
      </w:r>
      <w:r>
        <w:t xml:space="preserve"> </w:t>
      </w:r>
      <w:r>
        <w:t xml:space="preserve">- очередь событий с виртуальным временем;</w:t>
      </w:r>
      <w:r>
        <w:t xml:space="preserve"> </w:t>
      </w:r>
      <w:r>
        <w:t xml:space="preserve">- механизмы синхронизации и планирования.</w:t>
      </w:r>
    </w:p>
    <w:bookmarkEnd w:id="22"/>
    <w:bookmarkStart w:id="23" w:name="модель-sir"/>
    <w:p>
      <w:pPr>
        <w:pStyle w:val="Heading2"/>
      </w:pPr>
      <w:r>
        <w:t xml:space="preserve">3.2 Модель SIR</w:t>
      </w:r>
    </w:p>
    <w:p>
      <w:pPr>
        <w:pStyle w:val="FirstParagraph"/>
      </w:pPr>
      <w:r>
        <w:t xml:space="preserve">Модель SIR описывает распространение инфекции в популяции, разделённой на три группы: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(Susceptible)</w:t>
            </w:r>
          </w:p>
        </w:tc>
        <w:tc>
          <w:tcPr/>
          <w:p>
            <w:pPr>
              <w:pStyle w:val="Compact"/>
            </w:pPr>
            <w:r>
              <w:t xml:space="preserve">Восприимчивые</w:t>
            </w:r>
          </w:p>
        </w:tc>
        <w:tc>
          <w:tcPr/>
          <w:p>
            <w:pPr>
              <w:pStyle w:val="Compact"/>
            </w:pPr>
            <w:r>
              <w:t xml:space="preserve">Здоровые индивиды, которые могут заразиться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(Infected)</w:t>
            </w:r>
          </w:p>
        </w:tc>
        <w:tc>
          <w:tcPr/>
          <w:p>
            <w:pPr>
              <w:pStyle w:val="Compact"/>
            </w:pPr>
            <w:r>
              <w:t xml:space="preserve">Инфицированные</w:t>
            </w:r>
          </w:p>
        </w:tc>
        <w:tc>
          <w:tcPr/>
          <w:p>
            <w:pPr>
              <w:pStyle w:val="Compact"/>
            </w:pPr>
            <w:r>
              <w:t xml:space="preserve">Заразные индивиды, способные передавать инфекцию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(Recovered)</w:t>
            </w:r>
          </w:p>
        </w:tc>
        <w:tc>
          <w:tcPr/>
          <w:p>
            <w:pPr>
              <w:pStyle w:val="Compact"/>
            </w:pPr>
            <w:r>
              <w:t xml:space="preserve">Выздоровевшие</w:t>
            </w:r>
          </w:p>
        </w:tc>
        <w:tc>
          <w:tcPr/>
          <w:p>
            <w:pPr>
              <w:pStyle w:val="Compact"/>
            </w:pPr>
            <w:r>
              <w:t xml:space="preserve">Индивиды с иммунитетом</w:t>
            </w:r>
          </w:p>
        </w:tc>
      </w:tr>
    </w:tbl>
    <w:p>
      <w:pPr>
        <w:pStyle w:val="BodyText"/>
      </w:pPr>
      <w:r>
        <w:t xml:space="preserve">Переходы определяются параметрами: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— вероятность передачи инфекции при контакте (от 0 до 1);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среднее число контактов в единицу времени;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γ</w:t>
      </w:r>
      <w:r>
        <w:t xml:space="preserve"> </w:t>
      </w:r>
      <w:r>
        <w:t xml:space="preserve">— скорость выздоровления (величина, обратная средней длительности болезни).</w:t>
      </w:r>
    </w:p>
    <w:p>
      <w:pPr>
        <w:pStyle w:val="BodyText"/>
      </w:pPr>
      <w:r>
        <w:t xml:space="preserve">Эффективный коэффициент передачи:</w:t>
      </w:r>
      <w:r>
        <w:t xml:space="preserve"> </w:t>
      </w:r>
      <w:r>
        <w:rPr>
          <w:b/>
          <w:bCs/>
        </w:rPr>
        <w:t xml:space="preserve">R₀ = β·c/γ</w:t>
      </w:r>
      <w:r>
        <w:t xml:space="preserve"> </w:t>
      </w:r>
      <w:r>
        <w:t xml:space="preserve">— базовое репродуктивное число.</w:t>
      </w:r>
    </w:p>
    <w:bookmarkEnd w:id="23"/>
    <w:bookmarkEnd w:id="24"/>
    <w:bookmarkStart w:id="8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структура-проекта"/>
    <w:p>
      <w:pPr>
        <w:pStyle w:val="Heading2"/>
      </w:pPr>
      <w:r>
        <w:t xml:space="preserve">4.1 1. Структура проекта</w:t>
      </w:r>
    </w:p>
    <w:p>
      <w:pPr>
        <w:pStyle w:val="FirstParagraph"/>
      </w:pPr>
      <w:r>
        <w:t xml:space="preserve">Работа выполнялась в каталоге проекта:</w:t>
      </w:r>
    </w:p>
    <w:p>
      <w:pPr>
        <w:pStyle w:val="BodyText"/>
      </w:pP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1"/>
          <w:p>
            <w:pPr>
              <w:pStyle w:val="Compact"/>
              <w:jc w:val="center"/>
            </w:pPr>
            <w:r>
              <w:drawing>
                <wp:inline>
                  <wp:extent cx="4267200" cy="23406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4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проекта</w:t>
            </w:r>
          </w:p>
          <w:bookmarkEnd w:id="28"/>
        </w:tc>
      </w:tr>
    </w:tbl>
    <w:p>
      <w:pPr>
        <w:pStyle w:val="BodyText"/>
      </w:pPr>
      <w:r>
        <w:rPr>
          <w:i/>
          <w:iCs/>
        </w:rPr>
        <w:t xml:space="preserve">Рисунок 1 — Рабочая директория проекта</w:t>
      </w:r>
    </w:p>
    <w:bookmarkEnd w:id="29"/>
    <w:bookmarkStart w:id="38" w:name="реализация-модели-sir"/>
    <w:p>
      <w:pPr>
        <w:pStyle w:val="Heading2"/>
      </w:pPr>
      <w:r>
        <w:t xml:space="preserve">4.2 2. Реализация модели SIR</w:t>
      </w:r>
    </w:p>
    <w:p>
      <w:pPr>
        <w:pStyle w:val="FirstParagraph"/>
      </w:pPr>
      <w:r>
        <w:t xml:space="preserve">Основной код модели находился в файле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out(m::SIRModel)</w:t>
      </w:r>
      <w:r>
        <w:t xml:space="preserve"> </w:t>
      </w:r>
      <w:r>
        <w:t xml:space="preserve">формирует результирующий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: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2"/>
          <w:p>
            <w:pPr>
              <w:pStyle w:val="Compact"/>
              <w:jc w:val="center"/>
            </w:pPr>
            <w:r>
              <w:drawing>
                <wp:inline>
                  <wp:extent cx="4267200" cy="18950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95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Функция out</w:t>
            </w:r>
          </w:p>
          <w:bookmarkEnd w:id="33"/>
        </w:tc>
      </w:tr>
    </w:tbl>
    <w:p>
      <w:pPr>
        <w:pStyle w:val="BodyText"/>
      </w:pPr>
      <w:r>
        <w:rPr>
          <w:i/>
          <w:iCs/>
        </w:rPr>
        <w:t xml:space="preserve">Рисунок 2 — Функция вывода результатов</w:t>
      </w:r>
    </w:p>
    <w:p>
      <w:pPr>
        <w:pStyle w:val="BodyText"/>
      </w:pPr>
      <w:r>
        <w:t xml:space="preserve">Запуск экспериментов осуществлялся из скрипта</w:t>
      </w:r>
      <w:r>
        <w:t xml:space="preserve"> </w:t>
      </w:r>
      <w:r>
        <w:rPr>
          <w:rStyle w:val="VerbatimChar"/>
        </w:rPr>
        <w:t xml:space="preserve">scripts/sir_des.jl</w:t>
      </w:r>
      <w:r>
        <w:t xml:space="preserve">: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3"/>
          <w:p>
            <w:pPr>
              <w:pStyle w:val="Compact"/>
              <w:jc w:val="center"/>
            </w:pPr>
            <w:r>
              <w:drawing>
                <wp:inline>
                  <wp:extent cx="4267200" cy="25698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6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скрипта</w:t>
            </w:r>
          </w:p>
          <w:bookmarkEnd w:id="37"/>
        </w:tc>
      </w:tr>
    </w:tbl>
    <w:p>
      <w:pPr>
        <w:pStyle w:val="BodyText"/>
      </w:pPr>
      <w:r>
        <w:rPr>
          <w:i/>
          <w:iCs/>
        </w:rPr>
        <w:t xml:space="preserve">Рисунок 3 — Скрипт запуска модели</w:t>
      </w:r>
    </w:p>
    <w:bookmarkEnd w:id="38"/>
    <w:bookmarkStart w:id="43" w:name="X1224e4d86aa01bd1c49c044b7e7398e8306f807"/>
    <w:p>
      <w:pPr>
        <w:pStyle w:val="Heading2"/>
      </w:pPr>
      <w:r>
        <w:t xml:space="preserve">4.3 3. Анализ чувствительности к параметрам (задание 8.5.1)</w:t>
      </w:r>
    </w:p>
    <w:p>
      <w:pPr>
        <w:pStyle w:val="FirstParagraph"/>
      </w:pPr>
      <w:r>
        <w:t xml:space="preserve">Проведён анализ вариации коэффициента передачи β: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4"/>
          <w:p>
            <w:pPr>
              <w:pStyle w:val="Compact"/>
              <w:jc w:val="center"/>
            </w:pPr>
            <w:r>
              <w:drawing>
                <wp:inline>
                  <wp:extent cx="4267200" cy="198999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89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Анализ чувствительности</w:t>
            </w:r>
          </w:p>
          <w:bookmarkEnd w:id="42"/>
        </w:tc>
      </w:tr>
    </w:tbl>
    <w:p>
      <w:pPr>
        <w:pStyle w:val="BodyText"/>
      </w:pPr>
      <w:r>
        <w:rPr>
          <w:i/>
          <w:iCs/>
        </w:rPr>
        <w:t xml:space="preserve">Рисунок 4 — Код для анализа чувствительности к параметру β</w:t>
      </w:r>
    </w:p>
    <w:p>
      <w:pPr>
        <w:pStyle w:val="BodyText"/>
      </w:pPr>
      <w:r>
        <w:rPr>
          <w:b/>
          <w:bCs/>
        </w:rPr>
        <w:t xml:space="preserve">Результаты анализа: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07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</w:pPr>
            <w:r>
              <w:t xml:space="preserve">Влияние на динамику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↑</w:t>
            </w:r>
          </w:p>
        </w:tc>
        <w:tc>
          <w:tcPr/>
          <w:p>
            <w:pPr>
              <w:pStyle w:val="Compact"/>
            </w:pPr>
            <w:r>
              <w:t xml:space="preserve">Увеличение вероятности заражения</w:t>
            </w:r>
          </w:p>
        </w:tc>
        <w:tc>
          <w:tcPr/>
          <w:p>
            <w:pPr>
              <w:pStyle w:val="Compact"/>
            </w:pPr>
            <w:r>
              <w:t xml:space="preserve">Более ранний и высокий пик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↑</w:t>
            </w:r>
          </w:p>
        </w:tc>
        <w:tc>
          <w:tcPr/>
          <w:p>
            <w:pPr>
              <w:pStyle w:val="Compact"/>
            </w:pPr>
            <w:r>
              <w:t xml:space="preserve">Увеличение числа контактов</w:t>
            </w:r>
          </w:p>
        </w:tc>
        <w:tc>
          <w:tcPr/>
          <w:p>
            <w:pPr>
              <w:pStyle w:val="Compact"/>
            </w:pPr>
            <w:r>
              <w:t xml:space="preserve">Аналогично увеличению β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 ↑</w:t>
            </w:r>
          </w:p>
        </w:tc>
        <w:tc>
          <w:tcPr/>
          <w:p>
            <w:pPr>
              <w:pStyle w:val="Compact"/>
            </w:pPr>
            <w:r>
              <w:t xml:space="preserve">Более быстрое выздоровление</w:t>
            </w:r>
          </w:p>
        </w:tc>
        <w:tc>
          <w:tcPr/>
          <w:p>
            <w:pPr>
              <w:pStyle w:val="Compact"/>
            </w:pPr>
            <w:r>
              <w:t xml:space="preserve">Снижение пика I</w:t>
            </w:r>
          </w:p>
        </w:tc>
      </w:tr>
    </w:tbl>
    <w:bookmarkEnd w:id="43"/>
    <w:bookmarkStart w:id="52" w:name="X9b27e897c02811d40b92f931d874424aa883ae7"/>
    <w:p>
      <w:pPr>
        <w:pStyle w:val="Heading2"/>
      </w:pPr>
      <w:r>
        <w:t xml:space="preserve">4.4 4. Детерминированная vs стохастическая длительность болезни</w:t>
      </w:r>
    </w:p>
    <w:p>
      <w:pPr>
        <w:pStyle w:val="FirstParagraph"/>
      </w:pPr>
      <w:r>
        <w:t xml:space="preserve">Детерминированная версия (фиксированное время выздоровления):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5"/>
          <w:p>
            <w:pPr>
              <w:pStyle w:val="Compact"/>
              <w:jc w:val="center"/>
            </w:pPr>
            <w:r>
              <w:drawing>
                <wp:inline>
                  <wp:extent cx="4267200" cy="70373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03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Детерминированная версия</w:t>
            </w:r>
          </w:p>
          <w:bookmarkEnd w:id="47"/>
        </w:tc>
      </w:tr>
    </w:tbl>
    <w:p>
      <w:pPr>
        <w:pStyle w:val="BodyText"/>
      </w:pPr>
      <w:r>
        <w:rPr>
          <w:i/>
          <w:iCs/>
        </w:rPr>
        <w:t xml:space="preserve">Рисунок 5 — Детерминированная длительность болезни</w:t>
      </w:r>
    </w:p>
    <w:p>
      <w:pPr>
        <w:pStyle w:val="BodyText"/>
      </w:pPr>
      <w:r>
        <w:t xml:space="preserve">Для стохастической версии используется экспоненциальное распределение: (</w:t>
      </w:r>
      <w:hyperlink w:anchor="fig-8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8"/>
          <w:p>
            <w:pPr>
              <w:pStyle w:val="Compact"/>
              <w:jc w:val="center"/>
            </w:pPr>
            <w:r>
              <w:drawing>
                <wp:inline>
                  <wp:extent cx="3373290" cy="25357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3290" cy="253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Стохастическая версия</w:t>
            </w:r>
          </w:p>
          <w:bookmarkEnd w:id="51"/>
        </w:tc>
      </w:tr>
    </w:tbl>
    <w:p>
      <w:pPr>
        <w:pStyle w:val="BodyText"/>
      </w:pPr>
      <w:r>
        <w:rPr>
          <w:i/>
          <w:iCs/>
        </w:rPr>
        <w:t xml:space="preserve">Рисунок 6 — Стохастическая длительность болезни</w:t>
      </w:r>
    </w:p>
    <w:bookmarkEnd w:id="52"/>
    <w:bookmarkStart w:id="57" w:name="оценка-производительности-задание-8.5.3"/>
    <w:p>
      <w:pPr>
        <w:pStyle w:val="Heading2"/>
      </w:pPr>
      <w:r>
        <w:t xml:space="preserve">4.5 5. Оценка производительности (задание 8.5.3)</w:t>
      </w:r>
    </w:p>
    <w:p>
      <w:pPr>
        <w:pStyle w:val="FirstParagraph"/>
      </w:pPr>
      <w:r>
        <w:t xml:space="preserve">С помощью макроса</w:t>
      </w:r>
      <w:r>
        <w:t xml:space="preserve"> </w:t>
      </w:r>
      <w:r>
        <w:rPr>
          <w:rStyle w:val="VerbatimChar"/>
        </w:rPr>
        <w:t xml:space="preserve">@benchmark</w:t>
      </w:r>
      <w:r>
        <w:t xml:space="preserve"> </w:t>
      </w:r>
      <w:r>
        <w:t xml:space="preserve">проведена оценка производительности: 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6"/>
          <w:p>
            <w:pPr>
              <w:pStyle w:val="Compact"/>
              <w:jc w:val="center"/>
            </w:pPr>
            <w:r>
              <w:drawing>
                <wp:inline>
                  <wp:extent cx="4267200" cy="18661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6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Бенчмаркинг</w:t>
            </w:r>
          </w:p>
          <w:bookmarkEnd w:id="56"/>
        </w:tc>
      </w:tr>
    </w:tbl>
    <w:p>
      <w:pPr>
        <w:pStyle w:val="BodyText"/>
      </w:pPr>
      <w:r>
        <w:rPr>
          <w:i/>
          <w:iCs/>
        </w:rPr>
        <w:t xml:space="preserve">Рисунок 7 — Бенчмаркинг производительности</w:t>
      </w:r>
    </w:p>
    <w:bookmarkEnd w:id="57"/>
    <w:bookmarkStart w:id="62" w:name="X3c848cd46de807ef0294969e9f2d2615bdc4b52"/>
    <w:p>
      <w:pPr>
        <w:pStyle w:val="Heading2"/>
      </w:pPr>
      <w:r>
        <w:t xml:space="preserve">4.6 6. Сохранение результатов в CSV (задание 8.5.4)</w:t>
      </w:r>
    </w:p>
    <w:p>
      <w:pPr>
        <w:pStyle w:val="FirstParagraph"/>
      </w:pPr>
      <w:r>
        <w:t xml:space="preserve">Реализовано автоматическое сохранение результатов: 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7"/>
          <w:p>
            <w:pPr>
              <w:pStyle w:val="Compact"/>
              <w:jc w:val="center"/>
            </w:pPr>
            <w:r>
              <w:drawing>
                <wp:inline>
                  <wp:extent cx="4267200" cy="78759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87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Сохранение CSV</w:t>
            </w:r>
          </w:p>
          <w:bookmarkEnd w:id="61"/>
        </w:tc>
      </w:tr>
    </w:tbl>
    <w:p>
      <w:pPr>
        <w:pStyle w:val="BodyText"/>
      </w:pPr>
      <w:r>
        <w:rPr>
          <w:i/>
          <w:iCs/>
        </w:rPr>
        <w:t xml:space="preserve">Рисунок 8 — Сохранение результатов в CSV-файл</w:t>
      </w:r>
    </w:p>
    <w:bookmarkEnd w:id="62"/>
    <w:bookmarkStart w:id="67" w:name="вакцинация-задание-8.5.6"/>
    <w:p>
      <w:pPr>
        <w:pStyle w:val="Heading2"/>
      </w:pPr>
      <w:r>
        <w:t xml:space="preserve">4.7 7. Вакцинация (задание 8.5.6)</w:t>
      </w:r>
    </w:p>
    <w:p>
      <w:pPr>
        <w:pStyle w:val="FirstParagraph"/>
      </w:pPr>
      <w:r>
        <w:t xml:space="preserve">Реализован процесс вакцинации по таймеру: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9"/>
          <w:p>
            <w:pPr>
              <w:pStyle w:val="Compact"/>
              <w:jc w:val="center"/>
            </w:pPr>
            <w:r>
              <w:drawing>
                <wp:inline>
                  <wp:extent cx="4267200" cy="59763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97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Вакцинация</w:t>
            </w:r>
          </w:p>
          <w:bookmarkEnd w:id="66"/>
        </w:tc>
      </w:tr>
    </w:tbl>
    <w:p>
      <w:pPr>
        <w:pStyle w:val="BodyText"/>
      </w:pPr>
      <w:r>
        <w:rPr>
          <w:i/>
          <w:iCs/>
        </w:rPr>
        <w:t xml:space="preserve">Рисунок 9 — Функция вакцинации</w:t>
      </w:r>
    </w:p>
    <w:bookmarkEnd w:id="67"/>
    <w:bookmarkStart w:id="72" w:name="модель-seir-задание-8.5.7"/>
    <w:p>
      <w:pPr>
        <w:pStyle w:val="Heading2"/>
      </w:pPr>
      <w:r>
        <w:t xml:space="preserve">4.8 8. Модель SEIR (задание 8.5.7)</w:t>
      </w:r>
    </w:p>
    <w:p>
      <w:pPr>
        <w:pStyle w:val="FirstParagraph"/>
      </w:pPr>
      <w:r>
        <w:t xml:space="preserve">Расширение модели до SEIR с латентным периодом: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0"/>
          <w:p>
            <w:pPr>
              <w:pStyle w:val="Compact"/>
              <w:jc w:val="center"/>
            </w:pPr>
            <w:r>
              <w:drawing>
                <wp:inline>
                  <wp:extent cx="4267200" cy="295265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52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Модель SEIR</w:t>
            </w:r>
          </w:p>
          <w:bookmarkEnd w:id="71"/>
        </w:tc>
      </w:tr>
    </w:tbl>
    <w:p>
      <w:pPr>
        <w:pStyle w:val="BodyText"/>
      </w:pPr>
      <w:r>
        <w:rPr>
          <w:i/>
          <w:iCs/>
        </w:rPr>
        <w:t xml:space="preserve">Рисунок 10 — Реализация модели SEIR</w:t>
      </w:r>
    </w:p>
    <w:bookmarkEnd w:id="72"/>
    <w:bookmarkStart w:id="77" w:name="результаты-моделирования"/>
    <w:p>
      <w:pPr>
        <w:pStyle w:val="Heading2"/>
      </w:pPr>
      <w:r>
        <w:t xml:space="preserve">4.9 9. Результаты моделирования</w:t>
      </w:r>
    </w:p>
    <w:p>
      <w:pPr>
        <w:pStyle w:val="FirstParagraph"/>
      </w:pPr>
      <w:r>
        <w:t xml:space="preserve">На основе полученных данных построен график динамики SIR модели.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1"/>
          <w:p>
            <w:pPr>
              <w:pStyle w:val="Compact"/>
              <w:jc w:val="center"/>
            </w:pPr>
            <w:r>
              <w:drawing>
                <wp:inline>
                  <wp:extent cx="4267200" cy="271549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sir_seir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1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Динамика SIR модели</w:t>
            </w:r>
          </w:p>
          <w:bookmarkEnd w:id="76"/>
        </w:tc>
      </w:tr>
    </w:tbl>
    <w:p>
      <w:pPr>
        <w:pStyle w:val="BodyText"/>
      </w:pPr>
      <w:r>
        <w:rPr>
          <w:i/>
          <w:iCs/>
        </w:rPr>
        <w:t xml:space="preserve">Рисунок 11 — Динамика численности групп S, I, R во времени</w:t>
      </w:r>
    </w:p>
    <w:p>
      <w:pPr>
        <w:pStyle w:val="BodyText"/>
      </w:pPr>
      <w:r>
        <w:rPr>
          <w:b/>
          <w:bCs/>
        </w:rPr>
        <w:t xml:space="preserve">Сравнение SIR и SEIR: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SIR</w:t>
            </w:r>
          </w:p>
        </w:tc>
        <w:tc>
          <w:tcPr/>
          <w:p>
            <w:pPr>
              <w:pStyle w:val="Compact"/>
            </w:pPr>
            <w:r>
              <w:t xml:space="preserve">SEIR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 заболевших</w:t>
            </w:r>
          </w:p>
        </w:tc>
        <w:tc>
          <w:tcPr/>
          <w:p>
            <w:pPr>
              <w:pStyle w:val="Compact"/>
            </w:pPr>
            <w:r>
              <w:t xml:space="preserve">Раньше</w:t>
            </w:r>
          </w:p>
        </w:tc>
        <w:tc>
          <w:tcPr/>
          <w:p>
            <w:pPr>
              <w:pStyle w:val="Compact"/>
            </w:pPr>
            <w:r>
              <w:t xml:space="preserve">Позже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Максимальное I</w:t>
            </w:r>
          </w:p>
        </w:tc>
        <w:tc>
          <w:tcPr/>
          <w:p>
            <w:pPr>
              <w:pStyle w:val="Compact"/>
            </w:pPr>
            <w:r>
              <w:t xml:space="preserve">Выше</w:t>
            </w:r>
          </w:p>
        </w:tc>
        <w:tc>
          <w:tcPr/>
          <w:p>
            <w:pPr>
              <w:pStyle w:val="Compact"/>
            </w:pPr>
            <w:r>
              <w:t xml:space="preserve">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распространения</w:t>
            </w:r>
          </w:p>
        </w:tc>
        <w:tc>
          <w:tcPr/>
          <w:p>
            <w:pPr>
              <w:pStyle w:val="Compact"/>
            </w:pPr>
            <w:r>
              <w:t xml:space="preserve">Быстрее</w:t>
            </w:r>
          </w:p>
        </w:tc>
        <w:tc>
          <w:tcPr/>
          <w:p>
            <w:pPr>
              <w:pStyle w:val="Compact"/>
            </w:pPr>
            <w:r>
              <w:t xml:space="preserve">Медленнее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Латентный период</w:t>
            </w:r>
          </w:p>
        </w:tc>
        <w:tc>
          <w:tcPr/>
          <w:p>
            <w:pPr>
              <w:pStyle w:val="Compact"/>
            </w:pPr>
            <w:r>
              <w:t xml:space="preserve">Отсутствует</w:t>
            </w:r>
          </w:p>
        </w:tc>
        <w:tc>
          <w:tcPr/>
          <w:p>
            <w:pPr>
              <w:pStyle w:val="Compact"/>
            </w:pPr>
            <w:r>
              <w:t xml:space="preserve">Присутствует (E → I)</w:t>
            </w:r>
          </w:p>
        </w:tc>
      </w:tr>
    </w:tbl>
    <w:bookmarkEnd w:id="77"/>
    <w:bookmarkStart w:id="79" w:name="создание-литературного-кода"/>
    <w:p>
      <w:pPr>
        <w:pStyle w:val="Heading2"/>
      </w:pPr>
      <w:r>
        <w:t xml:space="preserve">4.10 9. Создание литературного кода</w:t>
      </w:r>
    </w:p>
    <w:p>
      <w:pPr>
        <w:pStyle w:val="FirstParagraph"/>
      </w:pPr>
      <w:r>
        <w:t xml:space="preserve">На основе кода создадим литературный код и сгенерируем ноутбуки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Литературный код</w:t>
            </w:r>
          </w:p>
          <w:bookmarkEnd w:id="78"/>
        </w:tc>
      </w:tr>
    </w:tbl>
    <w:bookmarkEnd w:id="79"/>
    <w:bookmarkEnd w:id="80"/>
    <w:bookmarkStart w:id="8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№8: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Реализована дискретно-событийная модель SIR</w:t>
      </w:r>
      <w:r>
        <w:t xml:space="preserve"> </w:t>
      </w:r>
      <w:r>
        <w:t xml:space="preserve">с использованием пакета ConcurrentSim.jl в среде Julia. Модель учитывает индивидуальные траектории индивидов и стохастический характер процессов.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Проведён анализ чувствительности</w:t>
      </w:r>
      <w:r>
        <w:t xml:space="preserve"> </w:t>
      </w:r>
      <w:r>
        <w:t xml:space="preserve">к параметрам β, c, γ, показавший:</w:t>
      </w:r>
    </w:p>
    <w:p>
      <w:pPr>
        <w:pStyle w:val="Compact"/>
        <w:numPr>
          <w:ilvl w:val="1"/>
          <w:numId w:val="1003"/>
        </w:numPr>
      </w:pPr>
      <w:r>
        <w:t xml:space="preserve">Увеличение β и c приводит к более раннему и высокому пику заболевших;</w:t>
      </w:r>
    </w:p>
    <w:p>
      <w:pPr>
        <w:pStyle w:val="Compact"/>
        <w:numPr>
          <w:ilvl w:val="1"/>
          <w:numId w:val="1003"/>
        </w:numPr>
      </w:pPr>
      <w:r>
        <w:t xml:space="preserve">Увеличение γ снижает распространение инфекции.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Реализованы обе версии длительности болезни</w:t>
      </w:r>
      <w:r>
        <w:t xml:space="preserve">: детерминированная (фиксированное время) и стохастическая (экспоненциальное распределение).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Выполнена оценка производительности</w:t>
      </w:r>
      <w:r>
        <w:t xml:space="preserve"> </w:t>
      </w:r>
      <w:r>
        <w:t xml:space="preserve">с помощью бенчмаркинга. Время выполнения модели растёт линейно с увеличением размера популяции.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Реализовано сохранение результатов</w:t>
      </w:r>
      <w:r>
        <w:t xml:space="preserve"> </w:t>
      </w:r>
      <w:r>
        <w:t xml:space="preserve">в CSV-формат для последующего анализа.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Расширена функциональность модели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Реализована вакцинация по таймеру;</w:t>
      </w:r>
    </w:p>
    <w:p>
      <w:pPr>
        <w:pStyle w:val="Compact"/>
        <w:numPr>
          <w:ilvl w:val="1"/>
          <w:numId w:val="1004"/>
        </w:numPr>
      </w:pPr>
      <w:r>
        <w:t xml:space="preserve">Разработана модель SEIR с латентным периодом.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Дискретно-событийный подход</w:t>
      </w:r>
      <w:r>
        <w:t xml:space="preserve"> </w:t>
      </w:r>
      <w:r>
        <w:t xml:space="preserve">показал свою эффективность для моделирования эпидемиологических процессов, позволяя естественным образом описывать индивидуальные траектории, стохастические эффекты и сложные сценарии вмешательств.</w:t>
      </w:r>
    </w:p>
    <w:bookmarkEnd w:id="81"/>
    <w:bookmarkStart w:id="8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ConcurrentSim.jl Documentation. URL: https://github.com/pszufe/ConcurrentSim.jl</w:t>
      </w:r>
    </w:p>
    <w:p>
      <w:pPr>
        <w:pStyle w:val="Compact"/>
        <w:numPr>
          <w:ilvl w:val="0"/>
          <w:numId w:val="1005"/>
        </w:numPr>
      </w:pPr>
      <w:r>
        <w:t xml:space="preserve">ResumableFunctions.jl Documentation. URL: https://github.com/BenLauwens/ResumableFunctions.jl</w:t>
      </w:r>
    </w:p>
    <w:p>
      <w:pPr>
        <w:pStyle w:val="Compact"/>
        <w:numPr>
          <w:ilvl w:val="0"/>
          <w:numId w:val="1005"/>
        </w:numPr>
      </w:pPr>
      <w:r>
        <w:t xml:space="preserve">Banks J., Carson J.S., Nelson B.L., Nicol D.M. Discrete-Event System Simulation. — Pearson, 2014.</w:t>
      </w:r>
    </w:p>
    <w:p>
      <w:pPr>
        <w:pStyle w:val="Compact"/>
        <w:numPr>
          <w:ilvl w:val="0"/>
          <w:numId w:val="1005"/>
        </w:numPr>
      </w:pPr>
      <w:r>
        <w:t xml:space="preserve">JuliaLang.org. The Julia Programming Language.</w:t>
      </w:r>
    </w:p>
    <w:p>
      <w:pPr>
        <w:pStyle w:val="Compact"/>
        <w:numPr>
          <w:ilvl w:val="0"/>
          <w:numId w:val="1005"/>
        </w:numPr>
      </w:pPr>
      <w:r>
        <w:t xml:space="preserve">DrWatson.jl: Scientific project management in Julia. URL: https://github.com/JuliaDynamics/DrWatson.jl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8" Target="media/rId6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48" Target="media/rId48.png" /><Relationship Type="http://schemas.openxmlformats.org/officeDocument/2006/relationships/image" Id="rId63" Target="media/rId63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Улитина Мария Максимовна</dc:creator>
  <dc:language>ru-RU</dc:language>
  <cp:keywords/>
  <dcterms:created xsi:type="dcterms:W3CDTF">2026-05-30T17:39:55Z</dcterms:created>
  <dcterms:modified xsi:type="dcterms:W3CDTF">2026-05-30T17:39:55Z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дискретно-событийном подходе</vt:lpwstr>
  </property>
  <property fmtid="{D5CDD505-2E9C-101B-9397-08002B2CF9AE}" pid="16" name="toc-title">
    <vt:lpwstr>Содержание</vt:lpwstr>
  </property>
</Properties>
</file>