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70.jpg" ContentType="image/jpeg"/>
  <Override PartName="/word/media/rId75.jpg" ContentType="image/jpeg"/>
  <Override PartName="/word/media/rId80.jpg" ContentType="image/jpeg"/>
  <Override PartName="/word/media/rId85.jpg" ContentType="image/jpeg"/>
  <Override PartName="/word/media/rId90.jpg" ContentType="image/jpeg"/>
  <Override PartName="/word/media/rId95.jpg" ContentType="image/jpeg"/>
  <Override PartName="/word/media/rId100.jpg" ContentType="image/jpeg"/>
  <Override PartName="/word/media/rId105.jpg" ContentType="image/jpeg"/>
  <Override PartName="/word/media/rId110.jpg" ContentType="image/jpeg"/>
  <Override PartName="/word/media/rId115.jpg" ContentType="image/jpeg"/>
  <Override PartName="/word/media/rId30.jpg" ContentType="image/jpeg"/>
  <Override PartName="/word/media/rId120.jpg" ContentType="image/jpeg"/>
  <Override PartName="/word/media/rId125.jpg" ContentType="image/jpeg"/>
  <Override PartName="/word/media/rId130.jpg" ContentType="image/jpeg"/>
  <Override PartName="/word/media/rId135.jpg" ContentType="image/jpeg"/>
  <Override PartName="/word/media/rId140.jpg" ContentType="image/jpeg"/>
  <Override PartName="/word/media/rId145.jpg" ContentType="image/jpeg"/>
  <Override PartName="/word/media/rId150.jpg" ContentType="image/jpeg"/>
  <Override PartName="/word/media/rId155.jpg" ContentType="image/jpeg"/>
  <Override PartName="/word/media/rId160.jpg" ContentType="image/jpeg"/>
  <Override PartName="/word/media/rId35.jpg" ContentType="image/jpeg"/>
  <Override PartName="/word/media/rId40.jpg" ContentType="image/jpeg"/>
  <Override PartName="/word/media/rId45.jpg" ContentType="image/jpeg"/>
  <Override PartName="/word/media/rId50.jpg" ContentType="image/jpeg"/>
  <Override PartName="/word/media/rId55.jpg" ContentType="image/jpeg"/>
  <Override PartName="/word/media/rId60.jpg" ContentType="image/jpeg"/>
  <Override PartName="/word/media/rId6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Реализация основных моделей в дискретно-событийном подходе</w:t>
      </w:r>
    </w:p>
    <w:p>
      <w:pPr>
        <w:pStyle w:val="Author"/>
      </w:pPr>
      <w:r>
        <w:t xml:space="preserve">Мария Улитина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практических навыков подготовки рабочего пространства для имитационного моделирования, настройка инструментов (Git, Git Flow, DrWatson), а также первичная реализация и документирование модели экспоненциального роста на языке Julia с использованием подхода литературного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рабочее пространство для курса в соответствии с соглашением Denote.</w:t>
      </w:r>
    </w:p>
    <w:p>
      <w:pPr>
        <w:pStyle w:val="Compact"/>
        <w:numPr>
          <w:ilvl w:val="0"/>
          <w:numId w:val="1001"/>
        </w:numPr>
      </w:pPr>
      <w:r>
        <w:t xml:space="preserve">Создать и настроить репозиторий на GitHub, используя Git Flow.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 (Git, Node.js, pnpm, git-flow, Julia).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DrWatson для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Julia-пакеты.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экспоненциального роста.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скрипт в формат литературного программирования.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в итоговый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экспоненциального-роста"/>
    <w:p>
      <w:pPr>
        <w:pStyle w:val="Heading2"/>
      </w:pPr>
      <w:r>
        <w:t xml:space="preserve">3.1 Модель экспоненциального роста</w:t>
      </w:r>
    </w:p>
    <w:p>
      <w:pPr>
        <w:pStyle w:val="FirstParagraph"/>
      </w:pPr>
      <w:r>
        <w:t xml:space="preserve">Экспоненциальный рост — это процесс увеличения величины, при котором скорость роста в каждый момент времени пропорциональна текущему значению этой величины. Чем больше система, тем быстрее она растет.</w:t>
      </w:r>
    </w:p>
    <w:p>
      <w:pPr>
        <w:pStyle w:val="BodyText"/>
      </w:pPr>
      <w:r>
        <w:t xml:space="preserve">Дифференциальное уравнение, описывающее экспоненциальный рост,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текущее значение растущей величины;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время;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константа скорости роста.</w:t>
      </w:r>
    </w:p>
    <w:p>
      <w:pPr>
        <w:pStyle w:val="BodyText"/>
      </w:pPr>
      <w:r>
        <w:t xml:space="preserve">Решение этого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начальное значение.</w:t>
      </w:r>
    </w:p>
    <w:p>
      <w:pPr>
        <w:pStyle w:val="BodyText"/>
      </w:pPr>
      <w:r>
        <w:t xml:space="preserve">Ключевой характеристикой экспоненциального роста является постоянное время удвоения: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</m:oMath>
      </m:oMathPara>
    </w:p>
    <w:bookmarkEnd w:id="22"/>
    <w:bookmarkStart w:id="23" w:name="инструменты"/>
    <w:p>
      <w:pPr>
        <w:pStyle w:val="Heading2"/>
      </w:pPr>
      <w:r>
        <w:t xml:space="preserve">3.2 Инструменты</w:t>
      </w:r>
    </w:p>
    <w:p>
      <w:pPr>
        <w:pStyle w:val="FirstParagraph"/>
      </w:pPr>
      <w:r>
        <w:t xml:space="preserve">В работе используются следующие инструменты: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— система контроля версий;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Flow</w:t>
      </w:r>
      <w:r>
        <w:t xml:space="preserve"> </w:t>
      </w:r>
      <w:r>
        <w:t xml:space="preserve">— модель ветвления для Git;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хостинг репозиториев;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Julia</w:t>
      </w:r>
      <w:r>
        <w:t xml:space="preserve"> </w:t>
      </w:r>
      <w:r>
        <w:t xml:space="preserve">— язык программирования для научных вычислений;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DrWatson.jl</w:t>
      </w:r>
      <w:r>
        <w:t xml:space="preserve"> </w:t>
      </w:r>
      <w:r>
        <w:t xml:space="preserve">— фреймворк для организации научных проектов;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Literate.jl</w:t>
      </w:r>
      <w:r>
        <w:t xml:space="preserve"> </w:t>
      </w:r>
      <w:r>
        <w:t xml:space="preserve">— инструмент для литературного программирования;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— система для создания научных отчётов.</w:t>
      </w:r>
    </w:p>
    <w:bookmarkEnd w:id="23"/>
    <w:bookmarkEnd w:id="24"/>
    <w:bookmarkStart w:id="16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установка-git"/>
    <w:p>
      <w:pPr>
        <w:pStyle w:val="Heading2"/>
      </w:pPr>
      <w:r>
        <w:t xml:space="preserve">4.1 1. Установка Git</w:t>
      </w:r>
    </w:p>
    <w:p>
      <w:pPr>
        <w:pStyle w:val="FirstParagraph"/>
      </w:pPr>
      <w:r>
        <w:t xml:space="preserve">Первым шагом устанавливаем систему контроля версий Git (рис. 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560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screenshots/1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8"/>
        </w:tc>
      </w:tr>
    </w:tbl>
    <w:bookmarkEnd w:id="29"/>
    <w:bookmarkStart w:id="34" w:name="настройка-git"/>
    <w:p>
      <w:pPr>
        <w:pStyle w:val="Heading2"/>
      </w:pPr>
      <w:r>
        <w:t xml:space="preserve">4.2 2. Настройка Git</w:t>
      </w:r>
    </w:p>
    <w:p>
      <w:pPr>
        <w:pStyle w:val="FirstParagraph"/>
      </w:pPr>
      <w:r>
        <w:t xml:space="preserve">Настраиваем имя пользователя и email для Git (рис. 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15631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creenshots/2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имени и email в Git</w:t>
            </w:r>
          </w:p>
          <w:bookmarkEnd w:id="33"/>
        </w:tc>
      </w:tr>
    </w:tbl>
    <w:bookmarkEnd w:id="34"/>
    <w:bookmarkStart w:id="39" w:name="базовая-конфигурация-git"/>
    <w:p>
      <w:pPr>
        <w:pStyle w:val="Heading2"/>
      </w:pPr>
      <w:r>
        <w:t xml:space="preserve">4.3 3. Базовая конфигурация Git</w:t>
      </w:r>
    </w:p>
    <w:p>
      <w:pPr>
        <w:pStyle w:val="FirstParagraph"/>
      </w:pPr>
      <w:r>
        <w:t xml:space="preserve">Выполняем базовую настройку Git: указываем имя ветки по умолчанию, настраиваем окончания строк (рис. 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r>
              <w:drawing>
                <wp:inline>
                  <wp:extent cx="3733800" cy="49996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3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9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Базовая конфигурация Git</w:t>
            </w:r>
          </w:p>
          <w:bookmarkEnd w:id="38"/>
        </w:tc>
      </w:tr>
    </w:tbl>
    <w:bookmarkEnd w:id="39"/>
    <w:bookmarkStart w:id="44" w:name="создание-ssh-ключа"/>
    <w:p>
      <w:pPr>
        <w:pStyle w:val="Heading2"/>
      </w:pPr>
      <w:r>
        <w:t xml:space="preserve">4.4 4. Создание SSH-ключа</w:t>
      </w:r>
    </w:p>
    <w:p>
      <w:pPr>
        <w:pStyle w:val="FirstParagraph"/>
      </w:pPr>
      <w:r>
        <w:t xml:space="preserve">Генерируем SSH-ключ для подключения к GitHub по протоколу SSH (рис. 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178470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creenshots/4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SSH-ключа</w:t>
            </w:r>
          </w:p>
          <w:bookmarkEnd w:id="43"/>
        </w:tc>
      </w:tr>
    </w:tbl>
    <w:bookmarkEnd w:id="44"/>
    <w:bookmarkStart w:id="49" w:name="установка-node.js"/>
    <w:p>
      <w:pPr>
        <w:pStyle w:val="Heading2"/>
      </w:pPr>
      <w:r>
        <w:t xml:space="preserve">4.5 5. Установка Node.js</w:t>
      </w:r>
    </w:p>
    <w:p>
      <w:pPr>
        <w:pStyle w:val="FirstParagraph"/>
      </w:pPr>
      <w:r>
        <w:t xml:space="preserve">Пытаемся установить Node.js (рис. 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21929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5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Node.js</w:t>
            </w:r>
          </w:p>
          <w:bookmarkEnd w:id="48"/>
        </w:tc>
      </w:tr>
    </w:tbl>
    <w:bookmarkEnd w:id="49"/>
    <w:bookmarkStart w:id="54" w:name="установка-yarn"/>
    <w:p>
      <w:pPr>
        <w:pStyle w:val="Heading2"/>
      </w:pPr>
      <w:r>
        <w:t xml:space="preserve">4.6 6. Установка yarn</w:t>
      </w:r>
    </w:p>
    <w:p>
      <w:pPr>
        <w:pStyle w:val="FirstParagraph"/>
      </w:pPr>
      <w:r>
        <w:t xml:space="preserve">Устанавливаем пакетный менеджер yarn (рис. 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6"/>
          <w:p>
            <w:pPr>
              <w:pStyle w:val="Compact"/>
              <w:jc w:val="center"/>
            </w:pPr>
            <w:r>
              <w:drawing>
                <wp:inline>
                  <wp:extent cx="3733800" cy="14218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6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yarn</w:t>
            </w:r>
          </w:p>
          <w:bookmarkEnd w:id="53"/>
        </w:tc>
      </w:tr>
    </w:tbl>
    <w:bookmarkEnd w:id="54"/>
    <w:bookmarkStart w:id="59" w:name="обновление-списка-пакетов"/>
    <w:p>
      <w:pPr>
        <w:pStyle w:val="Heading2"/>
      </w:pPr>
      <w:r>
        <w:t xml:space="preserve">4.7 7. Обновление списка пакетов</w:t>
      </w:r>
    </w:p>
    <w:p>
      <w:pPr>
        <w:pStyle w:val="FirstParagraph"/>
      </w:pPr>
      <w:r>
        <w:t xml:space="preserve">Обновляем список доступных пакетов (рис. 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7"/>
          <w:p>
            <w:pPr>
              <w:pStyle w:val="Compact"/>
              <w:jc w:val="center"/>
            </w:pPr>
            <w:r>
              <w:drawing>
                <wp:inline>
                  <wp:extent cx="3733800" cy="20984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screenshots/7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Обновление списка пакетов</w:t>
            </w:r>
          </w:p>
          <w:bookmarkEnd w:id="58"/>
        </w:tc>
      </w:tr>
    </w:tbl>
    <w:bookmarkEnd w:id="59"/>
    <w:bookmarkStart w:id="64" w:name="установка-nodejs-и-npm"/>
    <w:p>
      <w:pPr>
        <w:pStyle w:val="Heading2"/>
      </w:pPr>
      <w:r>
        <w:t xml:space="preserve">4.8 8. Установка nodejs и npm</w:t>
      </w:r>
    </w:p>
    <w:p>
      <w:pPr>
        <w:pStyle w:val="FirstParagraph"/>
      </w:pPr>
      <w:r>
        <w:t xml:space="preserve">Устанавливаем Node.js и npm (рис. 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8"/>
          <w:p>
            <w:pPr>
              <w:pStyle w:val="Compact"/>
              <w:jc w:val="center"/>
            </w:pPr>
            <w:r>
              <w:drawing>
                <wp:inline>
                  <wp:extent cx="3733800" cy="16594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8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nodejs и npm</w:t>
            </w:r>
          </w:p>
          <w:bookmarkEnd w:id="63"/>
        </w:tc>
      </w:tr>
    </w:tbl>
    <w:bookmarkEnd w:id="64"/>
    <w:bookmarkStart w:id="69" w:name="проверка-версий-и-установка-pnpm"/>
    <w:p>
      <w:pPr>
        <w:pStyle w:val="Heading2"/>
      </w:pPr>
      <w:r>
        <w:t xml:space="preserve">4.9 9. Проверка версий и установка pnpm</w:t>
      </w:r>
    </w:p>
    <w:p>
      <w:pPr>
        <w:pStyle w:val="FirstParagraph"/>
      </w:pPr>
      <w:r>
        <w:t xml:space="preserve">Проверяем установленные версии Node.js и npm, устанавливаем pnpm (рис. 9).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r>
              <w:drawing>
                <wp:inline>
                  <wp:extent cx="3733800" cy="690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screenshots/9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версий и установка pnpm</w:t>
            </w:r>
          </w:p>
          <w:bookmarkEnd w:id="68"/>
        </w:tc>
      </w:tr>
    </w:tbl>
    <w:bookmarkEnd w:id="69"/>
    <w:bookmarkStart w:id="74" w:name="настройка-pnpm"/>
    <w:p>
      <w:pPr>
        <w:pStyle w:val="Heading2"/>
      </w:pPr>
      <w:r>
        <w:t xml:space="preserve">4.10 10. Настройка pnpm</w:t>
      </w:r>
    </w:p>
    <w:p>
      <w:pPr>
        <w:pStyle w:val="FirstParagraph"/>
      </w:pPr>
      <w:r>
        <w:t xml:space="preserve">Выполняем настройку pnpm для дальнейшего использования (рис. 10).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0"/>
          <w:p>
            <w:pPr>
              <w:pStyle w:val="Compact"/>
              <w:jc w:val="center"/>
            </w:pPr>
            <w:r>
              <w:drawing>
                <wp:inline>
                  <wp:extent cx="3733800" cy="178693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screenshots/10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6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pnpm</w:t>
            </w:r>
          </w:p>
          <w:bookmarkEnd w:id="73"/>
        </w:tc>
      </w:tr>
    </w:tbl>
    <w:bookmarkEnd w:id="74"/>
    <w:bookmarkStart w:id="79" w:name="установка-git-flow"/>
    <w:p>
      <w:pPr>
        <w:pStyle w:val="Heading2"/>
      </w:pPr>
      <w:r>
        <w:t xml:space="preserve">4.11 11. Установка Git Flow</w:t>
      </w:r>
    </w:p>
    <w:p>
      <w:pPr>
        <w:pStyle w:val="FirstParagraph"/>
      </w:pPr>
      <w:r>
        <w:t xml:space="preserve">Устанавливаем Git Flow для управления ветками в репозитории (рис. 11).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1"/>
          <w:p>
            <w:pPr>
              <w:pStyle w:val="Compact"/>
              <w:jc w:val="center"/>
            </w:pPr>
            <w:r>
              <w:drawing>
                <wp:inline>
                  <wp:extent cx="3733800" cy="18029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screenshots/11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Git Flow</w:t>
            </w:r>
          </w:p>
          <w:bookmarkEnd w:id="78"/>
        </w:tc>
      </w:tr>
    </w:tbl>
    <w:bookmarkEnd w:id="79"/>
    <w:bookmarkStart w:id="84" w:name="создание-структуры-рабочего-пространства"/>
    <w:p>
      <w:pPr>
        <w:pStyle w:val="Heading2"/>
      </w:pPr>
      <w:r>
        <w:t xml:space="preserve">4.12 12. Создание структуры рабочего пространства</w:t>
      </w:r>
    </w:p>
    <w:p>
      <w:pPr>
        <w:pStyle w:val="FirstParagraph"/>
      </w:pPr>
      <w:r>
        <w:t xml:space="preserve">Создаём структуру каталогов для курса в соответствии с соглашением Denote (рис. 12).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2"/>
          <w:p>
            <w:pPr>
              <w:pStyle w:val="Compact"/>
              <w:jc w:val="center"/>
            </w:pPr>
            <w:r>
              <w:drawing>
                <wp:inline>
                  <wp:extent cx="3733800" cy="28721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12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рабочего пространства</w:t>
            </w:r>
          </w:p>
          <w:bookmarkEnd w:id="83"/>
        </w:tc>
      </w:tr>
    </w:tbl>
    <w:bookmarkEnd w:id="84"/>
    <w:bookmarkStart w:id="89" w:name="клонирование-репозитория"/>
    <w:p>
      <w:pPr>
        <w:pStyle w:val="Heading2"/>
      </w:pPr>
      <w:r>
        <w:t xml:space="preserve">4.13 13. Клонирование репозитория</w:t>
      </w:r>
    </w:p>
    <w:p>
      <w:pPr>
        <w:pStyle w:val="FirstParagraph"/>
      </w:pPr>
      <w:r>
        <w:t xml:space="preserve">Клонируем созданный на GitHub репозиторий курса (рис. 13).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3"/>
          <w:p>
            <w:pPr>
              <w:pStyle w:val="Compact"/>
              <w:jc w:val="center"/>
            </w:pPr>
            <w:r>
              <w:drawing>
                <wp:inline>
                  <wp:extent cx="3733800" cy="17451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13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Клонирование репозитория</w:t>
            </w:r>
          </w:p>
          <w:bookmarkEnd w:id="88"/>
        </w:tc>
      </w:tr>
    </w:tbl>
    <w:bookmarkEnd w:id="89"/>
    <w:bookmarkStart w:id="94" w:name="настройка-каталога-курса"/>
    <w:p>
      <w:pPr>
        <w:pStyle w:val="Heading2"/>
      </w:pPr>
      <w:r>
        <w:t xml:space="preserve">4.14 14. Настройка каталога курса</w:t>
      </w:r>
    </w:p>
    <w:p>
      <w:pPr>
        <w:pStyle w:val="FirstParagraph"/>
      </w:pPr>
      <w:r>
        <w:t xml:space="preserve">Инициализируем курс и выполняем подготовку структуры через Makefile (рис. 14).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4"/>
          <w:p>
            <w:pPr>
              <w:pStyle w:val="Compact"/>
              <w:jc w:val="center"/>
            </w:pPr>
            <w:r>
              <w:drawing>
                <wp:inline>
                  <wp:extent cx="3733800" cy="32848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14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каталога курса</w:t>
            </w:r>
          </w:p>
          <w:bookmarkEnd w:id="93"/>
        </w:tc>
      </w:tr>
    </w:tbl>
    <w:bookmarkEnd w:id="94"/>
    <w:bookmarkStart w:id="99" w:name="отправка-изменений-на-github"/>
    <w:p>
      <w:pPr>
        <w:pStyle w:val="Heading2"/>
      </w:pPr>
      <w:r>
        <w:t xml:space="preserve">4.15 15. Отправка изменений на GitHub</w:t>
      </w:r>
    </w:p>
    <w:p>
      <w:pPr>
        <w:pStyle w:val="FirstParagraph"/>
      </w:pPr>
      <w:r>
        <w:t xml:space="preserve">Отправляем первоначальную структуру в удалённый репозиторий (рис. 15).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5"/>
          <w:p>
            <w:pPr>
              <w:pStyle w:val="Compact"/>
              <w:jc w:val="center"/>
            </w:pPr>
            <w:r>
              <w:drawing>
                <wp:inline>
                  <wp:extent cx="3733800" cy="11519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screenshots/15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Push на GitHub</w:t>
            </w:r>
          </w:p>
          <w:bookmarkEnd w:id="98"/>
        </w:tc>
      </w:tr>
    </w:tbl>
    <w:bookmarkEnd w:id="99"/>
    <w:bookmarkStart w:id="104" w:name="инициализация-git-flow"/>
    <w:p>
      <w:pPr>
        <w:pStyle w:val="Heading2"/>
      </w:pPr>
      <w:r>
        <w:t xml:space="preserve">4.16 16. Инициализация Git Flow</w:t>
      </w:r>
    </w:p>
    <w:p>
      <w:pPr>
        <w:pStyle w:val="FirstParagraph"/>
      </w:pPr>
      <w:r>
        <w:t xml:space="preserve">Инициализируем Git Flow в репозитории (рис. 16).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6"/>
          <w:p>
            <w:pPr>
              <w:pStyle w:val="Compact"/>
              <w:jc w:val="center"/>
            </w:pPr>
            <w:r>
              <w:drawing>
                <wp:inline>
                  <wp:extent cx="3733800" cy="11679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screenshots/16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Инициализация Git Flow</w:t>
            </w:r>
          </w:p>
          <w:bookmarkEnd w:id="103"/>
        </w:tc>
      </w:tr>
    </w:tbl>
    <w:bookmarkEnd w:id="104"/>
    <w:bookmarkStart w:id="109" w:name="проверка-веток-и-отправка"/>
    <w:p>
      <w:pPr>
        <w:pStyle w:val="Heading2"/>
      </w:pPr>
      <w:r>
        <w:t xml:space="preserve">4.17 17. Проверка веток и отправка</w:t>
      </w:r>
    </w:p>
    <w:p>
      <w:pPr>
        <w:pStyle w:val="FirstParagraph"/>
      </w:pPr>
      <w:r>
        <w:t xml:space="preserve">Проверяем созданные ветки (develop и master) и отправляем их на GitHub (рис. 17).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7"/>
          <w:p>
            <w:pPr>
              <w:pStyle w:val="Compact"/>
              <w:jc w:val="center"/>
            </w:pPr>
            <w:r>
              <w:drawing>
                <wp:inline>
                  <wp:extent cx="3733800" cy="42379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screenshots/17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веток и push</w:t>
            </w:r>
          </w:p>
          <w:bookmarkEnd w:id="108"/>
        </w:tc>
      </w:tr>
    </w:tbl>
    <w:bookmarkEnd w:id="109"/>
    <w:bookmarkStart w:id="114" w:name="создание-первого-релиза"/>
    <w:p>
      <w:pPr>
        <w:pStyle w:val="Heading2"/>
      </w:pPr>
      <w:r>
        <w:t xml:space="preserve">4.18 18. Создание первого релиза</w:t>
      </w:r>
    </w:p>
    <w:p>
      <w:pPr>
        <w:pStyle w:val="FirstParagraph"/>
      </w:pPr>
      <w:r>
        <w:t xml:space="preserve">Создаём релиз с версией 1.0.0 (рис. 18).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18"/>
          <w:p>
            <w:pPr>
              <w:pStyle w:val="Compact"/>
              <w:jc w:val="center"/>
            </w:pPr>
            <w:r>
              <w:drawing>
                <wp:inline>
                  <wp:extent cx="3733800" cy="56628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screenshots/18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релиза</w:t>
            </w:r>
          </w:p>
          <w:bookmarkEnd w:id="113"/>
        </w:tc>
      </w:tr>
    </w:tbl>
    <w:bookmarkEnd w:id="114"/>
    <w:bookmarkStart w:id="119" w:name="установка-standard-changelog"/>
    <w:p>
      <w:pPr>
        <w:pStyle w:val="Heading2"/>
      </w:pPr>
      <w:r>
        <w:t xml:space="preserve">4.19 19. Установка standard-changelog</w:t>
      </w:r>
    </w:p>
    <w:p>
      <w:pPr>
        <w:pStyle w:val="FirstParagraph"/>
      </w:pPr>
      <w:r>
        <w:t xml:space="preserve">Устанавливаем инструмент для генерации журнала изменений (рис. 19).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19"/>
          <w:p>
            <w:pPr>
              <w:pStyle w:val="Compact"/>
              <w:jc w:val="center"/>
            </w:pPr>
            <w:r>
              <w:drawing>
                <wp:inline>
                  <wp:extent cx="3733800" cy="18705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screenshots/19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standard-changelog</w:t>
            </w:r>
          </w:p>
          <w:bookmarkEnd w:id="118"/>
        </w:tc>
      </w:tr>
    </w:tbl>
    <w:bookmarkEnd w:id="119"/>
    <w:bookmarkStart w:id="124" w:name="создание-changelog"/>
    <w:p>
      <w:pPr>
        <w:pStyle w:val="Heading2"/>
      </w:pPr>
      <w:r>
        <w:t xml:space="preserve">4.20 20. Создание CHANGELOG</w:t>
      </w:r>
    </w:p>
    <w:p>
      <w:pPr>
        <w:pStyle w:val="FirstParagraph"/>
      </w:pPr>
      <w:r>
        <w:t xml:space="preserve">Генерируем файл CHANGELOG.md для первого релиза (рис. 20).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0"/>
          <w:p>
            <w:pPr>
              <w:pStyle w:val="Compact"/>
              <w:jc w:val="center"/>
            </w:pPr>
            <w:r>
              <w:drawing>
                <wp:inline>
                  <wp:extent cx="3733800" cy="18285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screenshots/20.JP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CHANGELOG</w:t>
            </w:r>
          </w:p>
          <w:bookmarkEnd w:id="123"/>
        </w:tc>
      </w:tr>
    </w:tbl>
    <w:bookmarkEnd w:id="124"/>
    <w:bookmarkStart w:id="129" w:name="коммит-changelog"/>
    <w:p>
      <w:pPr>
        <w:pStyle w:val="Heading2"/>
      </w:pPr>
      <w:r>
        <w:t xml:space="preserve">4.21 21. Коммит CHANGELOG</w:t>
      </w:r>
    </w:p>
    <w:p>
      <w:pPr>
        <w:pStyle w:val="FirstParagraph"/>
      </w:pPr>
      <w:r>
        <w:t xml:space="preserve">Добавляем CHANGELOG.md в индекс и создаём коммит (рис. 21).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1"/>
          <w:p>
            <w:pPr>
              <w:pStyle w:val="Compact"/>
              <w:jc w:val="center"/>
            </w:pPr>
            <w:r>
              <w:drawing>
                <wp:inline>
                  <wp:extent cx="3733800" cy="53497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screenshots/21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Коммит CHANGELOG</w:t>
            </w:r>
          </w:p>
          <w:bookmarkEnd w:id="128"/>
        </w:tc>
      </w:tr>
    </w:tbl>
    <w:bookmarkEnd w:id="129"/>
    <w:bookmarkStart w:id="134" w:name="установка-julia"/>
    <w:p>
      <w:pPr>
        <w:pStyle w:val="Heading2"/>
      </w:pPr>
      <w:r>
        <w:t xml:space="preserve">4.22 22. Установка Julia</w:t>
      </w:r>
    </w:p>
    <w:p>
      <w:pPr>
        <w:pStyle w:val="FirstParagraph"/>
      </w:pPr>
      <w:r>
        <w:t xml:space="preserve">Устанавливаем Julia через snap-пакет (рис. 22).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2"/>
          <w:p>
            <w:pPr>
              <w:pStyle w:val="Compact"/>
              <w:jc w:val="center"/>
            </w:pPr>
            <w:r>
              <w:drawing>
                <wp:inline>
                  <wp:extent cx="3733800" cy="20474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screenshots/22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Установка Julia</w:t>
            </w:r>
          </w:p>
          <w:bookmarkEnd w:id="133"/>
        </w:tc>
      </w:tr>
    </w:tbl>
    <w:bookmarkEnd w:id="134"/>
    <w:bookmarkStart w:id="139" w:name="запуск-julia"/>
    <w:p>
      <w:pPr>
        <w:pStyle w:val="Heading2"/>
      </w:pPr>
      <w:r>
        <w:t xml:space="preserve">4.23 23. Запуск Julia</w:t>
      </w:r>
    </w:p>
    <w:p>
      <w:pPr>
        <w:pStyle w:val="FirstParagraph"/>
      </w:pPr>
      <w:r>
        <w:t xml:space="preserve">Подтверждаем установку Julia и переходим в каталог лабораторной работы (рис. 23).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3"/>
          <w:p>
            <w:pPr>
              <w:pStyle w:val="Compact"/>
              <w:jc w:val="center"/>
            </w:pPr>
            <w:r>
              <w:drawing>
                <wp:inline>
                  <wp:extent cx="3733800" cy="1096726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screenshots/23.JP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6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Запуск Julia в каталоге lab01</w:t>
            </w:r>
          </w:p>
          <w:bookmarkEnd w:id="138"/>
        </w:tc>
      </w:tr>
    </w:tbl>
    <w:bookmarkEnd w:id="139"/>
    <w:bookmarkStart w:id="144" w:name="установка-drwatson"/>
    <w:p>
      <w:pPr>
        <w:pStyle w:val="Heading2"/>
      </w:pPr>
      <w:r>
        <w:t xml:space="preserve">4.24 24. Установка DrWatson</w:t>
      </w:r>
    </w:p>
    <w:p>
      <w:pPr>
        <w:pStyle w:val="FirstParagraph"/>
      </w:pPr>
      <w:r>
        <w:t xml:space="preserve">В Julia устанавливаем пакет DrWatson (рис. 24).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4"/>
          <w:p>
            <w:pPr>
              <w:pStyle w:val="Compact"/>
              <w:jc w:val="center"/>
            </w:pPr>
            <w:r>
              <w:drawing>
                <wp:inline>
                  <wp:extent cx="3627120" cy="97536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screenshots/24.JP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120" cy="975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Установка DrWatson</w:t>
            </w:r>
          </w:p>
          <w:bookmarkEnd w:id="143"/>
        </w:tc>
      </w:tr>
    </w:tbl>
    <w:bookmarkEnd w:id="144"/>
    <w:bookmarkStart w:id="149" w:name="инициализация-проекта-drwatson"/>
    <w:p>
      <w:pPr>
        <w:pStyle w:val="Heading2"/>
      </w:pPr>
      <w:r>
        <w:t xml:space="preserve">4.25 25. Инициализация проекта DrWatson</w:t>
      </w:r>
    </w:p>
    <w:p>
      <w:pPr>
        <w:pStyle w:val="FirstParagraph"/>
      </w:pPr>
      <w:r>
        <w:t xml:space="preserve">Создаём структуру проекта DrWatson с именем</w:t>
      </w:r>
      <w:r>
        <w:t xml:space="preserve"> </w:t>
      </w:r>
      <w:r>
        <w:t xml:space="preserve">“project”</w:t>
      </w:r>
      <w:r>
        <w:t xml:space="preserve"> </w:t>
      </w:r>
      <w:r>
        <w:t xml:space="preserve">(рис. 25).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5"/>
          <w:p>
            <w:pPr>
              <w:pStyle w:val="Compact"/>
              <w:jc w:val="center"/>
            </w:pPr>
            <w:r>
              <w:drawing>
                <wp:inline>
                  <wp:extent cx="3733800" cy="54436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screenshots/25.JP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Инициализация проекта DrWatson</w:t>
            </w:r>
          </w:p>
          <w:bookmarkEnd w:id="148"/>
        </w:tc>
      </w:tr>
    </w:tbl>
    <w:bookmarkEnd w:id="149"/>
    <w:bookmarkStart w:id="154" w:name="установка-пакетов-julia"/>
    <w:p>
      <w:pPr>
        <w:pStyle w:val="Heading2"/>
      </w:pPr>
      <w:r>
        <w:t xml:space="preserve">4.26 26. Установка пакетов Julia</w:t>
      </w:r>
    </w:p>
    <w:p>
      <w:pPr>
        <w:pStyle w:val="FirstParagraph"/>
      </w:pPr>
      <w:r>
        <w:t xml:space="preserve">Устанавливаем все необходимые пакеты для работы (рис. 26).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26"/>
          <w:p>
            <w:pPr>
              <w:pStyle w:val="Compact"/>
              <w:jc w:val="center"/>
            </w:pPr>
            <w:r>
              <w:drawing>
                <wp:inline>
                  <wp:extent cx="3733800" cy="94603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screenshots/26.JP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Установка пакетов Julia</w:t>
            </w:r>
          </w:p>
          <w:bookmarkEnd w:id="153"/>
        </w:tc>
      </w:tr>
    </w:tbl>
    <w:bookmarkEnd w:id="154"/>
    <w:bookmarkStart w:id="159" w:name="создание-тестового-скрипта"/>
    <w:p>
      <w:pPr>
        <w:pStyle w:val="Heading2"/>
      </w:pPr>
      <w:r>
        <w:t xml:space="preserve">4.27 27. Создание тестового скрипта</w:t>
      </w:r>
    </w:p>
    <w:p>
      <w:pPr>
        <w:pStyle w:val="FirstParagraph"/>
      </w:pPr>
      <w:r>
        <w:t xml:space="preserve">Создаём файл test_setup.jl для проверки установки (рис. 27).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27"/>
          <w:p>
            <w:pPr>
              <w:pStyle w:val="Compact"/>
              <w:jc w:val="center"/>
            </w:pPr>
            <w:r>
              <w:drawing>
                <wp:inline>
                  <wp:extent cx="3733800" cy="268096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screenshots/27.JP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Создание тестового скрипта</w:t>
            </w:r>
          </w:p>
          <w:bookmarkEnd w:id="158"/>
        </w:tc>
      </w:tr>
    </w:tbl>
    <w:bookmarkEnd w:id="159"/>
    <w:bookmarkStart w:id="164" w:name="запуск-тестового-скрипта"/>
    <w:p>
      <w:pPr>
        <w:pStyle w:val="Heading2"/>
      </w:pPr>
      <w:r>
        <w:t xml:space="preserve">4.28 28. Запуск тестового скрипта</w:t>
      </w:r>
    </w:p>
    <w:p>
      <w:pPr>
        <w:pStyle w:val="FirstParagraph"/>
      </w:pPr>
      <w:r>
        <w:t xml:space="preserve">Запускаем тестовый скрипт для проверки установки пакетов (рис. 28).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28"/>
          <w:p>
            <w:pPr>
              <w:pStyle w:val="Compact"/>
              <w:jc w:val="center"/>
            </w:pPr>
            <w:r>
              <w:drawing>
                <wp:inline>
                  <wp:extent cx="3733800" cy="833274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screenshots/28.JP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Запуск тестового скрипта</w:t>
            </w:r>
          </w:p>
          <w:bookmarkEnd w:id="163"/>
        </w:tc>
      </w:tr>
    </w:tbl>
    <w:bookmarkEnd w:id="164"/>
    <w:bookmarkStart w:id="165" w:name="Xc0a7c0d959f2b421814030c2a9db2547399cf2f"/>
    <w:p>
      <w:pPr>
        <w:pStyle w:val="Heading2"/>
      </w:pPr>
      <w:r>
        <w:t xml:space="preserve">4.29 30. Реализация модели экспоненциального роста</w:t>
      </w:r>
    </w:p>
    <w:p>
      <w:pPr>
        <w:pStyle w:val="FirstParagraph"/>
      </w:pPr>
      <w:r>
        <w:t xml:space="preserve">Далее представлен код модели экспоненциального роста, реализованный в стиле литературного программирования. Этот код был создан в файле</w:t>
      </w:r>
      <w:r>
        <w:t xml:space="preserve"> </w:t>
      </w:r>
      <w:r>
        <w:rPr>
          <w:rStyle w:val="VerbatimChar"/>
        </w:rPr>
        <w:t xml:space="preserve">scripts/02_exponential_growth.jl</w:t>
      </w:r>
      <w:r>
        <w:t xml:space="preserve"> </w:t>
      </w:r>
      <w:r>
        <w:t xml:space="preserve">и автоматически преобразован с помощью Literate.jl в формат Quarto.</w:t>
      </w:r>
    </w:p>
    <w:bookmarkEnd w:id="165"/>
    <w:bookmarkEnd w:id="166"/>
    <w:bookmarkStart w:id="16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было подготовлено рабочее пространство для курса имитационного моделирования, выполнена настройка всех необходимых инструментов:</w:t>
      </w:r>
    </w:p>
    <w:p>
      <w:pPr>
        <w:pStyle w:val="Compact"/>
        <w:numPr>
          <w:ilvl w:val="0"/>
          <w:numId w:val="1003"/>
        </w:numPr>
      </w:pPr>
      <w:r>
        <w:t xml:space="preserve">Установлены и настроены Git, Git Flow, создан SSH-ключ для подключения к GitHub;</w:t>
      </w:r>
    </w:p>
    <w:p>
      <w:pPr>
        <w:pStyle w:val="Compact"/>
        <w:numPr>
          <w:ilvl w:val="0"/>
          <w:numId w:val="1003"/>
        </w:numPr>
      </w:pPr>
      <w:r>
        <w:t xml:space="preserve">Установлены Node.js, npm, yarn, pnpm для работы с инструментами форматирования коммитов;</w:t>
      </w:r>
    </w:p>
    <w:p>
      <w:pPr>
        <w:pStyle w:val="Compact"/>
        <w:numPr>
          <w:ilvl w:val="0"/>
          <w:numId w:val="1003"/>
        </w:numPr>
      </w:pPr>
      <w:r>
        <w:t xml:space="preserve">Установлен и настроен язык программирования Julia;</w:t>
      </w:r>
    </w:p>
    <w:p>
      <w:pPr>
        <w:pStyle w:val="Compact"/>
        <w:numPr>
          <w:ilvl w:val="0"/>
          <w:numId w:val="1003"/>
        </w:numPr>
      </w:pPr>
      <w:r>
        <w:t xml:space="preserve">Создан проект DrWatson и установлены необходимые пакеты;</w:t>
      </w:r>
    </w:p>
    <w:p>
      <w:pPr>
        <w:pStyle w:val="Compact"/>
        <w:numPr>
          <w:ilvl w:val="0"/>
          <w:numId w:val="1003"/>
        </w:numPr>
      </w:pPr>
      <w:r>
        <w:t xml:space="preserve">Реализована и задокументирована в стиле литературного программирования модель экспоненциального роста.</w:t>
      </w:r>
    </w:p>
    <w:p>
      <w:pPr>
        <w:pStyle w:val="FirstParagraph"/>
      </w:pPr>
      <w:r>
        <w:t xml:space="preserve">Полученные навыки являются основой для дальнейшего изучения различных подходов к имитационному моделированию: системно-динамического, агентного, дискретно-событийного и сетей Петри.</w:t>
      </w:r>
    </w:p>
    <w:bookmarkEnd w:id="167"/>
    <w:bookmarkStart w:id="169" w:name="список-литературы"/>
    <w:p>
      <w:pPr>
        <w:pStyle w:val="Heading1"/>
      </w:pPr>
      <w:r>
        <w:t xml:space="preserve">Список литературы</w:t>
      </w:r>
    </w:p>
    <w:bookmarkStart w:id="168" w:name="refs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80" Target="media/rId80.jpg" /><Relationship Type="http://schemas.openxmlformats.org/officeDocument/2006/relationships/image" Id="rId85" Target="media/rId85.jpg" /><Relationship Type="http://schemas.openxmlformats.org/officeDocument/2006/relationships/image" Id="rId90" Target="media/rId90.jpg" /><Relationship Type="http://schemas.openxmlformats.org/officeDocument/2006/relationships/image" Id="rId95" Target="media/rId95.jpg" /><Relationship Type="http://schemas.openxmlformats.org/officeDocument/2006/relationships/image" Id="rId100" Target="media/rId100.jpg" /><Relationship Type="http://schemas.openxmlformats.org/officeDocument/2006/relationships/image" Id="rId105" Target="media/rId105.jpg" /><Relationship Type="http://schemas.openxmlformats.org/officeDocument/2006/relationships/image" Id="rId110" Target="media/rId110.jpg" /><Relationship Type="http://schemas.openxmlformats.org/officeDocument/2006/relationships/image" Id="rId115" Target="media/rId115.jpg" /><Relationship Type="http://schemas.openxmlformats.org/officeDocument/2006/relationships/image" Id="rId30" Target="media/rId30.jpg" /><Relationship Type="http://schemas.openxmlformats.org/officeDocument/2006/relationships/image" Id="rId120" Target="media/rId120.jpg" /><Relationship Type="http://schemas.openxmlformats.org/officeDocument/2006/relationships/image" Id="rId125" Target="media/rId125.jpg" /><Relationship Type="http://schemas.openxmlformats.org/officeDocument/2006/relationships/image" Id="rId130" Target="media/rId130.jpg" /><Relationship Type="http://schemas.openxmlformats.org/officeDocument/2006/relationships/image" Id="rId135" Target="media/rId135.jpg" /><Relationship Type="http://schemas.openxmlformats.org/officeDocument/2006/relationships/image" Id="rId140" Target="media/rId140.jpg" /><Relationship Type="http://schemas.openxmlformats.org/officeDocument/2006/relationships/image" Id="rId145" Target="media/rId145.jpg" /><Relationship Type="http://schemas.openxmlformats.org/officeDocument/2006/relationships/image" Id="rId150" Target="media/rId150.jpg" /><Relationship Type="http://schemas.openxmlformats.org/officeDocument/2006/relationships/image" Id="rId155" Target="media/rId155.jpg" /><Relationship Type="http://schemas.openxmlformats.org/officeDocument/2006/relationships/image" Id="rId160" Target="media/rId160.jpg" /><Relationship Type="http://schemas.openxmlformats.org/officeDocument/2006/relationships/image" Id="rId35" Target="media/rId35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50" Target="media/rId50.jpg" /><Relationship Type="http://schemas.openxmlformats.org/officeDocument/2006/relationships/image" Id="rId55" Target="media/rId55.jpg" /><Relationship Type="http://schemas.openxmlformats.org/officeDocument/2006/relationships/image" Id="rId60" Target="media/rId60.jpg" /><Relationship Type="http://schemas.openxmlformats.org/officeDocument/2006/relationships/image" Id="rId65" Target="media/rId6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Мария Улитина</dc:creator>
  <dc:language>ru-RU</dc:language>
  <cp:keywords/>
  <dcterms:created xsi:type="dcterms:W3CDTF">2026-05-30T20:10:13Z</dcterms:created>
  <dcterms:modified xsi:type="dcterms:W3CDTF">2026-05-30T20:10:13Z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Реализация основных моделей в дискретно-событийном подходе</vt:lpwstr>
  </property>
  <property fmtid="{D5CDD505-2E9C-101B-9397-08002B2CF9AE}" pid="14" name="toc-title">
    <vt:lpwstr>Содержание</vt:lpwstr>
  </property>
</Properties>
</file>