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Этап1</w:t>
      </w:r>
    </w:p>
    <w:p>
      <w:pPr>
        <w:pStyle w:val="Subtitle"/>
      </w:pPr>
      <w:r>
        <w:t xml:space="preserve">НКАбд-01-23</w:t>
      </w:r>
    </w:p>
    <w:p>
      <w:pPr>
        <w:pStyle w:val="Author"/>
      </w:pPr>
      <w:r>
        <w:t xml:space="preserve">Улитина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Максимовна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65" w:name="выполнение-второго-этапа-внешнего-курса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второго этапа внешнего курса</w:t>
      </w:r>
    </w:p>
    <w:p>
      <w:pPr>
        <w:pStyle w:val="FirstParagraph"/>
      </w:pPr>
      <w:r>
        <w:t xml:space="preserve">Нет, нельзя (рис. 1).</w:t>
      </w:r>
    </w:p>
    <w:p>
      <w:pPr>
        <w:pStyle w:val="CaptionedFigure"/>
      </w:pPr>
      <w:r>
        <w:drawing>
          <wp:inline>
            <wp:extent cx="3733800" cy="2685041"/>
            <wp:effectExtent b="0" l="0" r="0" t="0"/>
            <wp:docPr descr="диск" title="" id="21" name="Picture"/>
            <a:graphic>
              <a:graphicData uri="http://schemas.openxmlformats.org/drawingml/2006/picture">
                <pic:pic>
                  <pic:nvPicPr>
                    <pic:cNvPr descr="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5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диск</w:t>
      </w:r>
    </w:p>
    <w:p>
      <w:pPr>
        <w:pStyle w:val="BodyText"/>
      </w:pPr>
      <w:r>
        <w:t xml:space="preserve">Шифрование диска основано на симметричном шифровании (рис. 2).</w:t>
      </w:r>
    </w:p>
    <w:p>
      <w:pPr>
        <w:pStyle w:val="CaptionedFigure"/>
      </w:pPr>
      <w:r>
        <w:drawing>
          <wp:inline>
            <wp:extent cx="3733800" cy="3428186"/>
            <wp:effectExtent b="0" l="0" r="0" t="0"/>
            <wp:docPr descr="диск" title="" id="24" name="Picture"/>
            <a:graphic>
              <a:graphicData uri="http://schemas.openxmlformats.org/drawingml/2006/picture">
                <pic:pic>
                  <pic:nvPicPr>
                    <pic:cNvPr descr="image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8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диск</w:t>
      </w:r>
    </w:p>
    <w:p>
      <w:pPr>
        <w:pStyle w:val="BodyText"/>
      </w:pPr>
      <w:r>
        <w:t xml:space="preserve">Пррограммы, с помощью которых можно зашифровать диск(рис. 3).</w:t>
      </w:r>
    </w:p>
    <w:p>
      <w:pPr>
        <w:pStyle w:val="CaptionedFigure"/>
      </w:pPr>
      <w:r>
        <w:drawing>
          <wp:inline>
            <wp:extent cx="3733800" cy="2453963"/>
            <wp:effectExtent b="0" l="0" r="0" t="0"/>
            <wp:docPr descr="шифрование" title="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3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шифрование</w:t>
      </w:r>
    </w:p>
    <w:p>
      <w:pPr>
        <w:pStyle w:val="BodyText"/>
      </w:pPr>
      <w:r>
        <w:t xml:space="preserve">Нет слов, разный регистр, специальные символы(рис. 4).</w:t>
      </w:r>
    </w:p>
    <w:p>
      <w:pPr>
        <w:pStyle w:val="CaptionedFigure"/>
      </w:pPr>
      <w:r>
        <w:drawing>
          <wp:inline>
            <wp:extent cx="3733800" cy="2548035"/>
            <wp:effectExtent b="0" l="0" r="0" t="0"/>
            <wp:docPr descr="пароль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8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пароль</w:t>
      </w:r>
    </w:p>
    <w:p>
      <w:pPr>
        <w:pStyle w:val="BodyText"/>
      </w:pPr>
      <w:r>
        <w:t xml:space="preserve">Остальные способы небезопасны(рис. 5).</w:t>
      </w:r>
    </w:p>
    <w:p>
      <w:pPr>
        <w:pStyle w:val="CaptionedFigure"/>
      </w:pPr>
      <w:r>
        <w:drawing>
          <wp:inline>
            <wp:extent cx="3733800" cy="3576862"/>
            <wp:effectExtent b="0" l="0" r="0" t="0"/>
            <wp:docPr descr="пароль" title="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6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пароль</w:t>
      </w:r>
    </w:p>
    <w:p>
      <w:pPr>
        <w:pStyle w:val="BodyText"/>
      </w:pPr>
      <w:r>
        <w:t xml:space="preserve">Для защиты от автоматизированных атак(рис. 6).</w:t>
      </w:r>
    </w:p>
    <w:p>
      <w:pPr>
        <w:pStyle w:val="CaptionedFigure"/>
      </w:pPr>
      <w:r>
        <w:drawing>
          <wp:inline>
            <wp:extent cx="3733800" cy="1816088"/>
            <wp:effectExtent b="0" l="0" r="0" t="0"/>
            <wp:docPr descr="капча" title="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6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капча</w:t>
      </w:r>
    </w:p>
    <w:p>
      <w:pPr>
        <w:pStyle w:val="BodyText"/>
      </w:pPr>
      <w:r>
        <w:t xml:space="preserve">Повышение безопасности(рис. 7).</w:t>
      </w:r>
    </w:p>
    <w:p>
      <w:pPr>
        <w:pStyle w:val="CaptionedFigure"/>
      </w:pPr>
      <w:r>
        <w:drawing>
          <wp:inline>
            <wp:extent cx="3733800" cy="2660813"/>
            <wp:effectExtent b="0" l="0" r="0" t="0"/>
            <wp:docPr descr="хэширование" title="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0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хэширование</w:t>
      </w:r>
    </w:p>
    <w:p>
      <w:pPr>
        <w:pStyle w:val="BodyText"/>
      </w:pPr>
      <w:r>
        <w:t xml:space="preserve">Нет, не поможет(рис. 8).</w:t>
      </w:r>
    </w:p>
    <w:p>
      <w:pPr>
        <w:pStyle w:val="CaptionedFigure"/>
      </w:pPr>
      <w:r>
        <w:drawing>
          <wp:inline>
            <wp:extent cx="3733800" cy="1396192"/>
            <wp:effectExtent b="0" l="0" r="0" t="0"/>
            <wp:docPr descr="соль" title="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6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соль</w:t>
      </w:r>
    </w:p>
    <w:p>
      <w:pPr>
        <w:pStyle w:val="BodyText"/>
      </w:pPr>
      <w:r>
        <w:t xml:space="preserve">Все меры помогут(рис. 9).</w:t>
      </w:r>
    </w:p>
    <w:p>
      <w:pPr>
        <w:pStyle w:val="CaptionedFigure"/>
      </w:pPr>
      <w:r>
        <w:drawing>
          <wp:inline>
            <wp:extent cx="3733800" cy="2279583"/>
            <wp:effectExtent b="0" l="0" r="0" t="0"/>
            <wp:docPr descr="перебор" title="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9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перебор</w:t>
      </w:r>
    </w:p>
    <w:p>
      <w:pPr>
        <w:pStyle w:val="BodyText"/>
      </w:pPr>
      <w:r>
        <w:t xml:space="preserve">Фишинговые ссылки (рис. 10).</w:t>
      </w:r>
    </w:p>
    <w:p>
      <w:pPr>
        <w:pStyle w:val="CaptionedFigure"/>
      </w:pPr>
      <w:r>
        <w:drawing>
          <wp:inline>
            <wp:extent cx="3733800" cy="2185820"/>
            <wp:effectExtent b="0" l="0" r="0" t="0"/>
            <wp:docPr descr="фишинг" title="" id="48" name="Picture"/>
            <a:graphic>
              <a:graphicData uri="http://schemas.openxmlformats.org/drawingml/2006/picture">
                <pic:pic>
                  <pic:nvPicPr>
                    <pic:cNvPr descr="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5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фишинг</w:t>
      </w:r>
    </w:p>
    <w:p>
      <w:pPr>
        <w:pStyle w:val="BodyText"/>
      </w:pPr>
      <w:r>
        <w:t xml:space="preserve">Да, его могли взломать(рис. 11).</w:t>
      </w:r>
    </w:p>
    <w:p>
      <w:pPr>
        <w:pStyle w:val="CaptionedFigure"/>
      </w:pPr>
      <w:r>
        <w:drawing>
          <wp:inline>
            <wp:extent cx="3733800" cy="2555554"/>
            <wp:effectExtent b="0" l="0" r="0" t="0"/>
            <wp:docPr descr="фишинг" title="" id="51" name="Picture"/>
            <a:graphic>
              <a:graphicData uri="http://schemas.openxmlformats.org/drawingml/2006/picture">
                <pic:pic>
                  <pic:nvPicPr>
                    <pic:cNvPr descr="image/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5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фишинг</w:t>
      </w:r>
    </w:p>
    <w:p>
      <w:pPr>
        <w:pStyle w:val="BodyText"/>
      </w:pPr>
      <w:r>
        <w:t xml:space="preserve">Подмена адреса отправителя(рис. 12).</w:t>
      </w:r>
    </w:p>
    <w:p>
      <w:pPr>
        <w:pStyle w:val="CaptionedFigure"/>
      </w:pPr>
      <w:r>
        <w:drawing>
          <wp:inline>
            <wp:extent cx="3733800" cy="3727132"/>
            <wp:effectExtent b="0" l="0" r="0" t="0"/>
            <wp:docPr descr="спуфинг" title="" id="54" name="Picture"/>
            <a:graphic>
              <a:graphicData uri="http://schemas.openxmlformats.org/drawingml/2006/picture">
                <pic:pic>
                  <pic:nvPicPr>
                    <pic:cNvPr descr="image/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7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спуфинг</w:t>
      </w:r>
    </w:p>
    <w:p>
      <w:pPr>
        <w:pStyle w:val="BodyText"/>
      </w:pPr>
      <w:r>
        <w:t xml:space="preserve">Маскируется под легитимную программу(рис. 13).</w:t>
      </w:r>
    </w:p>
    <w:p>
      <w:pPr>
        <w:pStyle w:val="CaptionedFigure"/>
      </w:pPr>
      <w:r>
        <w:drawing>
          <wp:inline>
            <wp:extent cx="3733800" cy="2876035"/>
            <wp:effectExtent b="0" l="0" r="0" t="0"/>
            <wp:docPr descr="троян" title="" id="57" name="Picture"/>
            <a:graphic>
              <a:graphicData uri="http://schemas.openxmlformats.org/drawingml/2006/picture">
                <pic:pic>
                  <pic:nvPicPr>
                    <pic:cNvPr descr="image/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6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троян</w:t>
      </w:r>
    </w:p>
    <w:p>
      <w:pPr>
        <w:pStyle w:val="BodyText"/>
      </w:pPr>
      <w:r>
        <w:t xml:space="preserve">При генерации первого сообщения (рис. 14).</w:t>
      </w:r>
    </w:p>
    <w:p>
      <w:pPr>
        <w:pStyle w:val="CaptionedFigure"/>
      </w:pPr>
      <w:r>
        <w:drawing>
          <wp:inline>
            <wp:extent cx="3733800" cy="2535467"/>
            <wp:effectExtent b="0" l="0" r="0" t="0"/>
            <wp:docPr descr="signal" title="" id="60" name="Picture"/>
            <a:graphic>
              <a:graphicData uri="http://schemas.openxmlformats.org/drawingml/2006/picture">
                <pic:pic>
                  <pic:nvPicPr>
                    <pic:cNvPr descr="image/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5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signal</w:t>
      </w:r>
    </w:p>
    <w:p>
      <w:pPr>
        <w:pStyle w:val="BodyText"/>
      </w:pPr>
      <w:r>
        <w:t xml:space="preserve">Передается в зашифрованном виде(рис. 15).</w:t>
      </w:r>
    </w:p>
    <w:p>
      <w:pPr>
        <w:pStyle w:val="CaptionedFigure"/>
      </w:pPr>
      <w:r>
        <w:drawing>
          <wp:inline>
            <wp:extent cx="3733800" cy="2226390"/>
            <wp:effectExtent b="0" l="0" r="0" t="0"/>
            <wp:docPr descr="сквозное шифрование" title="" id="63" name="Picture"/>
            <a:graphic>
              <a:graphicData uri="http://schemas.openxmlformats.org/drawingml/2006/picture">
                <pic:pic>
                  <pic:nvPicPr>
                    <pic:cNvPr descr="image/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6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сквозное шифрование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Выволнен второй этап.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Этап1</dc:title>
  <dc:creator>Улитина Мария Максимовна</dc:creator>
  <dc:language>ru-RU</dc:language>
  <cp:keywords/>
  <dcterms:created xsi:type="dcterms:W3CDTF">2025-05-17T18:58:26Z</dcterms:created>
  <dcterms:modified xsi:type="dcterms:W3CDTF">2025-05-17T18:58:26Z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НКАбд-01-23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