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Этап3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выполнение-второго-этапа-внешнего-курс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второго этапа внешнего курса</w:t>
      </w:r>
    </w:p>
    <w:p>
      <w:pPr>
        <w:pStyle w:val="FirstParagraph"/>
      </w:pPr>
      <w:r>
        <w:t xml:space="preserve">Имеют пару ключей (рис. 1).</w:t>
      </w:r>
    </w:p>
    <w:p>
      <w:pPr>
        <w:pStyle w:val="CaptionedFigure"/>
      </w:pPr>
      <w:r>
        <w:drawing>
          <wp:inline>
            <wp:extent cx="3733800" cy="2035935"/>
            <wp:effectExtent b="0" l="0" r="0" t="0"/>
            <wp:docPr descr="ключи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ключи</w:t>
      </w:r>
    </w:p>
    <w:p>
      <w:pPr>
        <w:pStyle w:val="BodyText"/>
      </w:pPr>
      <w:r>
        <w:t xml:space="preserve">Свойсва хэш-функции(рис. 2).</w:t>
      </w:r>
    </w:p>
    <w:p>
      <w:pPr>
        <w:pStyle w:val="CaptionedFigure"/>
      </w:pPr>
      <w:r>
        <w:drawing>
          <wp:inline>
            <wp:extent cx="3733800" cy="2450188"/>
            <wp:effectExtent b="0" l="0" r="0" t="0"/>
            <wp:docPr descr="хэш-функция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хэш-функция</w:t>
      </w:r>
    </w:p>
    <w:p>
      <w:pPr>
        <w:pStyle w:val="BodyText"/>
      </w:pPr>
      <w:r>
        <w:t xml:space="preserve">Алгоритмы цифровой функции (рис. 3).</w:t>
      </w:r>
    </w:p>
    <w:p>
      <w:pPr>
        <w:pStyle w:val="CaptionedFigure"/>
      </w:pPr>
      <w:r>
        <w:drawing>
          <wp:inline>
            <wp:extent cx="3733800" cy="2294262"/>
            <wp:effectExtent b="0" l="0" r="0" t="0"/>
            <wp:docPr descr="функция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</w:t>
      </w:r>
    </w:p>
    <w:p>
      <w:pPr>
        <w:pStyle w:val="BodyText"/>
      </w:pPr>
      <w:r>
        <w:t xml:space="preserve">Код аутентификации (рис. 4).</w:t>
      </w:r>
    </w:p>
    <w:p>
      <w:pPr>
        <w:pStyle w:val="CaptionedFigure"/>
      </w:pPr>
      <w:r>
        <w:drawing>
          <wp:inline>
            <wp:extent cx="3733800" cy="3343383"/>
            <wp:effectExtent b="0" l="0" r="0" t="0"/>
            <wp:docPr descr="код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</w:t>
      </w:r>
    </w:p>
    <w:p>
      <w:pPr>
        <w:pStyle w:val="BodyText"/>
      </w:pPr>
      <w:r>
        <w:t xml:space="preserve">Ключи Диффи-хеллмэна(рис. 5).</w:t>
      </w:r>
    </w:p>
    <w:p>
      <w:pPr>
        <w:pStyle w:val="CaptionedFigure"/>
      </w:pPr>
      <w:r>
        <w:drawing>
          <wp:inline>
            <wp:extent cx="3733800" cy="2680423"/>
            <wp:effectExtent b="0" l="0" r="0" t="0"/>
            <wp:docPr descr="ключи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ключи</w:t>
      </w:r>
    </w:p>
    <w:p>
      <w:pPr>
        <w:pStyle w:val="BodyText"/>
      </w:pPr>
      <w:r>
        <w:t xml:space="preserve">Электронная цифровая подпись(рис. 6).</w:t>
      </w:r>
    </w:p>
    <w:p>
      <w:pPr>
        <w:pStyle w:val="CaptionedFigure"/>
      </w:pPr>
      <w:r>
        <w:drawing>
          <wp:inline>
            <wp:extent cx="3733800" cy="2849636"/>
            <wp:effectExtent b="0" l="0" r="0" t="0"/>
            <wp:docPr descr="подпись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подпись</w:t>
      </w:r>
    </w:p>
    <w:p>
      <w:pPr>
        <w:pStyle w:val="BodyText"/>
      </w:pPr>
      <w:r>
        <w:t xml:space="preserve">Алгоритм верификации (рис. 7).</w:t>
      </w:r>
    </w:p>
    <w:p>
      <w:pPr>
        <w:pStyle w:val="CaptionedFigure"/>
      </w:pPr>
      <w:r>
        <w:drawing>
          <wp:inline>
            <wp:extent cx="3733800" cy="2761715"/>
            <wp:effectExtent b="0" l="0" r="0" t="0"/>
            <wp:docPr descr="алгоритм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алгоритм</w:t>
      </w:r>
    </w:p>
    <w:p>
      <w:pPr>
        <w:pStyle w:val="BodyText"/>
      </w:pPr>
      <w:r>
        <w:t xml:space="preserve">Не обеспечивает конфиденциальность(рис. 8).</w:t>
      </w:r>
    </w:p>
    <w:p>
      <w:pPr>
        <w:pStyle w:val="CaptionedFigure"/>
      </w:pPr>
      <w:r>
        <w:drawing>
          <wp:inline>
            <wp:extent cx="3733800" cy="3430547"/>
            <wp:effectExtent b="0" l="0" r="0" t="0"/>
            <wp:docPr descr="подпись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подпись</w:t>
      </w:r>
    </w:p>
    <w:p>
      <w:pPr>
        <w:pStyle w:val="BodyText"/>
      </w:pPr>
      <w:r>
        <w:t xml:space="preserve">Усиленная квалифицированная(рис. 9).</w:t>
      </w:r>
    </w:p>
    <w:p>
      <w:pPr>
        <w:pStyle w:val="CaptionedFigure"/>
      </w:pPr>
      <w:r>
        <w:drawing>
          <wp:inline>
            <wp:extent cx="3733800" cy="1806791"/>
            <wp:effectExtent b="0" l="0" r="0" t="0"/>
            <wp:docPr descr="подпись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подпись</w:t>
      </w:r>
    </w:p>
    <w:p>
      <w:pPr>
        <w:pStyle w:val="BodyText"/>
      </w:pPr>
      <w:r>
        <w:t xml:space="preserve">Организация(рис. 10).</w:t>
      </w:r>
    </w:p>
    <w:p>
      <w:pPr>
        <w:pStyle w:val="CaptionedFigure"/>
      </w:pPr>
      <w:r>
        <w:drawing>
          <wp:inline>
            <wp:extent cx="3733800" cy="1595641"/>
            <wp:effectExtent b="0" l="0" r="0" t="0"/>
            <wp:docPr descr="организация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организация</w:t>
      </w:r>
    </w:p>
    <w:p>
      <w:pPr>
        <w:pStyle w:val="BodyText"/>
      </w:pPr>
      <w:r>
        <w:t xml:space="preserve">Платежные системы МИР и Мастер Кард(рис. 11).</w:t>
      </w:r>
    </w:p>
    <w:p>
      <w:pPr>
        <w:pStyle w:val="CaptionedFigure"/>
      </w:pPr>
      <w:r>
        <w:drawing>
          <wp:inline>
            <wp:extent cx="3733800" cy="3561812"/>
            <wp:effectExtent b="0" l="0" r="0" t="0"/>
            <wp:docPr descr="платежные системы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платежные системы</w:t>
      </w:r>
    </w:p>
    <w:p>
      <w:pPr>
        <w:pStyle w:val="BodyText"/>
      </w:pPr>
      <w:r>
        <w:t xml:space="preserve">МФ аутентификация(рис. 12).</w:t>
      </w:r>
    </w:p>
    <w:p>
      <w:pPr>
        <w:pStyle w:val="CaptionedFigure"/>
      </w:pPr>
      <w:r>
        <w:drawing>
          <wp:inline>
            <wp:extent cx="3733800" cy="2490495"/>
            <wp:effectExtent b="0" l="0" r="0" t="0"/>
            <wp:docPr descr="примеры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примеры</w:t>
      </w:r>
    </w:p>
    <w:p>
      <w:pPr>
        <w:pStyle w:val="BodyText"/>
      </w:pPr>
      <w:r>
        <w:t xml:space="preserve">Гдеиспользуется мфа(рис. 13).</w:t>
      </w:r>
    </w:p>
    <w:p>
      <w:pPr>
        <w:pStyle w:val="CaptionedFigure"/>
      </w:pPr>
      <w:r>
        <w:drawing>
          <wp:inline>
            <wp:extent cx="3733800" cy="2283168"/>
            <wp:effectExtent b="0" l="0" r="0" t="0"/>
            <wp:docPr descr="мфа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мфа</w:t>
      </w:r>
    </w:p>
    <w:p>
      <w:pPr>
        <w:pStyle w:val="BodyText"/>
      </w:pPr>
      <w:r>
        <w:t xml:space="preserve">Сложность нахождения прообраза (рис. 14).</w:t>
      </w:r>
    </w:p>
    <w:p>
      <w:pPr>
        <w:pStyle w:val="CaptionedFigure"/>
      </w:pPr>
      <w:r>
        <w:drawing>
          <wp:inline>
            <wp:extent cx="3733800" cy="2225072"/>
            <wp:effectExtent b="0" l="0" r="0" t="0"/>
            <wp:docPr descr="хэш-функция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хэш-функция</w:t>
      </w:r>
    </w:p>
    <w:p>
      <w:pPr>
        <w:pStyle w:val="BodyText"/>
      </w:pPr>
      <w:r>
        <w:t xml:space="preserve">консенсус(рис. 15).</w:t>
      </w:r>
    </w:p>
    <w:p>
      <w:pPr>
        <w:pStyle w:val="CaptionedFigure"/>
      </w:pPr>
      <w:r>
        <w:drawing>
          <wp:inline>
            <wp:extent cx="3733800" cy="2351314"/>
            <wp:effectExtent b="0" l="0" r="0" t="0"/>
            <wp:docPr descr="консенсус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консенсус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Выволнен третий этап.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Этап3</dc:title>
  <dc:creator>Улитина Мария Максимовна</dc:creator>
  <dc:language>ru-RU</dc:language>
  <cp:keywords/>
  <dcterms:created xsi:type="dcterms:W3CDTF">2025-05-17T19:04:55Z</dcterms:created>
  <dcterms:modified xsi:type="dcterms:W3CDTF">2025-05-17T19:04:55Z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