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НКАбд-06-23</w:t>
      </w:r>
    </w:p>
    <w:p>
      <w:pPr>
        <w:pStyle w:val="Author"/>
      </w:pPr>
      <w:r>
        <w:t xml:space="preserve">Улитина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Настроить виртуальную машину. Установить дистрибутив Linux Fedora.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создание-виртуальной-маш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виртуальной машины</w:t>
      </w:r>
    </w:p>
    <w:p>
      <w:pPr>
        <w:pStyle w:val="FirstParagraph"/>
      </w:pPr>
      <w:r>
        <w:t xml:space="preserve">Создадим виртуальную машину в VirtualBox, настроим ее выделим память и вычислительные ресурсы (рис. 1)</w:t>
      </w:r>
    </w:p>
    <w:p>
      <w:pPr>
        <w:pStyle w:val="CaptionedFigure"/>
      </w:pPr>
      <w:r>
        <w:drawing>
          <wp:inline>
            <wp:extent cx="3733800" cy="2154338"/>
            <wp:effectExtent b="0" l="0" r="0" t="0"/>
            <wp:docPr descr="Создание виртуальной машин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4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виртуальной машины</w:t>
      </w:r>
    </w:p>
    <w:bookmarkEnd w:id="25"/>
    <w:bookmarkStart w:id="32" w:name="установка-операционной-систе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операционной системы</w:t>
      </w:r>
    </w:p>
    <w:p>
      <w:pPr>
        <w:pStyle w:val="FirstParagraph"/>
      </w:pPr>
      <w:r>
        <w:t xml:space="preserve">Установим дистрибутив Linux Fedora, выберем язык, другие настройки, а также введем данные пользователя (рис. 2)</w:t>
      </w:r>
    </w:p>
    <w:p>
      <w:pPr>
        <w:pStyle w:val="CaptionedFigure"/>
      </w:pPr>
      <w:r>
        <w:drawing>
          <wp:inline>
            <wp:extent cx="3733800" cy="2878572"/>
            <wp:effectExtent b="0" l="0" r="0" t="0"/>
            <wp:docPr descr="Установка дистрибутив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8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дистрибутива</w:t>
      </w:r>
    </w:p>
    <w:p>
      <w:pPr>
        <w:pStyle w:val="BodyText"/>
      </w:pPr>
      <w:r>
        <w:t xml:space="preserve">(рис. 3)</w:t>
      </w:r>
    </w:p>
    <w:p>
      <w:pPr>
        <w:pStyle w:val="CaptionedFigure"/>
      </w:pPr>
      <w:r>
        <w:drawing>
          <wp:inline>
            <wp:extent cx="3733800" cy="2837127"/>
            <wp:effectExtent b="0" l="0" r="0" t="0"/>
            <wp:docPr descr="Настройка пользовател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7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пользователя</w:t>
      </w:r>
    </w:p>
    <w:bookmarkEnd w:id="32"/>
    <w:bookmarkStart w:id="36" w:name="обновления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Обновления</w:t>
      </w:r>
    </w:p>
    <w:p>
      <w:pPr>
        <w:pStyle w:val="FirstParagraph"/>
      </w:pPr>
      <w:r>
        <w:t xml:space="preserve">Переключимся на роль суперпользователя и установим обновления (рис. 4)</w:t>
      </w:r>
    </w:p>
    <w:p>
      <w:pPr>
        <w:pStyle w:val="CaptionedFigure"/>
      </w:pPr>
      <w:r>
        <w:drawing>
          <wp:inline>
            <wp:extent cx="3150453" cy="1275549"/>
            <wp:effectExtent b="0" l="0" r="0" t="0"/>
            <wp:docPr descr="Установка обновлений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53" cy="127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обновлений</w:t>
      </w:r>
    </w:p>
    <w:bookmarkEnd w:id="36"/>
    <w:bookmarkStart w:id="40" w:name="повышение-комфорта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Повышение комфорта работы</w:t>
      </w:r>
    </w:p>
    <w:p>
      <w:pPr>
        <w:pStyle w:val="FirstParagraph"/>
      </w:pPr>
      <w:r>
        <w:t xml:space="preserve">Для повышения комфорта работы установим tmux (рис. 5)</w:t>
      </w:r>
    </w:p>
    <w:p>
      <w:pPr>
        <w:pStyle w:val="CaptionedFigure"/>
      </w:pPr>
      <w:r>
        <w:drawing>
          <wp:inline>
            <wp:extent cx="1567542" cy="138312"/>
            <wp:effectExtent b="0" l="0" r="0" t="0"/>
            <wp:docPr descr="tmux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42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tmux</w:t>
      </w:r>
    </w:p>
    <w:bookmarkEnd w:id="40"/>
    <w:bookmarkStart w:id="44" w:name="отключение-selinux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Отключение SELinux</w:t>
      </w:r>
    </w:p>
    <w:p>
      <w:pPr>
        <w:pStyle w:val="FirstParagraph"/>
      </w:pPr>
      <w:r>
        <w:t xml:space="preserve">Отключим SELinux, внеся изменения в конфигурационный файл (рис. 6)</w:t>
      </w:r>
    </w:p>
    <w:p>
      <w:pPr>
        <w:pStyle w:val="CaptionedFigure"/>
      </w:pPr>
      <w:r>
        <w:drawing>
          <wp:inline>
            <wp:extent cx="3733800" cy="727068"/>
            <wp:effectExtent b="0" l="0" r="0" t="0"/>
            <wp:docPr descr="Отключение SELinux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7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Отключение SELinux</w:t>
      </w:r>
    </w:p>
    <w:p>
      <w:pPr>
        <w:pStyle w:val="BodyText"/>
      </w:pPr>
      <w:r>
        <w:t xml:space="preserve">Перезагрузим виртуальную машину командой reboot.</w:t>
      </w:r>
    </w:p>
    <w:bookmarkEnd w:id="44"/>
    <w:bookmarkStart w:id="57" w:name="установка-драйверов-для-virtualbox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Установка драйверов для VirtualBox</w:t>
      </w:r>
    </w:p>
    <w:p>
      <w:pPr>
        <w:pStyle w:val="FirstParagraph"/>
      </w:pPr>
      <w:r>
        <w:t xml:space="preserve">Переключимся на роль суперпользователя и установим необходимые средства разработки (рис. 7)</w:t>
      </w:r>
    </w:p>
    <w:p>
      <w:pPr>
        <w:pStyle w:val="CaptionedFigure"/>
      </w:pPr>
      <w:r>
        <w:drawing>
          <wp:inline>
            <wp:extent cx="2543415" cy="484094"/>
            <wp:effectExtent b="0" l="0" r="0" t="0"/>
            <wp:docPr descr="Средства разработки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415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Средства разработки</w:t>
      </w:r>
    </w:p>
    <w:p>
      <w:pPr>
        <w:pStyle w:val="BodyText"/>
      </w:pPr>
      <w:r>
        <w:t xml:space="preserve">Установим пакет DKMS (рис. 8)</w:t>
      </w:r>
    </w:p>
    <w:p>
      <w:pPr>
        <w:pStyle w:val="CaptionedFigure"/>
      </w:pPr>
      <w:r>
        <w:drawing>
          <wp:inline>
            <wp:extent cx="1352389" cy="169048"/>
            <wp:effectExtent b="0" l="0" r="0" t="0"/>
            <wp:docPr descr="пакет DKMS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389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пакет DKMS</w:t>
      </w:r>
    </w:p>
    <w:p>
      <w:pPr>
        <w:pStyle w:val="BodyText"/>
      </w:pPr>
      <w:r>
        <w:t xml:space="preserve">В меню виртуальной машину подключим образ диска дополнительной гостевой виртуальной ОС (рис. 9)</w:t>
      </w:r>
    </w:p>
    <w:p>
      <w:pPr>
        <w:pStyle w:val="CaptionedFigure"/>
      </w:pPr>
      <w:r>
        <w:drawing>
          <wp:inline>
            <wp:extent cx="2020900" cy="161364"/>
            <wp:effectExtent b="0" l="0" r="0" t="0"/>
            <wp:docPr descr="Дополнительная ОС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900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Дополнительная ОС</w:t>
      </w:r>
    </w:p>
    <w:p>
      <w:pPr>
        <w:pStyle w:val="BodyText"/>
      </w:pPr>
      <w:r>
        <w:t xml:space="preserve">Подмонтируем диск и установим необходимые драйвера (рис. 10)</w:t>
      </w:r>
    </w:p>
    <w:p>
      <w:pPr>
        <w:pStyle w:val="CaptionedFigure"/>
      </w:pPr>
      <w:r>
        <w:drawing>
          <wp:inline>
            <wp:extent cx="2835408" cy="414937"/>
            <wp:effectExtent b="0" l="0" r="0" t="0"/>
            <wp:docPr descr="Диск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408" cy="4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Диск</w:t>
      </w:r>
    </w:p>
    <w:p>
      <w:pPr>
        <w:pStyle w:val="BodyText"/>
      </w:pPr>
      <w:r>
        <w:t xml:space="preserve">Перезапустим виртуальную машину.</w:t>
      </w:r>
    </w:p>
    <w:bookmarkEnd w:id="57"/>
    <w:bookmarkStart w:id="58" w:name="Xea9659ac362aae2a58c1a0af2c45757690f0e67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раскладки клавиатуры и установка имени пользователя</w:t>
      </w:r>
    </w:p>
    <w:p>
      <w:pPr>
        <w:pStyle w:val="FirstParagraph"/>
      </w:pPr>
      <w:r>
        <w:t xml:space="preserve">Данный этап работы был пропущен, т.к. имя пользователя и настройки клавиатуры были изначально верны.</w:t>
      </w:r>
    </w:p>
    <w:bookmarkEnd w:id="58"/>
    <w:bookmarkStart w:id="65" w:name="установка-pandoc-и-texlive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Установка Pandoc и TexLive</w:t>
      </w:r>
    </w:p>
    <w:p>
      <w:pPr>
        <w:pStyle w:val="FirstParagraph"/>
      </w:pPr>
      <w:r>
        <w:t xml:space="preserve">Скачаем вручную необходимю версию pandoc и pandoc-crossref (рис. 11)</w:t>
      </w:r>
    </w:p>
    <w:p>
      <w:pPr>
        <w:pStyle w:val="CaptionedFigure"/>
      </w:pPr>
      <w:r>
        <w:drawing>
          <wp:inline>
            <wp:extent cx="3733800" cy="1306830"/>
            <wp:effectExtent b="0" l="0" r="0" t="0"/>
            <wp:docPr descr="Pandoc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Pandoc</w:t>
      </w:r>
    </w:p>
    <w:p>
      <w:pPr>
        <w:pStyle w:val="BodyText"/>
      </w:pPr>
      <w:r>
        <w:t xml:space="preserve">Поместим их в каталог /usr/local/bin.</w:t>
      </w:r>
    </w:p>
    <w:p>
      <w:pPr>
        <w:pStyle w:val="BodyText"/>
      </w:pPr>
      <w:r>
        <w:t xml:space="preserve">Установим texlive (рис. 12)</w:t>
      </w:r>
    </w:p>
    <w:p>
      <w:pPr>
        <w:pStyle w:val="CaptionedFigure"/>
      </w:pPr>
      <w:r>
        <w:drawing>
          <wp:inline>
            <wp:extent cx="3219610" cy="1160289"/>
            <wp:effectExtent b="0" l="0" r="0" t="0"/>
            <wp:docPr descr="texlive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610" cy="116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texlive</w:t>
      </w:r>
    </w:p>
    <w:bookmarkEnd w:id="65"/>
    <w:bookmarkStart w:id="87" w:name="домашнее-задание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С помощью команды 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 </w:t>
      </w:r>
      <w:r>
        <w:t xml:space="preserve">узнаем:</w:t>
      </w:r>
    </w:p>
    <w:p>
      <w:pPr>
        <w:pStyle w:val="BodyText"/>
      </w:pPr>
      <w:r>
        <w:t xml:space="preserve">Версию ядра Linux (Linux version) (рис. 13)</w:t>
      </w:r>
    </w:p>
    <w:p>
      <w:pPr>
        <w:pStyle w:val="CaptionedFigure"/>
      </w:pPr>
      <w:r>
        <w:drawing>
          <wp:inline>
            <wp:extent cx="3365606" cy="430305"/>
            <wp:effectExtent b="0" l="0" r="0" t="0"/>
            <wp:docPr descr="Linux version" title="" id="67" name="Picture"/>
            <a:graphic>
              <a:graphicData uri="http://schemas.openxmlformats.org/drawingml/2006/picture">
                <pic:pic>
                  <pic:nvPicPr>
                    <pic:cNvPr descr="image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06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Linux version</w:t>
      </w:r>
    </w:p>
    <w:p>
      <w:pPr>
        <w:pStyle w:val="BodyText"/>
      </w:pPr>
      <w:r>
        <w:t xml:space="preserve">Частоту процессора (Detected Mhz processor) (рис. 14)</w:t>
      </w:r>
    </w:p>
    <w:p>
      <w:pPr>
        <w:pStyle w:val="CaptionedFigure"/>
      </w:pPr>
      <w:r>
        <w:drawing>
          <wp:inline>
            <wp:extent cx="3196557" cy="330413"/>
            <wp:effectExtent b="0" l="0" r="0" t="0"/>
            <wp:docPr descr="Mhz processor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Mhz processor</w:t>
      </w:r>
    </w:p>
    <w:p>
      <w:pPr>
        <w:pStyle w:val="BodyText"/>
      </w:pPr>
      <w:r>
        <w:t xml:space="preserve">Модель процессора (CPU0) (рис. 15)</w:t>
      </w:r>
    </w:p>
    <w:p>
      <w:pPr>
        <w:pStyle w:val="CaptionedFigure"/>
      </w:pPr>
      <w:r>
        <w:drawing>
          <wp:inline>
            <wp:extent cx="3357922" cy="361149"/>
            <wp:effectExtent b="0" l="0" r="0" t="0"/>
            <wp:docPr descr="CPU0" title="" id="73" name="Picture"/>
            <a:graphic>
              <a:graphicData uri="http://schemas.openxmlformats.org/drawingml/2006/picture">
                <pic:pic>
                  <pic:nvPicPr>
                    <pic:cNvPr descr="image/15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2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CPU0</w:t>
      </w:r>
    </w:p>
    <w:p>
      <w:pPr>
        <w:pStyle w:val="BodyText"/>
      </w:pPr>
      <w:r>
        <w:t xml:space="preserve">Объём доступной оперативной памяти (Memory available) (рис. 16)</w:t>
      </w:r>
    </w:p>
    <w:p>
      <w:pPr>
        <w:pStyle w:val="CaptionedFigure"/>
      </w:pPr>
      <w:r>
        <w:drawing>
          <wp:inline>
            <wp:extent cx="1544490" cy="176732"/>
            <wp:effectExtent b="0" l="0" r="0" t="0"/>
            <wp:docPr descr="Memory available" title="" id="76" name="Picture"/>
            <a:graphic>
              <a:graphicData uri="http://schemas.openxmlformats.org/drawingml/2006/picture">
                <pic:pic>
                  <pic:nvPicPr>
                    <pic:cNvPr descr="image/1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90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Memory available</w:t>
      </w:r>
    </w:p>
    <w:p>
      <w:pPr>
        <w:pStyle w:val="BodyText"/>
      </w:pPr>
      <w:r>
        <w:t xml:space="preserve">Тип обнаруженного гипервизора (Hypervisor detected) (рис. 17)</w:t>
      </w:r>
    </w:p>
    <w:p>
      <w:pPr>
        <w:pStyle w:val="CaptionedFigure"/>
      </w:pPr>
      <w:r>
        <w:drawing>
          <wp:inline>
            <wp:extent cx="2220685" cy="253573"/>
            <wp:effectExtent b="0" l="0" r="0" t="0"/>
            <wp:docPr descr="Hypervisor detected" title="" id="79" name="Picture"/>
            <a:graphic>
              <a:graphicData uri="http://schemas.openxmlformats.org/drawingml/2006/picture">
                <pic:pic>
                  <pic:nvPicPr>
                    <pic:cNvPr descr="image/1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685" cy="25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Hypervisor detected</w:t>
      </w:r>
    </w:p>
    <w:p>
      <w:pPr>
        <w:pStyle w:val="BodyText"/>
      </w:pPr>
      <w:r>
        <w:t xml:space="preserve">Тип файловой системы корневого раздела (рис. 18)</w:t>
      </w:r>
    </w:p>
    <w:p>
      <w:pPr>
        <w:pStyle w:val="CaptionedFigure"/>
      </w:pPr>
      <w:r>
        <w:drawing>
          <wp:inline>
            <wp:extent cx="2650991" cy="1759643"/>
            <wp:effectExtent b="0" l="0" r="0" t="0"/>
            <wp:docPr descr="Файловая система" title="" id="82" name="Picture"/>
            <a:graphic>
              <a:graphicData uri="http://schemas.openxmlformats.org/drawingml/2006/picture">
                <pic:pic>
                  <pic:nvPicPr>
                    <pic:cNvPr descr="image/18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991" cy="1759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Файловая система</w:t>
      </w:r>
    </w:p>
    <w:p>
      <w:pPr>
        <w:pStyle w:val="BodyText"/>
      </w:pPr>
      <w:r>
        <w:t xml:space="preserve">Последовательность монтирования файловых систем (рис. 19)</w:t>
      </w:r>
    </w:p>
    <w:p>
      <w:pPr>
        <w:pStyle w:val="CaptionedFigure"/>
      </w:pPr>
      <w:r>
        <w:drawing>
          <wp:inline>
            <wp:extent cx="1605963" cy="145996"/>
            <wp:effectExtent b="0" l="0" r="0" t="0"/>
            <wp:docPr descr="Последовательность монтирования файловых систем" title="" id="85" name="Picture"/>
            <a:graphic>
              <a:graphicData uri="http://schemas.openxmlformats.org/drawingml/2006/picture">
                <pic:pic>
                  <pic:nvPicPr>
                    <pic:cNvPr descr="image/19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63" cy="14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Последовательность монтирования файловых систем</w:t>
      </w:r>
    </w:p>
    <w:bookmarkEnd w:id="87"/>
    <w:bookmarkEnd w:id="88"/>
    <w:bookmarkStart w:id="8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Учетная запись пользователя содержит информацию, необходимую для идентификации пользователя, нформацию о группе, к которой он принадлежит, его идентификатор, домашний каталог.</w:t>
      </w:r>
    </w:p>
    <w:p>
      <w:pPr>
        <w:numPr>
          <w:ilvl w:val="0"/>
          <w:numId w:val="1002"/>
        </w:numPr>
      </w:pPr>
      <w:r>
        <w:t xml:space="preserve">Для получения справки по команде -help. Для перемещения по файловой системе -cd. Для просмотра содержимого каталога - ls.</w:t>
      </w:r>
      <w:r>
        <w:t xml:space="preserve"> </w:t>
      </w:r>
      <w:r>
        <w:t xml:space="preserve">Для определения объема каталога -du. Для создания файла touch, каталога - mkdir. Для удаления файла - rm, удаления каталога - rmdir. Для задания прав на файл или каталог - chmod. Для просмотра истории команд history.</w:t>
      </w:r>
    </w:p>
    <w:p>
      <w:pPr>
        <w:numPr>
          <w:ilvl w:val="0"/>
          <w:numId w:val="1002"/>
        </w:numPr>
      </w:pPr>
      <w:r>
        <w:t xml:space="preserve">Файловая система - порядок, определяющий способ хранения, организации и именования данных на различных носителях. Yfghbvth?, FAT32, ext2.</w:t>
      </w:r>
    </w:p>
    <w:p>
      <w:pPr>
        <w:numPr>
          <w:ilvl w:val="0"/>
          <w:numId w:val="1002"/>
        </w:numPr>
      </w:pPr>
      <w:r>
        <w:t xml:space="preserve">С помощью df.</w:t>
      </w:r>
    </w:p>
    <w:p>
      <w:pPr>
        <w:numPr>
          <w:ilvl w:val="0"/>
          <w:numId w:val="1002"/>
        </w:numPr>
      </w:pPr>
      <w:r>
        <w:t xml:space="preserve">Узнать id процесса с помощью ps. Потом применяем kill или killall для удаления всех процессов.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приобрела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90"/>
    <w:bookmarkStart w:id="9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Лабораторная работа №1.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Улитина Мария Максимовна</dc:creator>
  <dc:language>ru-RU</dc:language>
  <cp:keywords/>
  <dcterms:created xsi:type="dcterms:W3CDTF">2024-03-02T13:14:47Z</dcterms:created>
  <dcterms:modified xsi:type="dcterms:W3CDTF">2024-03-02T13:14:47Z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НКАбд-06-23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