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“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  <w:r>
        <w:t xml:space="preserve">”</w:t>
      </w:r>
      <w:r>
        <w:t xml:space="preserve">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НКАбд-06-23</w:t>
      </w:r>
    </w:p>
    <w:p>
      <w:pPr>
        <w:pStyle w:val="Author"/>
      </w:pPr>
      <w:r>
        <w:t xml:space="preserve">Улитина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Linux.</w:t>
      </w:r>
    </w:p>
    <w:bookmarkEnd w:id="20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##Задание 1</w:t>
      </w:r>
    </w:p>
    <w:p>
      <w:pPr>
        <w:pStyle w:val="BodyText"/>
      </w:pPr>
      <w:r>
        <w:t xml:space="preserve">Пояснение: сервер может использоваться для ряда задач (рис. 1).</w:t>
      </w:r>
    </w:p>
    <w:p>
      <w:pPr>
        <w:pStyle w:val="CaptionedFigure"/>
      </w:pPr>
      <w:r>
        <w:drawing>
          <wp:inline>
            <wp:extent cx="3733800" cy="1997871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##Задание 2</w:t>
      </w:r>
    </w:p>
    <w:p>
      <w:pPr>
        <w:pStyle w:val="BodyText"/>
      </w:pPr>
      <w:r>
        <w:t xml:space="preserve">Пояснение: это публичная часть ключа (рис. 2).</w:t>
      </w:r>
    </w:p>
    <w:p>
      <w:pPr>
        <w:pStyle w:val="CaptionedFigure"/>
      </w:pPr>
      <w:r>
        <w:drawing>
          <wp:inline>
            <wp:extent cx="3733800" cy="1715821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##Задание 3</w:t>
      </w:r>
    </w:p>
    <w:p>
      <w:pPr>
        <w:pStyle w:val="BodyText"/>
      </w:pPr>
      <w:r>
        <w:t xml:space="preserve">Пояснение: -r используется для копирования директорий(рис. 3).</w:t>
      </w:r>
    </w:p>
    <w:p>
      <w:pPr>
        <w:pStyle w:val="CaptionedFigure"/>
      </w:pPr>
      <w:r>
        <w:drawing>
          <wp:inline>
            <wp:extent cx="3733800" cy="1643308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##Задание 4</w:t>
      </w:r>
    </w:p>
    <w:p>
      <w:pPr>
        <w:pStyle w:val="BodyText"/>
      </w:pPr>
      <w:r>
        <w:t xml:space="preserve">Пояснение: нужно применить команду или проверить интернет-соединение (рис. 4).</w:t>
      </w:r>
    </w:p>
    <w:p>
      <w:pPr>
        <w:pStyle w:val="CaptionedFigure"/>
      </w:pPr>
      <w:r>
        <w:drawing>
          <wp:inline>
            <wp:extent cx="3733800" cy="1957879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##Задание 5</w:t>
      </w:r>
    </w:p>
    <w:p>
      <w:pPr>
        <w:pStyle w:val="BodyText"/>
      </w:pPr>
      <w:r>
        <w:t xml:space="preserve">Пояснение: Filezilla - бесплатный FTP-менеджер, который поможет скачать и загрузить файлы с FTP-серверов. (рис. 5).</w:t>
      </w:r>
    </w:p>
    <w:p>
      <w:pPr>
        <w:pStyle w:val="CaptionedFigure"/>
      </w:pPr>
      <w:r>
        <w:drawing>
          <wp:inline>
            <wp:extent cx="3733800" cy="3053255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##Задание 6</w:t>
      </w:r>
    </w:p>
    <w:p>
      <w:pPr>
        <w:pStyle w:val="BodyText"/>
      </w:pPr>
      <w:r>
        <w:t xml:space="preserve">Пояснение: необходима настройка или обращение к подходящей версии программы (рис. 6).</w:t>
      </w:r>
    </w:p>
    <w:p>
      <w:pPr>
        <w:pStyle w:val="CaptionedFigure"/>
      </w:pPr>
      <w:r>
        <w:drawing>
          <wp:inline>
            <wp:extent cx="3733800" cy="1602203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##Задание 7</w:t>
      </w:r>
    </w:p>
    <w:p>
      <w:pPr>
        <w:pStyle w:val="BodyText"/>
      </w:pPr>
      <w:r>
        <w:t xml:space="preserve">Пояснение: надо воспользоваться help или man (рис. 7).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##Задание 8</w:t>
      </w:r>
    </w:p>
    <w:p>
      <w:pPr>
        <w:pStyle w:val="BodyText"/>
      </w:pPr>
      <w:r>
        <w:t xml:space="preserve">Пояснение: для ответа на вопрос мне было необходимо обратиться в документации программы (рис. 8).</w:t>
      </w:r>
    </w:p>
    <w:p>
      <w:pPr>
        <w:pStyle w:val="CaptionedFigure"/>
      </w:pPr>
      <w:r>
        <w:drawing>
          <wp:inline>
            <wp:extent cx="3733800" cy="3398987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##Задание 9</w:t>
      </w:r>
    </w:p>
    <w:p>
      <w:pPr>
        <w:pStyle w:val="BodyText"/>
      </w:pPr>
      <w:r>
        <w:t xml:space="preserve">Пояснение: для ответа на вопрос мне было необходимо обратиться в документации программы (рис. 9).</w:t>
      </w:r>
    </w:p>
    <w:p>
      <w:pPr>
        <w:pStyle w:val="CaptionedFigure"/>
      </w:pPr>
      <w:r>
        <w:drawing>
          <wp:inline>
            <wp:extent cx="3733800" cy="2950513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##Задание 10</w:t>
      </w:r>
    </w:p>
    <w:p>
      <w:pPr>
        <w:pStyle w:val="BodyText"/>
      </w:pPr>
      <w:r>
        <w:t xml:space="preserve">Пояснение: ctrl+c прервет выполнение программы(рис. 10).</w:t>
      </w:r>
    </w:p>
    <w:p>
      <w:pPr>
        <w:pStyle w:val="CaptionedFigure"/>
      </w:pPr>
      <w:r>
        <w:drawing>
          <wp:inline>
            <wp:extent cx="3733800" cy="2362050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##Задание 11</w:t>
      </w:r>
    </w:p>
    <w:p>
      <w:pPr>
        <w:pStyle w:val="BodyText"/>
      </w:pPr>
      <w:r>
        <w:t xml:space="preserve">Пояснение: jobs просто выводит порядковые номера (рис. 11).</w:t>
      </w:r>
    </w:p>
    <w:p>
      <w:pPr>
        <w:pStyle w:val="CaptionedFigure"/>
      </w:pPr>
      <w:r>
        <w:drawing>
          <wp:inline>
            <wp:extent cx="3733800" cy="1761297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##Задание 12</w:t>
      </w:r>
    </w:p>
    <w:p>
      <w:pPr>
        <w:pStyle w:val="BodyText"/>
      </w:pPr>
      <w:r>
        <w:t xml:space="preserve">Пояснение: kill -9 (рис. 12).</w:t>
      </w:r>
    </w:p>
    <w:p>
      <w:pPr>
        <w:pStyle w:val="CaptionedFigure"/>
      </w:pPr>
      <w:r>
        <w:drawing>
          <wp:inline>
            <wp:extent cx="3733800" cy="1920495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##Задание 13</w:t>
      </w:r>
    </w:p>
    <w:p>
      <w:pPr>
        <w:pStyle w:val="BodyText"/>
      </w:pPr>
      <w:r>
        <w:t xml:space="preserve">Пояснение: процесс приступит к завершению, как только будет продолжен (рис. 13).</w:t>
      </w:r>
    </w:p>
    <w:p>
      <w:pPr>
        <w:pStyle w:val="CaptionedFigure"/>
      </w:pPr>
      <w:r>
        <w:drawing>
          <wp:inline>
            <wp:extent cx="3733800" cy="1558143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##Задание 14</w:t>
      </w:r>
    </w:p>
    <w:p>
      <w:pPr>
        <w:pStyle w:val="BodyText"/>
      </w:pPr>
      <w:r>
        <w:t xml:space="preserve">Пояснение: 0% CPU (рис. 14).</w:t>
      </w:r>
    </w:p>
    <w:p>
      <w:pPr>
        <w:pStyle w:val="CaptionedFigure"/>
      </w:pPr>
      <w:r>
        <w:drawing>
          <wp:inline>
            <wp:extent cx="3733800" cy="2412880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##Задание 15</w:t>
      </w:r>
    </w:p>
    <w:p>
      <w:pPr>
        <w:pStyle w:val="BodyText"/>
      </w:pPr>
      <w:r>
        <w:t xml:space="preserve">Пояснение: столько, сколько оно потребляет в момент остановки (рис. 15).</w:t>
      </w:r>
    </w:p>
    <w:p>
      <w:pPr>
        <w:pStyle w:val="CaptionedFigure"/>
      </w:pPr>
      <w:r>
        <w:drawing>
          <wp:inline>
            <wp:extent cx="3733800" cy="2080961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##Задание 16</w:t>
      </w:r>
    </w:p>
    <w:p>
      <w:pPr>
        <w:pStyle w:val="BodyText"/>
      </w:pPr>
      <w:r>
        <w:t xml:space="preserve">Пояснение: никак (рис. 16).</w:t>
      </w:r>
    </w:p>
    <w:p>
      <w:pPr>
        <w:pStyle w:val="CaptionedFigure"/>
      </w:pPr>
      <w:r>
        <w:drawing>
          <wp:inline>
            <wp:extent cx="3733800" cy="2150501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##Задание 17</w:t>
      </w:r>
    </w:p>
    <w:p>
      <w:pPr>
        <w:pStyle w:val="BodyText"/>
      </w:pPr>
      <w:r>
        <w:t xml:space="preserve">Пояснение: это можно узнать из документации программы (рис. 17).</w:t>
      </w:r>
    </w:p>
    <w:p>
      <w:pPr>
        <w:pStyle w:val="CaptionedFigure"/>
      </w:pPr>
      <w:r>
        <w:drawing>
          <wp:inline>
            <wp:extent cx="3733800" cy="1905867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##Задание 18</w:t>
      </w:r>
    </w:p>
    <w:p>
      <w:pPr>
        <w:pStyle w:val="BodyText"/>
      </w:pPr>
      <w:r>
        <w:t xml:space="preserve">Пояснение: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).</w:t>
      </w:r>
    </w:p>
    <w:p>
      <w:pPr>
        <w:pStyle w:val="BodyText"/>
      </w:pPr>
      <w:bookmarkStart w:id="75" w:name="fig:018"/>
      <w:r>
        <w:drawing>
          <wp:inline>
            <wp:extent cx="3733800" cy="2500842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  <w:r>
        <w:br/>
      </w:r>
    </w:p>
    <w:p>
      <w:pPr>
        <w:pStyle w:val="BodyText"/>
      </w:pPr>
      <w:r>
        <w:t xml:space="preserve">##Задание 19</w:t>
      </w:r>
    </w:p>
    <w:p>
      <w:pPr>
        <w:pStyle w:val="BodyText"/>
      </w:pPr>
      <w:r>
        <w:t xml:space="preserve">Пояснение: терминал сообщит, что нет процесса для заупска в fg (рис. 18).</w:t>
      </w:r>
    </w:p>
    <w:p>
      <w:pPr>
        <w:pStyle w:val="CaptionedFigure"/>
      </w:pPr>
      <w:r>
        <w:drawing>
          <wp:inline>
            <wp:extent cx="3733800" cy="1802261"/>
            <wp:effectExtent b="0" l="0" r="0" t="0"/>
            <wp:docPr descr="Задание 19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19</w:t>
      </w:r>
    </w:p>
    <w:p>
      <w:pPr>
        <w:pStyle w:val="BodyText"/>
      </w:pPr>
      <w:r>
        <w:t xml:space="preserve">##Задание 20</w:t>
      </w:r>
    </w:p>
    <w:p>
      <w:pPr>
        <w:pStyle w:val="BodyText"/>
      </w:pPr>
      <w:r>
        <w:t xml:space="preserve">Пояснение: tmux завершит работу (рис. 19).</w:t>
      </w:r>
    </w:p>
    <w:p>
      <w:pPr>
        <w:pStyle w:val="CaptionedFigure"/>
      </w:pPr>
      <w:r>
        <w:drawing>
          <wp:inline>
            <wp:extent cx="3733800" cy="1639769"/>
            <wp:effectExtent b="0" l="0" r="0" t="0"/>
            <wp:docPr descr="Задание 20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20</w:t>
      </w:r>
    </w:p>
    <w:p>
      <w:pPr>
        <w:pStyle w:val="BodyText"/>
      </w:pPr>
      <w:r>
        <w:t xml:space="preserve">##Задание 21</w:t>
      </w:r>
    </w:p>
    <w:p>
      <w:pPr>
        <w:pStyle w:val="BodyText"/>
      </w:pPr>
      <w:r>
        <w:t xml:space="preserve">Пояснение: соединение прервется, но работа tmux продолжится (рис. 20).</w:t>
      </w:r>
    </w:p>
    <w:p>
      <w:pPr>
        <w:pStyle w:val="CaptionedFigure"/>
      </w:pPr>
      <w:r>
        <w:drawing>
          <wp:inline>
            <wp:extent cx="3733800" cy="1848268"/>
            <wp:effectExtent b="0" l="0" r="0" t="0"/>
            <wp:docPr descr="Задание 21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21</w:t>
      </w:r>
    </w:p>
    <w:p>
      <w:pPr>
        <w:pStyle w:val="BodyText"/>
      </w:pPr>
      <w:r>
        <w:t xml:space="preserve">##Задание 22</w:t>
      </w:r>
    </w:p>
    <w:p>
      <w:pPr>
        <w:pStyle w:val="BodyText"/>
      </w:pPr>
      <w:r>
        <w:t xml:space="preserve">Пояснение: вкладка закроется, а вместе с ней пропадает и запущенный в ней процесс (рис. 21).</w:t>
      </w:r>
    </w:p>
    <w:p>
      <w:pPr>
        <w:pStyle w:val="CaptionedFigure"/>
      </w:pPr>
      <w:r>
        <w:drawing>
          <wp:inline>
            <wp:extent cx="3733800" cy="1674398"/>
            <wp:effectExtent b="0" l="0" r="0" t="0"/>
            <wp:docPr descr="Задание 22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22</w:t>
      </w:r>
    </w:p>
    <w:p>
      <w:pPr>
        <w:pStyle w:val="BodyText"/>
      </w:pPr>
      <w:r>
        <w:t xml:space="preserve">##Задание 23</w:t>
      </w:r>
    </w:p>
    <w:p>
      <w:pPr>
        <w:pStyle w:val="BodyText"/>
      </w:pPr>
      <w:r>
        <w:t xml:space="preserve">Пояснение: для этого необходимо обратиться к справке tmux (рис. 22).</w:t>
      </w:r>
    </w:p>
    <w:p>
      <w:pPr>
        <w:pStyle w:val="CaptionedFigure"/>
      </w:pPr>
      <w:r>
        <w:drawing>
          <wp:inline>
            <wp:extent cx="3733800" cy="2137522"/>
            <wp:effectExtent b="0" l="0" r="0" t="0"/>
            <wp:docPr descr="Задание 23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23</w:t>
      </w:r>
    </w:p>
    <w:p>
      <w:pPr>
        <w:pStyle w:val="BodyText"/>
      </w:pPr>
      <w:r>
        <w:t xml:space="preserve">##Задание 24</w:t>
      </w:r>
    </w:p>
    <w:p>
      <w:pPr>
        <w:pStyle w:val="BodyText"/>
      </w:pPr>
      <w:r>
        <w:t xml:space="preserve">Пояснение: (рис. 23).</w:t>
      </w:r>
    </w:p>
    <w:p>
      <w:pPr>
        <w:pStyle w:val="CaptionedFigure"/>
      </w:pPr>
      <w:r>
        <w:drawing>
          <wp:inline>
            <wp:extent cx="3733800" cy="2859184"/>
            <wp:effectExtent b="0" l="0" r="0" t="0"/>
            <wp:docPr descr="Задание 24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24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выполнила второй этап внешнего курса по Linux.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“Введение в Linux”. Этап 2.</dc:title>
  <dc:creator>Улитина Мария Максимовна</dc:creator>
  <dc:language>ru-RU</dc:language>
  <cp:keywords/>
  <dcterms:created xsi:type="dcterms:W3CDTF">2024-05-18T13:04:33Z</dcterms:created>
  <dcterms:modified xsi:type="dcterms:W3CDTF">2024-05-18T13:04:33Z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НКАбд-06-23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