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8324A"/>
          <w:sz w:val="33"/>
        </w:rPr>
        <w:t>WHERE ARE AUSTRALIA'S NEXT COMMUNITY CRICKETERS?</w:t>
      </w:r>
    </w:p>
    <w:p>
      <w:pPr>
        <w:spacing w:after="40"/>
        <w:jc w:val="center"/>
      </w:pPr>
      <w:r>
        <w:rPr>
          <w:b w:val="0"/>
          <w:color w:val="556574"/>
          <w:sz w:val="18"/>
        </w:rPr>
        <w:t>A public-data decision-support prototype for community cricket participation growth</w:t>
      </w:r>
    </w:p>
    <w:p>
      <w:pPr>
        <w:spacing w:after="100"/>
        <w:jc w:val="center"/>
      </w:pPr>
      <w:r>
        <w:rPr>
          <w:b/>
          <w:color w:val="1F6F78"/>
          <w:sz w:val="16"/>
        </w:rPr>
        <w:t>Executive Brief | Md Musa |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18324A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 xml:space="preserve">BUSINESS QUESTION  </w:t>
            </w:r>
            <w:r>
              <w:rPr>
                <w:b w:val="0"/>
                <w:color w:val="FFFFFF"/>
                <w:sz w:val="17"/>
              </w:rPr>
              <w:t>If Australian Cricket has limited acquisition resources, which communities deserve deeper investigation first - and why?</w:t>
            </w:r>
          </w:p>
          <w:p>
            <w:pPr>
              <w:spacing w:after="0"/>
              <w:jc w:val="center"/>
            </w:pPr>
            <w:r>
              <w:rPr>
                <w:b/>
                <w:color w:val="DCF2F0"/>
                <w:sz w:val="15"/>
              </w:rPr>
              <w:t>Decision takeaway: screen demographic opportunity first, diagnose cricket readiness second, then choose the intervention.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365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Eligible LGAs</w:t>
            </w:r>
          </w:p>
        </w:tc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17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Very High</w:t>
            </w:r>
          </w:p>
        </w:tc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18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Robust Top-20</w:t>
            </w:r>
          </w:p>
        </w:tc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94.6%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Top-20 growth in 4 major systems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F6F78"/>
                <w:sz w:val="19"/>
              </w:rPr>
              <w:t>MODEL V1</w:t>
            </w:r>
          </w:p>
          <w:p>
            <w:pPr>
              <w:spacing w:after="60"/>
            </w:pPr>
            <w:r>
              <w:rPr>
                <w:b w:val="0"/>
                <w:color w:val="18324A"/>
                <w:sz w:val="16"/>
              </w:rPr>
              <w:t xml:space="preserve">Equal-weighted percentile pillars: </w:t>
            </w:r>
            <w:r>
              <w:rPr>
                <w:b/>
                <w:color w:val="18324A"/>
                <w:sz w:val="16"/>
              </w:rPr>
              <w:t>Market Size</w:t>
            </w:r>
            <w:r>
              <w:rPr>
                <w:b w:val="0"/>
                <w:color w:val="18324A"/>
                <w:sz w:val="16"/>
              </w:rPr>
              <w:t xml:space="preserve">, </w:t>
            </w:r>
            <w:r>
              <w:rPr>
                <w:b/>
                <w:color w:val="18324A"/>
                <w:sz w:val="16"/>
              </w:rPr>
              <w:t>Youth Concentration</w:t>
            </w:r>
            <w:r>
              <w:rPr>
                <w:b w:val="0"/>
                <w:color w:val="18324A"/>
                <w:sz w:val="16"/>
              </w:rPr>
              <w:t xml:space="preserve">, and </w:t>
            </w:r>
            <w:r>
              <w:rPr>
                <w:b/>
                <w:color w:val="18324A"/>
                <w:sz w:val="16"/>
              </w:rPr>
              <w:t>Growth Momentum</w:t>
            </w:r>
            <w:r>
              <w:rPr>
                <w:b w:val="0"/>
                <w:color w:val="18324A"/>
                <w:sz w:val="16"/>
              </w:rPr>
              <w:t xml:space="preserve"> (absolute + percentage five-year junior growth).</w:t>
            </w:r>
          </w:p>
          <w:p>
            <w:pPr>
              <w:spacing w:after="20"/>
            </w:pPr>
            <w:r>
              <w:rPr>
                <w:b/>
                <w:color w:val="1F6F78"/>
                <w:sz w:val="19"/>
              </w:rPr>
              <w:t>TOP 5 OPPORTUNITY POTENTIAL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824"/>
              <w:gridCol w:w="1824"/>
              <w:gridCol w:w="1824"/>
            </w:tblGrid>
            <w:tr>
              <w:tc>
                <w:tcPr>
                  <w:tcW w:type="dxa" w:w="1824"/>
                  <w:shd w:fill="18324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Rank</w:t>
                  </w:r>
                </w:p>
              </w:tc>
              <w:tc>
                <w:tcPr>
                  <w:tcW w:type="dxa" w:w="1824"/>
                  <w:shd w:fill="18324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LGA</w:t>
                  </w:r>
                </w:p>
              </w:tc>
              <w:tc>
                <w:tcPr>
                  <w:tcW w:type="dxa" w:w="1824"/>
                  <w:shd w:fill="18324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Score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1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Wyndham, VIC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99.27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2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Melton, VIC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98.22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3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Blacktown, NSW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97.21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4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Ipswich, QLD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96.58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5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Camden, NSW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96.39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b/>
                <w:color w:val="1F6F78"/>
                <w:sz w:val="19"/>
              </w:rPr>
              <w:t>STRONGEST FINDINGS</w:t>
            </w:r>
          </w:p>
          <w:p>
            <w:pPr>
              <w:spacing w:after="30"/>
              <w:ind w:left="101" w:hanging="101"/>
            </w:pPr>
            <w:r>
              <w:rPr>
                <w:b/>
                <w:color w:val="1F6F78"/>
                <w:sz w:val="15"/>
              </w:rPr>
              <w:t xml:space="preserve">• </w:t>
            </w:r>
            <w:r>
              <w:rPr>
                <w:b w:val="0"/>
                <w:color w:val="18324A"/>
                <w:sz w:val="15"/>
              </w:rPr>
              <w:t>Market size alone is misleading: total population and junior market size are almost the same signal (Spearman ≈ 0.99).</w:t>
            </w:r>
          </w:p>
          <w:p>
            <w:pPr>
              <w:spacing w:after="30"/>
              <w:ind w:left="101" w:hanging="101"/>
            </w:pPr>
            <w:r>
              <w:rPr>
                <w:b/>
                <w:color w:val="1F6F78"/>
                <w:sz w:val="15"/>
              </w:rPr>
              <w:t xml:space="preserve">• </w:t>
            </w:r>
            <w:r>
              <w:rPr>
                <w:b w:val="0"/>
                <w:color w:val="18324A"/>
                <w:sz w:val="15"/>
              </w:rPr>
              <w:t>Junior growth adds distinct information (overall vs junior growth ≈ 0.57), supporting a separate Growth Momentum pillar.</w:t>
            </w:r>
          </w:p>
          <w:p>
            <w:pPr>
              <w:spacing w:after="30"/>
              <w:ind w:left="101" w:hanging="101"/>
            </w:pPr>
            <w:r>
              <w:rPr>
                <w:b/>
                <w:color w:val="1F6F78"/>
                <w:sz w:val="15"/>
              </w:rPr>
              <w:t xml:space="preserve">• </w:t>
            </w:r>
            <w:r>
              <w:rPr>
                <w:b w:val="0"/>
                <w:color w:val="18324A"/>
                <w:sz w:val="15"/>
              </w:rPr>
              <w:t>Four major growth systems - outer Melbourne, western/south-west Sydney, South East Queensland and Perth - account for 94.6% of the Top-20 absolute junior-population increase.</w:t>
            </w:r>
          </w:p>
        </w:tc>
        <w:tc>
          <w:tcPr>
            <w:tcW w:type="dxa" w:w="547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pPr>
              <w:spacing w:after="40"/>
            </w:pPr>
            <w:r>
              <w:rPr>
                <w:b/>
                <w:color w:val="1F6F78"/>
                <w:sz w:val="19"/>
              </w:rPr>
              <w:t>WHAT CRICKET AUSTRALIA SHOULD DO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E8F2F1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18324A"/>
                      <w:sz w:val="16"/>
                    </w:rPr>
                    <w:t>1. Build Opportunity × Readiness prioritisation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18324A"/>
                      <w:sz w:val="15"/>
                    </w:rPr>
                    <w:t>Use Model V1 to choose where to investigate, then add registrations, club/program supply, facilities and capacity before allocating resources.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E8F2F1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18324A"/>
                      <w:sz w:val="16"/>
                    </w:rPr>
                    <w:t>2. Plan by growth corridor, not only LGA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18324A"/>
                      <w:sz w:val="15"/>
                    </w:rPr>
                    <w:t>Coordinate adjacent high-growth areas as shared participation systems, especially across the four major growth corridors.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E8F2F1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18324A"/>
                      <w:sz w:val="16"/>
                    </w:rPr>
                    <w:t>3. Separate acquisition, conversion, retention and capacity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18324A"/>
                      <w:sz w:val="15"/>
                    </w:rPr>
                    <w:t>Track first-time registrations, return rates, Blast-to-club conversion, waitlists and facility utilisation - not just total participation.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spacing w:after="20"/>
            </w:pPr>
            <w:r>
              <w:rPr>
                <w:b/>
                <w:color w:val="1F6F78"/>
                <w:sz w:val="19"/>
              </w:rPr>
              <w:t>CASE-STUDY SIGNALS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Wyndham: </w:t>
            </w:r>
            <w:r>
              <w:rPr>
                <w:b w:val="0"/>
                <w:color w:val="18324A"/>
                <w:sz w:val="15"/>
              </w:rPr>
              <w:t>capacity audit + targeted acquisition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Blacktown: </w:t>
            </w:r>
            <w:r>
              <w:rPr>
                <w:b w:val="0"/>
                <w:color w:val="18324A"/>
                <w:sz w:val="15"/>
              </w:rPr>
              <w:t>potential capacity-constrained priority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Ipswich: </w:t>
            </w:r>
            <w:r>
              <w:rPr>
                <w:b w:val="0"/>
                <w:color w:val="18324A"/>
                <w:sz w:val="15"/>
              </w:rPr>
              <w:t>activate around new capacity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Armadale: </w:t>
            </w:r>
            <w:r>
              <w:rPr>
                <w:b w:val="0"/>
                <w:color w:val="18324A"/>
                <w:sz w:val="15"/>
              </w:rPr>
              <w:t>validate demand before scaling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Maitland: </w:t>
            </w:r>
            <w:r>
              <w:rPr>
                <w:b w:val="0"/>
                <w:color w:val="18324A"/>
                <w:sz w:val="15"/>
              </w:rPr>
              <w:t>regional growth activation</w:t>
            </w:r>
          </w:p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FFF3DF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8A4B08"/>
                      <w:sz w:val="16"/>
                    </w:rPr>
                    <w:t>IMPORTANT LIMITATION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603F14"/>
                      <w:sz w:val="14"/>
                    </w:rPr>
                    <w:t>Model V1 is a relative demographic screening tool. It does not measure actual cricket demand, participation penetration, future registrations, or national Cricket System Readiness.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