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8324A"/>
          <w:sz w:val="54"/>
        </w:rPr>
        <w:t>WHERE ARE AUSTRALIA'S NEXT</w:t>
        <w:br/>
        <w:t>COMMUNITY CRICKETERS?</w:t>
      </w:r>
    </w:p>
    <w:p>
      <w:pPr>
        <w:pStyle w:val="ReportSubtitle"/>
        <w:jc w:val="center"/>
      </w:pPr>
      <w:r>
        <w:t>A Data-Driven Analysis of Community Cricket Participation Growth Opportunities Across Australia</w:t>
      </w:r>
    </w:p>
    <w:p>
      <w:pPr>
        <w:spacing w:before="560"/>
        <w:jc w:val="center"/>
      </w:pPr>
      <w:r>
        <w:rPr>
          <w:b/>
          <w:color w:val="1F6F78"/>
          <w:sz w:val="32"/>
        </w:rPr>
        <w:t>Final Analytical Report</w:t>
      </w:r>
    </w:p>
    <w:p>
      <w:pPr>
        <w:jc w:val="center"/>
      </w:pPr>
      <w:r>
        <w:rPr>
          <w:sz w:val="22"/>
        </w:rPr>
        <w:t>Prepared by Md Musa</w:t>
        <w:br/>
        <w:t>August 2026</w:t>
      </w:r>
    </w:p>
    <w:p>
      <w:pPr>
        <w:spacing w:before="900"/>
        <w:jc w:val="center"/>
      </w:pPr>
      <w:r>
        <w:rPr>
          <w:b/>
          <w:color w:val="B75C4B"/>
          <w:sz w:val="18"/>
        </w:rPr>
        <w:t>PORTFOLIO / APPLICATION PROTOTYPE</w:t>
      </w:r>
    </w:p>
    <w:tbl>
      <w:tblPr>
        <w:tblW w:type="auto" w:w="0"/>
        <w:jc w:val="center"/>
        <w:tblLook w:firstColumn="1" w:firstRow="1" w:lastColumn="0" w:lastRow="0" w:noHBand="0" w:noVBand="1" w:val="04A0"/>
      </w:tblPr>
      <w:tblGrid>
        <w:gridCol w:w="10080"/>
      </w:tblGrid>
      <w:tr>
        <w:trPr>
          <w:cantSplit/>
        </w:trPr>
        <w:tc>
          <w:tcPr>
            <w:tcW w:type="dxa" w:w="10080"/>
            <w:shd w:fill="FFF4E5"/>
            <w:tcMar>
              <w:top w:w="160" w:type="dxa"/>
              <w:start w:w="180" w:type="dxa"/>
              <w:bottom w:w="160" w:type="dxa"/>
              <w:end w:w="180" w:type="dxa"/>
            </w:tcMar>
          </w:tcPr>
          <w:p>
            <w:r>
              <w:rPr>
                <w:b/>
                <w:color w:val="18324A"/>
                <w:sz w:val="22"/>
              </w:rPr>
              <w:t>Important interpretation boundary</w:t>
              <w:br/>
            </w:r>
            <w:r>
              <w:rPr>
                <w:sz w:val="20"/>
              </w:rPr>
              <w:t>This report identifies relative demographic Opportunity Potential for community cricket acquisition. It does not directly measure cricket demand, participation penetration, or Cricket System Readiness.</w:t>
            </w:r>
          </w:p>
        </w:tc>
      </w:tr>
    </w:tbl>
    <w:p>
      <w:r>
        <w:br w:type="page"/>
      </w:r>
    </w:p>
    <w:p>
      <w:pPr>
        <w:pStyle w:val="Heading1"/>
      </w:pPr>
      <w:r>
        <w:t>Executive Summary</w:t>
      </w:r>
    </w:p>
    <w:p>
      <w:r>
        <w:rPr>
          <w:b/>
        </w:rPr>
        <w:t xml:space="preserve">Purpose. </w:t>
      </w:r>
      <w:r>
        <w:t>This project asks a practical participation-strategy question: which Australian communities warrant deeper investigation for future community cricket acquisition, and what evidence should determine the appropriate response?</w:t>
      </w:r>
    </w:p>
    <w:p>
      <w:r>
        <w:rPr>
          <w:b/>
        </w:rPr>
        <w:t xml:space="preserve">Approach. </w:t>
      </w:r>
      <w:r>
        <w:t>Using Australian Bureau of Statistics population, age/sex and socioeconomic data, Cricket Australia strategy and participation context, state cricket evidence and local case-study sources, the project builds a transparent LGA-level Community Cricket Opportunity Potential model. The model deliberately separates demographic opportunity from Cricket System Readiness.</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Headline finding</w:t>
              <w:br/>
            </w:r>
            <w:r>
              <w:rPr>
                <w:sz w:val="20"/>
              </w:rPr>
              <w:t>The strongest demographic growth signals are concentrated in a small number of metropolitan growth systems. The top 20 LGAs for absolute growth in the 5-14 population added 106,387 children between 2019 and 2024; 94.6% of that Top-20 increase was concentrated in four broad growth systems: outer Melbourne, western/south-west Sydney, South East Queensland and the Perth growth belt.</w:t>
            </w:r>
          </w:p>
        </w:tc>
      </w:tr>
    </w:tbl>
    <w:p>
      <w:pPr>
        <w:pStyle w:val="Heading2"/>
      </w:pPr>
      <w:r>
        <w:t>Key findings</w:t>
      </w:r>
    </w:p>
    <w:p>
      <w:pPr>
        <w:pStyle w:val="ListBullet"/>
      </w:pPr>
      <w:r>
        <w:t>Market size, youth concentration and junior growth provide distinct information. Raw total population, junior population and girls' junior population are too highly correlated to be weighted independently.</w:t>
      </w:r>
    </w:p>
    <w:p>
      <w:pPr>
        <w:pStyle w:val="ListBullet"/>
      </w:pPr>
      <w:r>
        <w:t>The balanced Model V1 ranks Wyndham, Melton, Blacktown, Ipswich, Camden, Casey, Logan, Hume and The Hills among the strongest demographic opportunity areas nationally.</w:t>
      </w:r>
    </w:p>
    <w:p>
      <w:pPr>
        <w:pStyle w:val="ListBullet"/>
      </w:pPr>
      <w:r>
        <w:t>The Top 20 is highly stable under alternative weighting scenarios and reasonable eligibility thresholds, indicating that the shortlist is not an artefact of one arbitrary specification.</w:t>
      </w:r>
    </w:p>
    <w:p>
      <w:pPr>
        <w:pStyle w:val="ListBullet"/>
      </w:pPr>
      <w:r>
        <w:t>External case studies support different management responses: Blacktown shows a plausible capacity-gap pattern; Ipswich shows growth alongside new capacity; Armadale requires stronger participation validation before scaling.</w:t>
      </w:r>
    </w:p>
    <w:p>
      <w:pPr>
        <w:pStyle w:val="ListBullet"/>
      </w:pPr>
      <w:r>
        <w:t>The recommended national decision process is: Opportunity screening -&gt; Readiness diagnosis -&gt; Problem classification -&gt; Intervention -&gt; Outcome measurement.</w:t>
      </w:r>
    </w:p>
    <w:p>
      <w:pPr>
        <w:jc w:val="center"/>
      </w:pPr>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Dashboard_Executive_Overview_Preview.png"/>
                    <pic:cNvPicPr/>
                  </pic:nvPicPr>
                  <pic:blipFill>
                    <a:blip r:embed="rId11"/>
                    <a:stretch>
                      <a:fillRect/>
                    </a:stretch>
                  </pic:blipFill>
                  <pic:spPr>
                    <a:xfrm>
                      <a:off x="0" y="0"/>
                      <a:ext cx="6217920" cy="3730752"/>
                    </a:xfrm>
                    <a:prstGeom prst="rect"/>
                  </pic:spPr>
                </pic:pic>
              </a:graphicData>
            </a:graphic>
          </wp:inline>
        </w:drawing>
      </w:r>
    </w:p>
    <w:p>
      <w:pPr>
        <w:pStyle w:val="Caption"/>
        <w:jc w:val="center"/>
      </w:pPr>
      <w:r>
        <w:rPr>
          <w:i/>
          <w:color w:val="5A5A5A"/>
          <w:sz w:val="18"/>
        </w:rPr>
        <w:t>Figure 1. Executive dashboard prototype developed from the Opportunity Potential model.</w:t>
      </w:r>
    </w:p>
    <w:p>
      <w:r>
        <w:br w:type="page"/>
      </w:r>
    </w:p>
    <w:p>
      <w:pPr>
        <w:pStyle w:val="Heading1"/>
      </w:pPr>
      <w:r>
        <w:t>Contents</w:t>
      </w:r>
    </w:p>
    <w:p>
      <w:pPr>
        <w:ind w:left="288"/>
      </w:pPr>
      <w:r>
        <w:rPr>
          <w:b/>
        </w:rPr>
        <w:t xml:space="preserve">1. </w:t>
      </w:r>
      <w:r>
        <w:t>Business Problem and Strategic Context</w:t>
      </w:r>
    </w:p>
    <w:p>
      <w:pPr>
        <w:ind w:left="288"/>
      </w:pPr>
      <w:r>
        <w:rPr>
          <w:b/>
        </w:rPr>
        <w:t xml:space="preserve">2. </w:t>
      </w:r>
      <w:r>
        <w:t>Research Question and Scope</w:t>
      </w:r>
    </w:p>
    <w:p>
      <w:pPr>
        <w:ind w:left="288"/>
      </w:pPr>
      <w:r>
        <w:rPr>
          <w:b/>
        </w:rPr>
        <w:t xml:space="preserve">3. </w:t>
      </w:r>
      <w:r>
        <w:t>Data and Methodology</w:t>
      </w:r>
    </w:p>
    <w:p>
      <w:pPr>
        <w:ind w:left="288"/>
      </w:pPr>
      <w:r>
        <w:rPr>
          <w:b/>
        </w:rPr>
        <w:t xml:space="preserve">4. </w:t>
      </w:r>
      <w:r>
        <w:t>Exploratory Findings</w:t>
      </w:r>
    </w:p>
    <w:p>
      <w:pPr>
        <w:ind w:left="288"/>
      </w:pPr>
      <w:r>
        <w:rPr>
          <w:b/>
        </w:rPr>
        <w:t xml:space="preserve">5. </w:t>
      </w:r>
      <w:r>
        <w:t>Geographic Analysis</w:t>
      </w:r>
    </w:p>
    <w:p>
      <w:pPr>
        <w:ind w:left="288"/>
      </w:pPr>
      <w:r>
        <w:rPr>
          <w:b/>
        </w:rPr>
        <w:t xml:space="preserve">6. </w:t>
      </w:r>
      <w:r>
        <w:t>Opportunity Potential Model</w:t>
      </w:r>
    </w:p>
    <w:p>
      <w:pPr>
        <w:ind w:left="288"/>
      </w:pPr>
      <w:r>
        <w:rPr>
          <w:b/>
        </w:rPr>
        <w:t xml:space="preserve">7. </w:t>
      </w:r>
      <w:r>
        <w:t>Ranking and Segmentation</w:t>
      </w:r>
    </w:p>
    <w:p>
      <w:pPr>
        <w:ind w:left="288"/>
      </w:pPr>
      <w:r>
        <w:rPr>
          <w:b/>
        </w:rPr>
        <w:t xml:space="preserve">8. </w:t>
      </w:r>
      <w:r>
        <w:t>Priority Case Studies</w:t>
      </w:r>
    </w:p>
    <w:p>
      <w:pPr>
        <w:ind w:left="288"/>
      </w:pPr>
      <w:r>
        <w:rPr>
          <w:b/>
        </w:rPr>
        <w:t xml:space="preserve">9. </w:t>
      </w:r>
      <w:r>
        <w:t>Strategic Recommendations</w:t>
      </w:r>
    </w:p>
    <w:p>
      <w:pPr>
        <w:ind w:left="288"/>
      </w:pPr>
      <w:r>
        <w:rPr>
          <w:b/>
        </w:rPr>
        <w:t xml:space="preserve">10. </w:t>
      </w:r>
      <w:r>
        <w:t>Validation and Limitations</w:t>
      </w:r>
    </w:p>
    <w:p>
      <w:pPr>
        <w:ind w:left="288"/>
      </w:pPr>
      <w:r>
        <w:rPr>
          <w:b/>
        </w:rPr>
        <w:t xml:space="preserve">11. </w:t>
      </w:r>
      <w:r>
        <w:t>Power BI Dashboard Design</w:t>
      </w:r>
    </w:p>
    <w:p>
      <w:pPr>
        <w:ind w:left="288"/>
      </w:pPr>
      <w:r>
        <w:rPr>
          <w:b/>
        </w:rPr>
        <w:t xml:space="preserve">12. </w:t>
      </w:r>
      <w:r>
        <w:t>Conclusion</w:t>
      </w:r>
    </w:p>
    <w:p>
      <w:pPr>
        <w:ind w:left="288"/>
      </w:pPr>
      <w:r>
        <w:rPr>
          <w:b/>
        </w:rPr>
        <w:t xml:space="preserve">Appendix A. </w:t>
      </w:r>
      <w:r>
        <w:t>Top 20 Model V1 Rankings</w:t>
      </w:r>
    </w:p>
    <w:p>
      <w:pPr>
        <w:ind w:left="288"/>
      </w:pPr>
      <w:r>
        <w:rPr>
          <w:b/>
        </w:rPr>
        <w:t xml:space="preserve">Appendix B. </w:t>
      </w:r>
      <w:r>
        <w:t>Model Specification</w:t>
      </w:r>
    </w:p>
    <w:p>
      <w:pPr>
        <w:ind w:left="288"/>
      </w:pPr>
      <w:r>
        <w:rPr>
          <w:b/>
        </w:rPr>
        <w:t xml:space="preserve">Appendix C. </w:t>
      </w:r>
      <w:r>
        <w:t>Validation and Limitations Register</w:t>
      </w:r>
    </w:p>
    <w:p>
      <w:pPr>
        <w:ind w:left="288"/>
      </w:pPr>
      <w:r>
        <w:rPr>
          <w:b/>
        </w:rPr>
        <w:t xml:space="preserve">Appendix D. </w:t>
      </w:r>
      <w:r>
        <w:t>Selected Sources</w:t>
      </w:r>
    </w:p>
    <w:p>
      <w:r>
        <w:br w:type="page"/>
      </w:r>
    </w:p>
    <w:p>
      <w:pPr>
        <w:pStyle w:val="Heading1"/>
      </w:pPr>
      <w:r>
        <w:t>1. Business Problem and Strategic Context</w:t>
      </w:r>
    </w:p>
    <w:p>
      <w:r>
        <w:t>The Community Cricket Data &amp; Insights Manager role requires more than reporting participation totals. The underlying business problem is how to integrate fragmented participation, customer, demographic, research and operational evidence so Australian Cricket can decide where to invest, whom to target, how to retain participants and how to measure whether participation strategies are working.</w:t>
      </w:r>
    </w:p>
    <w:p>
      <w:pPr>
        <w:pStyle w:val="Heading2"/>
      </w:pPr>
      <w:r>
        <w:t>Strategic context</w:t>
      </w:r>
    </w:p>
    <w:p>
      <w:pPr>
        <w:pStyle w:val="ListBullet"/>
      </w:pPr>
      <w:r>
        <w:t>Australian Cricket's 2022-2027 strategy places strong emphasis on participation growth, junior participation, women and girls, multicultural inclusion and a sport-for-all vision.</w:t>
      </w:r>
    </w:p>
    <w:p>
      <w:pPr>
        <w:pStyle w:val="ListBullet"/>
      </w:pPr>
      <w:r>
        <w:t>Published participation ambitions include 210,000 registered participants aged 5-12 by 2027, including 60,000 girls, and more than 850,000 overall registered participants by 2027.</w:t>
      </w:r>
    </w:p>
    <w:p>
      <w:pPr>
        <w:pStyle w:val="ListBullet"/>
      </w:pPr>
      <w:r>
        <w:t>The Women &amp; Girls Action Plan 2024-2034 sets a longer-term ambition to grow girls aged 5-12 from roughly 25,000 to 100,000 by 2034.</w:t>
      </w:r>
    </w:p>
    <w:p>
      <w:pPr>
        <w:pStyle w:val="ListBullet"/>
      </w:pPr>
      <w:r>
        <w:t>The Multicultural Action Plan focuses on creating opportunities, reducing barriers and increasing South Asian participation, reinforcing the need for place-based, community-specific decision support.</w:t>
      </w:r>
    </w:p>
    <w:p>
      <w:pPr>
        <w:spacing w:after="40"/>
      </w:pPr>
      <w:r>
        <w:rPr>
          <w:color w:val="646464"/>
          <w:sz w:val="16"/>
        </w:rPr>
        <w:t>Strategic source set: Cricket Australia strategy, Women &amp; Girls Action Plan, Multicultural Action Plan, Australian Cricket Census and state association participation reporting.</w:t>
      </w:r>
    </w:p>
    <w:p>
      <w:pPr>
        <w:pStyle w:val="Heading1"/>
      </w:pPr>
      <w:r>
        <w:t>2. Research Question and Scope</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Primary research question</w:t>
              <w:br/>
            </w:r>
            <w:r>
              <w:rPr>
                <w:sz w:val="20"/>
              </w:rPr>
              <w:t>Which Australian communities show the strongest potential for community cricket participation growth, and what factors should Cricket Australia and State/Territory associations consider when prioritising participation-acquisition initiatives?</w:t>
            </w:r>
          </w:p>
        </w:tc>
      </w:tr>
    </w:tbl>
    <w:p>
      <w:r>
        <w:t>The primary unit of analysis is the Local Government Area (LGA). The analysis covers all Australian states and territories, with 2025 LGA geography used as the master structure. The model focuses on general acquisition opportunity, with particular strategic attention to junior participation, women and girls, multicultural growth and local delivery capacity.</w:t>
      </w:r>
    </w:p>
    <w:p>
      <w:pPr>
        <w:pStyle w:val="Heading2"/>
      </w:pPr>
      <w:r>
        <w:t>What is intentionally out of scope</w:t>
      </w:r>
    </w:p>
    <w:p>
      <w:pPr>
        <w:pStyle w:val="ListBullet"/>
      </w:pPr>
      <w:r>
        <w:t>Individual churn prediction</w:t>
      </w:r>
    </w:p>
    <w:p>
      <w:pPr>
        <w:pStyle w:val="ListBullet"/>
      </w:pPr>
      <w:r>
        <w:t>Professional cricket performance</w:t>
      </w:r>
    </w:p>
    <w:p>
      <w:pPr>
        <w:pStyle w:val="ListBullet"/>
      </w:pPr>
      <w:r>
        <w:t>Exact ROI or participant forecasts</w:t>
      </w:r>
    </w:p>
    <w:p>
      <w:pPr>
        <w:pStyle w:val="ListBullet"/>
      </w:pPr>
      <w:r>
        <w:t>Causal claims about demographic characteristics</w:t>
      </w:r>
    </w:p>
    <w:p>
      <w:pPr>
        <w:pStyle w:val="ListBullet"/>
      </w:pPr>
      <w:r>
        <w:t>Direct claims of low participation penetration where LGA registration data are unavailable</w:t>
      </w:r>
    </w:p>
    <w:p>
      <w:pPr>
        <w:pStyle w:val="Heading1"/>
      </w:pPr>
      <w:r>
        <w:t>3. Data and Methodology</w:t>
      </w:r>
    </w:p>
    <w:p>
      <w:pPr>
        <w:pStyle w:val="Heading2"/>
      </w:pPr>
      <w:r>
        <w:t>3.1 Data sources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8324A"/>
            <w:tcMar>
              <w:top w:w="80" w:type="dxa"/>
              <w:start w:w="80" w:type="dxa"/>
              <w:bottom w:w="80" w:type="dxa"/>
              <w:end w:w="80" w:type="dxa"/>
            </w:tcMar>
          </w:tcPr>
          <w:p>
            <w:pPr>
              <w:jc w:val="center"/>
            </w:pPr>
            <w:r>
              <w:rPr>
                <w:b/>
                <w:color w:val="FFFFFF"/>
                <w:sz w:val="17"/>
              </w:rPr>
              <w:t>Source</w:t>
            </w:r>
          </w:p>
        </w:tc>
        <w:tc>
          <w:tcPr>
            <w:tcW w:type="dxa" w:w="1872"/>
            <w:shd w:fill="18324A"/>
            <w:tcMar>
              <w:top w:w="80" w:type="dxa"/>
              <w:start w:w="80" w:type="dxa"/>
              <w:bottom w:w="80" w:type="dxa"/>
              <w:end w:w="80" w:type="dxa"/>
            </w:tcMar>
          </w:tcPr>
          <w:p>
            <w:pPr>
              <w:jc w:val="center"/>
            </w:pPr>
            <w:r>
              <w:rPr>
                <w:b/>
                <w:color w:val="FFFFFF"/>
                <w:sz w:val="17"/>
              </w:rPr>
              <w:t>Reference period</w:t>
            </w:r>
          </w:p>
        </w:tc>
        <w:tc>
          <w:tcPr>
            <w:tcW w:type="dxa" w:w="4464"/>
            <w:shd w:fill="18324A"/>
            <w:tcMar>
              <w:top w:w="80" w:type="dxa"/>
              <w:start w:w="80" w:type="dxa"/>
              <w:bottom w:w="80" w:type="dxa"/>
              <w:end w:w="80" w:type="dxa"/>
            </w:tcMar>
          </w:tcPr>
          <w:p>
            <w:pPr>
              <w:jc w:val="center"/>
            </w:pPr>
            <w:r>
              <w:rPr>
                <w:b/>
                <w:color w:val="FFFFFF"/>
                <w:sz w:val="17"/>
              </w:rPr>
              <w:t>Use in analysis</w:t>
            </w:r>
          </w:p>
        </w:tc>
      </w:tr>
      <w:tr>
        <w:tc>
          <w:tcPr>
            <w:tcW w:type="dxa" w:w="2880"/>
            <w:tcMar>
              <w:top w:w="80" w:type="dxa"/>
              <w:start w:w="80" w:type="dxa"/>
              <w:bottom w:w="80" w:type="dxa"/>
              <w:end w:w="80" w:type="dxa"/>
            </w:tcMar>
            <w:vAlign w:val="center"/>
            <w:shd w:fill="F5F7F9"/>
          </w:tcPr>
          <w:p>
            <w:r>
              <w:rPr>
                <w:sz w:val="17"/>
              </w:rPr>
              <w:t>ABS Regional Population</w:t>
            </w:r>
          </w:p>
        </w:tc>
        <w:tc>
          <w:tcPr>
            <w:tcW w:type="dxa" w:w="1872"/>
            <w:tcMar>
              <w:top w:w="80" w:type="dxa"/>
              <w:start w:w="80" w:type="dxa"/>
              <w:bottom w:w="80" w:type="dxa"/>
              <w:end w:w="80" w:type="dxa"/>
            </w:tcMar>
            <w:vAlign w:val="center"/>
            <w:shd w:fill="F5F7F9"/>
          </w:tcPr>
          <w:p>
            <w:r>
              <w:rPr>
                <w:sz w:val="17"/>
              </w:rPr>
              <w:t>2025 / time series</w:t>
            </w:r>
          </w:p>
        </w:tc>
        <w:tc>
          <w:tcPr>
            <w:tcW w:type="dxa" w:w="4464"/>
            <w:tcMar>
              <w:top w:w="80" w:type="dxa"/>
              <w:start w:w="80" w:type="dxa"/>
              <w:bottom w:w="80" w:type="dxa"/>
              <w:end w:w="80" w:type="dxa"/>
            </w:tcMar>
            <w:vAlign w:val="center"/>
            <w:shd w:fill="F5F7F9"/>
          </w:tcPr>
          <w:p>
            <w:r>
              <w:rPr>
                <w:sz w:val="17"/>
              </w:rPr>
              <w:t>Current population, one-year and five-year population growth</w:t>
            </w:r>
          </w:p>
        </w:tc>
      </w:tr>
      <w:tr>
        <w:tc>
          <w:tcPr>
            <w:tcW w:type="dxa" w:w="2880"/>
            <w:tcMar>
              <w:top w:w="80" w:type="dxa"/>
              <w:start w:w="80" w:type="dxa"/>
              <w:bottom w:w="80" w:type="dxa"/>
              <w:end w:w="80" w:type="dxa"/>
            </w:tcMar>
            <w:vAlign w:val="center"/>
          </w:tcPr>
          <w:p>
            <w:r>
              <w:rPr>
                <w:sz w:val="17"/>
              </w:rPr>
              <w:t>ABS Regional Population by Age and Sex</w:t>
            </w:r>
          </w:p>
        </w:tc>
        <w:tc>
          <w:tcPr>
            <w:tcW w:type="dxa" w:w="1872"/>
            <w:tcMar>
              <w:top w:w="80" w:type="dxa"/>
              <w:start w:w="80" w:type="dxa"/>
              <w:bottom w:w="80" w:type="dxa"/>
              <w:end w:w="80" w:type="dxa"/>
            </w:tcMar>
            <w:vAlign w:val="center"/>
          </w:tcPr>
          <w:p>
            <w:r>
              <w:rPr>
                <w:sz w:val="17"/>
              </w:rPr>
              <w:t>2024 / 2001-2024</w:t>
            </w:r>
          </w:p>
        </w:tc>
        <w:tc>
          <w:tcPr>
            <w:tcW w:type="dxa" w:w="4464"/>
            <w:tcMar>
              <w:top w:w="80" w:type="dxa"/>
              <w:start w:w="80" w:type="dxa"/>
              <w:bottom w:w="80" w:type="dxa"/>
              <w:end w:w="80" w:type="dxa"/>
            </w:tcMar>
            <w:vAlign w:val="center"/>
          </w:tcPr>
          <w:p>
            <w:r>
              <w:rPr>
                <w:sz w:val="17"/>
              </w:rPr>
              <w:t>Current 5-14 population, girls 5-14, historical junior growth</w:t>
            </w:r>
          </w:p>
        </w:tc>
      </w:tr>
      <w:tr>
        <w:tc>
          <w:tcPr>
            <w:tcW w:type="dxa" w:w="2880"/>
            <w:tcMar>
              <w:top w:w="80" w:type="dxa"/>
              <w:start w:w="80" w:type="dxa"/>
              <w:bottom w:w="80" w:type="dxa"/>
              <w:end w:w="80" w:type="dxa"/>
            </w:tcMar>
            <w:vAlign w:val="center"/>
            <w:shd w:fill="F5F7F9"/>
          </w:tcPr>
          <w:p>
            <w:r>
              <w:rPr>
                <w:sz w:val="17"/>
              </w:rPr>
              <w:t>ABS SEIFA</w:t>
            </w:r>
          </w:p>
        </w:tc>
        <w:tc>
          <w:tcPr>
            <w:tcW w:type="dxa" w:w="1872"/>
            <w:tcMar>
              <w:top w:w="80" w:type="dxa"/>
              <w:start w:w="80" w:type="dxa"/>
              <w:bottom w:w="80" w:type="dxa"/>
              <w:end w:w="80" w:type="dxa"/>
            </w:tcMar>
            <w:vAlign w:val="center"/>
            <w:shd w:fill="F5F7F9"/>
          </w:tcPr>
          <w:p>
            <w:r>
              <w:rPr>
                <w:sz w:val="17"/>
              </w:rPr>
              <w:t>2021</w:t>
            </w:r>
          </w:p>
        </w:tc>
        <w:tc>
          <w:tcPr>
            <w:tcW w:type="dxa" w:w="4464"/>
            <w:tcMar>
              <w:top w:w="80" w:type="dxa"/>
              <w:start w:w="80" w:type="dxa"/>
              <w:bottom w:w="80" w:type="dxa"/>
              <w:end w:w="80" w:type="dxa"/>
            </w:tcMar>
            <w:vAlign w:val="center"/>
            <w:shd w:fill="F5F7F9"/>
          </w:tcPr>
          <w:p>
            <w:r>
              <w:rPr>
                <w:sz w:val="17"/>
              </w:rPr>
              <w:t>Socioeconomic context</w:t>
            </w:r>
          </w:p>
        </w:tc>
      </w:tr>
      <w:tr>
        <w:tc>
          <w:tcPr>
            <w:tcW w:type="dxa" w:w="2880"/>
            <w:tcMar>
              <w:top w:w="80" w:type="dxa"/>
              <w:start w:w="80" w:type="dxa"/>
              <w:bottom w:w="80" w:type="dxa"/>
              <w:end w:w="80" w:type="dxa"/>
            </w:tcMar>
            <w:vAlign w:val="center"/>
          </w:tcPr>
          <w:p>
            <w:r>
              <w:rPr>
                <w:sz w:val="17"/>
              </w:rPr>
              <w:t>Cricket Australia / State Associations</w:t>
            </w:r>
          </w:p>
        </w:tc>
        <w:tc>
          <w:tcPr>
            <w:tcW w:type="dxa" w:w="1872"/>
            <w:tcMar>
              <w:top w:w="80" w:type="dxa"/>
              <w:start w:w="80" w:type="dxa"/>
              <w:bottom w:w="80" w:type="dxa"/>
              <w:end w:w="80" w:type="dxa"/>
            </w:tcMar>
            <w:vAlign w:val="center"/>
          </w:tcPr>
          <w:p>
            <w:r>
              <w:rPr>
                <w:sz w:val="17"/>
              </w:rPr>
              <w:t>Various</w:t>
            </w:r>
          </w:p>
        </w:tc>
        <w:tc>
          <w:tcPr>
            <w:tcW w:type="dxa" w:w="4464"/>
            <w:tcMar>
              <w:top w:w="80" w:type="dxa"/>
              <w:start w:w="80" w:type="dxa"/>
              <w:bottom w:w="80" w:type="dxa"/>
              <w:end w:w="80" w:type="dxa"/>
            </w:tcMar>
            <w:vAlign w:val="center"/>
          </w:tcPr>
          <w:p>
            <w:r>
              <w:rPr>
                <w:sz w:val="17"/>
              </w:rPr>
              <w:t>Strategy, participation benchmarks and contextual validation</w:t>
            </w:r>
          </w:p>
        </w:tc>
      </w:tr>
      <w:tr>
        <w:tc>
          <w:tcPr>
            <w:tcW w:type="dxa" w:w="2880"/>
            <w:tcMar>
              <w:top w:w="80" w:type="dxa"/>
              <w:start w:w="80" w:type="dxa"/>
              <w:bottom w:w="80" w:type="dxa"/>
              <w:end w:w="80" w:type="dxa"/>
            </w:tcMar>
            <w:vAlign w:val="center"/>
            <w:shd w:fill="F5F7F9"/>
          </w:tcPr>
          <w:p>
            <w:r>
              <w:rPr>
                <w:sz w:val="17"/>
              </w:rPr>
              <w:t>Council / local cricket sources</w:t>
            </w:r>
          </w:p>
        </w:tc>
        <w:tc>
          <w:tcPr>
            <w:tcW w:type="dxa" w:w="1872"/>
            <w:tcMar>
              <w:top w:w="80" w:type="dxa"/>
              <w:start w:w="80" w:type="dxa"/>
              <w:bottom w:w="80" w:type="dxa"/>
              <w:end w:w="80" w:type="dxa"/>
            </w:tcMar>
            <w:vAlign w:val="center"/>
            <w:shd w:fill="F5F7F9"/>
          </w:tcPr>
          <w:p>
            <w:r>
              <w:rPr>
                <w:sz w:val="17"/>
              </w:rPr>
              <w:t>2024-2026</w:t>
            </w:r>
          </w:p>
        </w:tc>
        <w:tc>
          <w:tcPr>
            <w:tcW w:type="dxa" w:w="4464"/>
            <w:tcMar>
              <w:top w:w="80" w:type="dxa"/>
              <w:start w:w="80" w:type="dxa"/>
              <w:bottom w:w="80" w:type="dxa"/>
              <w:end w:w="80" w:type="dxa"/>
            </w:tcMar>
            <w:vAlign w:val="center"/>
            <w:shd w:fill="F5F7F9"/>
          </w:tcPr>
          <w:p>
            <w:r>
              <w:rPr>
                <w:sz w:val="17"/>
              </w:rPr>
              <w:t>Case-study evidence on capacity, infrastructure and programs</w:t>
            </w:r>
          </w:p>
        </w:tc>
      </w:tr>
      <w:tr>
        <w:tc>
          <w:tcPr>
            <w:tcW w:type="dxa" w:w="2880"/>
            <w:tcMar>
              <w:top w:w="80" w:type="dxa"/>
              <w:start w:w="80" w:type="dxa"/>
              <w:bottom w:w="80" w:type="dxa"/>
              <w:end w:w="80" w:type="dxa"/>
            </w:tcMar>
            <w:vAlign w:val="center"/>
          </w:tcPr>
          <w:p>
            <w:r>
              <w:rPr>
                <w:sz w:val="17"/>
              </w:rPr>
              <w:t>Power BI-ready model output</w:t>
            </w:r>
          </w:p>
        </w:tc>
        <w:tc>
          <w:tcPr>
            <w:tcW w:type="dxa" w:w="1872"/>
            <w:tcMar>
              <w:top w:w="80" w:type="dxa"/>
              <w:start w:w="80" w:type="dxa"/>
              <w:bottom w:w="80" w:type="dxa"/>
              <w:end w:w="80" w:type="dxa"/>
            </w:tcMar>
            <w:vAlign w:val="center"/>
          </w:tcPr>
          <w:p>
            <w:r>
              <w:rPr>
                <w:sz w:val="17"/>
              </w:rPr>
              <w:t>Phase 17</w:t>
            </w:r>
          </w:p>
        </w:tc>
        <w:tc>
          <w:tcPr>
            <w:tcW w:type="dxa" w:w="4464"/>
            <w:tcMar>
              <w:top w:w="80" w:type="dxa"/>
              <w:start w:w="80" w:type="dxa"/>
              <w:bottom w:w="80" w:type="dxa"/>
              <w:end w:w="80" w:type="dxa"/>
            </w:tcMar>
            <w:vAlign w:val="center"/>
          </w:tcPr>
          <w:p>
            <w:r>
              <w:rPr>
                <w:sz w:val="17"/>
              </w:rPr>
              <w:t>Dashboard implementation dataset and DAX measures</w:t>
            </w:r>
          </w:p>
        </w:tc>
      </w:tr>
    </w:tbl>
    <w:p>
      <w:pPr>
        <w:spacing w:after="40"/>
      </w:pPr>
    </w:p>
    <w:p>
      <w:pPr>
        <w:pStyle w:val="Heading2"/>
      </w:pPr>
      <w:r>
        <w:t>3.2 Geographic and age decisions</w:t>
      </w:r>
    </w:p>
    <w:p>
      <w:r>
        <w:t>The master dataset contains 548 current LGA records. Age data are available for 546, with East Arnhem and Groote Archipelago affected by a documented 2025 geographic restructure. For national Model V1 ranking, 365 LGAs meet the minimum-population guardrails and valid-age criteria.</w:t>
      </w:r>
    </w:p>
    <w:p>
      <w:r>
        <w:t>The latest public ABS age workbook provides five-year bands rather than exact single-year ages. The model therefore uses the directly observed 5-14 population as the current junior-market measure rather than constructing a false-precision 5-12 estimate.</w:t>
      </w:r>
    </w:p>
    <w:p>
      <w:pPr>
        <w:pStyle w:val="Heading2"/>
      </w:pPr>
      <w:r>
        <w:t>3.3 Analytical architecture</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Core design principle</w:t>
              <w:br/>
            </w:r>
            <w:r>
              <w:rPr>
                <w:sz w:val="20"/>
              </w:rPr>
              <w:t>Opportunity Potential and Cricket System Readiness remain separate. A community can have strong demographic opportunity but insufficient local capacity, or strong cricket supply but weaker future demographic growth.</w:t>
            </w:r>
          </w:p>
        </w:tc>
      </w:tr>
    </w:tbl>
    <w:p>
      <w:pPr>
        <w:pStyle w:val="ListBullet"/>
      </w:pPr>
      <w:r>
        <w:t>Market Size - current scale of the 5-14 population.</w:t>
      </w:r>
    </w:p>
    <w:p>
      <w:pPr>
        <w:pStyle w:val="ListBullet"/>
      </w:pPr>
      <w:r>
        <w:t>Youth Concentration - share of the local population aged 5-14.</w:t>
      </w:r>
    </w:p>
    <w:p>
      <w:pPr>
        <w:pStyle w:val="ListBullet"/>
      </w:pPr>
      <w:r>
        <w:t>Growth Momentum - combination of absolute and percentage growth in the 5-14 population from 2019 to 2024.</w:t>
      </w:r>
    </w:p>
    <w:p>
      <w:pPr>
        <w:pStyle w:val="ListBullet"/>
      </w:pPr>
      <w:r>
        <w:t>Context - SEIFA and geographic factors used for interpretation rather than direct scoring.</w:t>
      </w:r>
    </w:p>
    <w:p>
      <w:pPr>
        <w:pStyle w:val="ListBullet"/>
      </w:pPr>
      <w:r>
        <w:t>System Readiness - intended future layer covering clubs, programs, facilities, capacity and workforce.</w:t>
      </w:r>
    </w:p>
    <w:p>
      <w:pPr>
        <w:pStyle w:val="Heading1"/>
      </w:pPr>
      <w:r>
        <w:t>4. Exploratory Findings</w:t>
      </w:r>
    </w:p>
    <w:p>
      <w:r>
        <w:t>Exploratory data analysis materially simplified the model. The raw absolute population measures are highly redundant: total population and 5-14 population have a Spearman rank correlation of approximately 0.993, while girls 5-14 and total 5-14 counts are effectively the same ranking signal. This means a model that weighted each of those counts independently would substantially double-count LGA size.</w:t>
      </w:r>
    </w:p>
    <w:p>
      <w:pPr>
        <w:jc w:val="center"/>
      </w:pPr>
      <w:r>
        <w:drawing>
          <wp:inline xmlns:a="http://schemas.openxmlformats.org/drawingml/2006/main" xmlns:pic="http://schemas.openxmlformats.org/drawingml/2006/picture">
            <wp:extent cx="5852160" cy="4023360"/>
            <wp:docPr id="2" name="Picture 2"/>
            <wp:cNvGraphicFramePr>
              <a:graphicFrameLocks noChangeAspect="1"/>
            </wp:cNvGraphicFramePr>
            <a:graphic>
              <a:graphicData uri="http://schemas.openxmlformats.org/drawingml/2006/picture">
                <pic:pic>
                  <pic:nvPicPr>
                    <pic:cNvPr id="0" name="01_population_vs_junior_market.png"/>
                    <pic:cNvPicPr/>
                  </pic:nvPicPr>
                  <pic:blipFill>
                    <a:blip r:embed="rId12"/>
                    <a:stretch>
                      <a:fillRect/>
                    </a:stretch>
                  </pic:blipFill>
                  <pic:spPr>
                    <a:xfrm>
                      <a:off x="0" y="0"/>
                      <a:ext cx="5852160" cy="4023360"/>
                    </a:xfrm>
                    <a:prstGeom prst="rect"/>
                  </pic:spPr>
                </pic:pic>
              </a:graphicData>
            </a:graphic>
          </wp:inline>
        </w:drawing>
      </w:r>
    </w:p>
    <w:p>
      <w:pPr>
        <w:pStyle w:val="Caption"/>
        <w:jc w:val="center"/>
      </w:pPr>
      <w:r>
        <w:rPr>
          <w:i/>
          <w:color w:val="5A5A5A"/>
          <w:sz w:val="18"/>
        </w:rPr>
        <w:t>Figure 2. LGA size strongly determines absolute junior-market size.</w:t>
      </w:r>
    </w:p>
    <w:p>
      <w:r>
        <w:t>Growth is different. Overall population growth and junior growth are related but not interchangeable (Spearman approximately 0.57), supporting a separate Growth Momentum pillar. Large current junior markets can be stagnant or shrinking, while smaller markets can be expanding rapidly.</w:t>
      </w:r>
    </w:p>
    <w:p>
      <w:pPr>
        <w:jc w:val="center"/>
      </w:pPr>
      <w:r>
        <w:drawing>
          <wp:inline xmlns:a="http://schemas.openxmlformats.org/drawingml/2006/main" xmlns:pic="http://schemas.openxmlformats.org/drawingml/2006/picture">
            <wp:extent cx="5852160" cy="4023360"/>
            <wp:docPr id="3" name="Picture 3"/>
            <wp:cNvGraphicFramePr>
              <a:graphicFrameLocks noChangeAspect="1"/>
            </wp:cNvGraphicFramePr>
            <a:graphic>
              <a:graphicData uri="http://schemas.openxmlformats.org/drawingml/2006/picture">
                <pic:pic>
                  <pic:nvPicPr>
                    <pic:cNvPr id="0" name="02_population_growth_vs_junior_growth.png"/>
                    <pic:cNvPicPr/>
                  </pic:nvPicPr>
                  <pic:blipFill>
                    <a:blip r:embed="rId13"/>
                    <a:stretch>
                      <a:fillRect/>
                    </a:stretch>
                  </pic:blipFill>
                  <pic:spPr>
                    <a:xfrm>
                      <a:off x="0" y="0"/>
                      <a:ext cx="5852160" cy="4023360"/>
                    </a:xfrm>
                    <a:prstGeom prst="rect"/>
                  </pic:spPr>
                </pic:pic>
              </a:graphicData>
            </a:graphic>
          </wp:inline>
        </w:drawing>
      </w:r>
    </w:p>
    <w:p>
      <w:pPr>
        <w:pStyle w:val="Caption"/>
        <w:jc w:val="center"/>
      </w:pPr>
      <w:r>
        <w:rPr>
          <w:i/>
          <w:color w:val="5A5A5A"/>
          <w:sz w:val="18"/>
        </w:rPr>
        <w:t>Figure 3. Total population growth and junior growth provide related but distinct signals.</w:t>
      </w:r>
    </w:p>
    <w:p>
      <w:pPr>
        <w:pStyle w:val="Heading2"/>
      </w:pPr>
      <w:r>
        <w:t>4.1 Examples of strong absolute junior growth</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720"/>
            <w:shd w:fill="18324A"/>
            <w:tcMar>
              <w:top w:w="80" w:type="dxa"/>
              <w:start w:w="80" w:type="dxa"/>
              <w:bottom w:w="80" w:type="dxa"/>
              <w:end w:w="80" w:type="dxa"/>
            </w:tcMar>
          </w:tcPr>
          <w:p>
            <w:pPr>
              <w:jc w:val="center"/>
            </w:pPr>
            <w:r>
              <w:rPr>
                <w:b/>
                <w:color w:val="FFFFFF"/>
                <w:sz w:val="17"/>
              </w:rPr>
              <w:t>Rank</w:t>
            </w:r>
          </w:p>
        </w:tc>
        <w:tc>
          <w:tcPr>
            <w:tcW w:type="dxa" w:w="2448"/>
            <w:shd w:fill="18324A"/>
            <w:tcMar>
              <w:top w:w="80" w:type="dxa"/>
              <w:start w:w="80" w:type="dxa"/>
              <w:bottom w:w="80" w:type="dxa"/>
              <w:end w:w="80" w:type="dxa"/>
            </w:tcMar>
          </w:tcPr>
          <w:p>
            <w:pPr>
              <w:jc w:val="center"/>
            </w:pPr>
            <w:r>
              <w:rPr>
                <w:b/>
                <w:color w:val="FFFFFF"/>
                <w:sz w:val="17"/>
              </w:rPr>
              <w:t>LGA</w:t>
            </w:r>
          </w:p>
        </w:tc>
        <w:tc>
          <w:tcPr>
            <w:tcW w:type="dxa" w:w="1872"/>
            <w:shd w:fill="18324A"/>
            <w:tcMar>
              <w:top w:w="80" w:type="dxa"/>
              <w:start w:w="80" w:type="dxa"/>
              <w:bottom w:w="80" w:type="dxa"/>
              <w:end w:w="80" w:type="dxa"/>
            </w:tcMar>
          </w:tcPr>
          <w:p>
            <w:pPr>
              <w:jc w:val="center"/>
            </w:pPr>
            <w:r>
              <w:rPr>
                <w:b/>
                <w:color w:val="FFFFFF"/>
                <w:sz w:val="17"/>
              </w:rPr>
              <w:t>State</w:t>
            </w:r>
          </w:p>
        </w:tc>
        <w:tc>
          <w:tcPr>
            <w:tcW w:type="dxa" w:w="2016"/>
            <w:shd w:fill="18324A"/>
            <w:tcMar>
              <w:top w:w="80" w:type="dxa"/>
              <w:start w:w="80" w:type="dxa"/>
              <w:bottom w:w="80" w:type="dxa"/>
              <w:end w:w="80" w:type="dxa"/>
            </w:tcMar>
          </w:tcPr>
          <w:p>
            <w:pPr>
              <w:jc w:val="center"/>
            </w:pPr>
            <w:r>
              <w:rPr>
                <w:b/>
                <w:color w:val="FFFFFF"/>
                <w:sz w:val="17"/>
              </w:rPr>
              <w:t>Additional 5-14</w:t>
            </w:r>
          </w:p>
        </w:tc>
        <w:tc>
          <w:tcPr>
            <w:tcW w:type="dxa" w:w="1440"/>
            <w:shd w:fill="18324A"/>
            <w:tcMar>
              <w:top w:w="80" w:type="dxa"/>
              <w:start w:w="80" w:type="dxa"/>
              <w:bottom w:w="80" w:type="dxa"/>
              <w:end w:w="80" w:type="dxa"/>
            </w:tcMar>
          </w:tcPr>
          <w:p>
            <w:pPr>
              <w:jc w:val="center"/>
            </w:pPr>
            <w:r>
              <w:rPr>
                <w:b/>
                <w:color w:val="FFFFFF"/>
                <w:sz w:val="17"/>
              </w:rPr>
              <w:t>Growth %</w:t>
            </w:r>
          </w:p>
        </w:tc>
      </w:tr>
      <w:tr>
        <w:tc>
          <w:tcPr>
            <w:tcW w:type="dxa" w:w="720"/>
            <w:tcMar>
              <w:top w:w="80" w:type="dxa"/>
              <w:start w:w="80" w:type="dxa"/>
              <w:bottom w:w="80" w:type="dxa"/>
              <w:end w:w="80" w:type="dxa"/>
            </w:tcMar>
            <w:vAlign w:val="center"/>
            <w:shd w:fill="F5F7F9"/>
          </w:tcPr>
          <w:p>
            <w:r>
              <w:rPr>
                <w:sz w:val="17"/>
              </w:rPr>
              <w:t>1</w:t>
            </w:r>
          </w:p>
        </w:tc>
        <w:tc>
          <w:tcPr>
            <w:tcW w:type="dxa" w:w="2448"/>
            <w:tcMar>
              <w:top w:w="80" w:type="dxa"/>
              <w:start w:w="80" w:type="dxa"/>
              <w:bottom w:w="80" w:type="dxa"/>
              <w:end w:w="80" w:type="dxa"/>
            </w:tcMar>
            <w:vAlign w:val="center"/>
            <w:shd w:fill="F5F7F9"/>
          </w:tcPr>
          <w:p>
            <w:r>
              <w:rPr>
                <w:sz w:val="17"/>
              </w:rPr>
              <w:t>Wyndham</w:t>
            </w:r>
          </w:p>
        </w:tc>
        <w:tc>
          <w:tcPr>
            <w:tcW w:type="dxa" w:w="1872"/>
            <w:tcMar>
              <w:top w:w="80" w:type="dxa"/>
              <w:start w:w="80" w:type="dxa"/>
              <w:bottom w:w="80" w:type="dxa"/>
              <w:end w:w="80" w:type="dxa"/>
            </w:tcMar>
            <w:vAlign w:val="center"/>
            <w:shd w:fill="F5F7F9"/>
          </w:tcPr>
          <w:p>
            <w:r>
              <w:rPr>
                <w:sz w:val="17"/>
              </w:rPr>
              <w:t>Victoria</w:t>
            </w:r>
          </w:p>
        </w:tc>
        <w:tc>
          <w:tcPr>
            <w:tcW w:type="dxa" w:w="2016"/>
            <w:tcMar>
              <w:top w:w="80" w:type="dxa"/>
              <w:start w:w="80" w:type="dxa"/>
              <w:bottom w:w="80" w:type="dxa"/>
              <w:end w:w="80" w:type="dxa"/>
            </w:tcMar>
            <w:vAlign w:val="center"/>
            <w:shd w:fill="F5F7F9"/>
          </w:tcPr>
          <w:p>
            <w:r>
              <w:rPr>
                <w:sz w:val="17"/>
              </w:rPr>
              <w:t>13,313</w:t>
            </w:r>
          </w:p>
        </w:tc>
        <w:tc>
          <w:tcPr>
            <w:tcW w:type="dxa" w:w="1440"/>
            <w:tcMar>
              <w:top w:w="80" w:type="dxa"/>
              <w:start w:w="80" w:type="dxa"/>
              <w:bottom w:w="80" w:type="dxa"/>
              <w:end w:w="80" w:type="dxa"/>
            </w:tcMar>
            <w:vAlign w:val="center"/>
            <w:shd w:fill="F5F7F9"/>
          </w:tcPr>
          <w:p>
            <w:r>
              <w:rPr>
                <w:sz w:val="17"/>
              </w:rPr>
              <w:t>30.9%</w:t>
            </w:r>
          </w:p>
        </w:tc>
      </w:tr>
      <w:tr>
        <w:tc>
          <w:tcPr>
            <w:tcW w:type="dxa" w:w="720"/>
            <w:tcMar>
              <w:top w:w="80" w:type="dxa"/>
              <w:start w:w="80" w:type="dxa"/>
              <w:bottom w:w="80" w:type="dxa"/>
              <w:end w:w="80" w:type="dxa"/>
            </w:tcMar>
            <w:vAlign w:val="center"/>
          </w:tcPr>
          <w:p>
            <w:r>
              <w:rPr>
                <w:sz w:val="17"/>
              </w:rPr>
              <w:t>2</w:t>
            </w:r>
          </w:p>
        </w:tc>
        <w:tc>
          <w:tcPr>
            <w:tcW w:type="dxa" w:w="2448"/>
            <w:tcMar>
              <w:top w:w="80" w:type="dxa"/>
              <w:start w:w="80" w:type="dxa"/>
              <w:bottom w:w="80" w:type="dxa"/>
              <w:end w:w="80" w:type="dxa"/>
            </w:tcMar>
            <w:vAlign w:val="center"/>
          </w:tcPr>
          <w:p>
            <w:r>
              <w:rPr>
                <w:sz w:val="17"/>
              </w:rPr>
              <w:t>Blacktown</w:t>
            </w:r>
          </w:p>
        </w:tc>
        <w:tc>
          <w:tcPr>
            <w:tcW w:type="dxa" w:w="1872"/>
            <w:tcMar>
              <w:top w:w="80" w:type="dxa"/>
              <w:start w:w="80" w:type="dxa"/>
              <w:bottom w:w="80" w:type="dxa"/>
              <w:end w:w="80" w:type="dxa"/>
            </w:tcMar>
            <w:vAlign w:val="center"/>
          </w:tcPr>
          <w:p>
            <w:r>
              <w:rPr>
                <w:sz w:val="17"/>
              </w:rPr>
              <w:t>New South Wales</w:t>
            </w:r>
          </w:p>
        </w:tc>
        <w:tc>
          <w:tcPr>
            <w:tcW w:type="dxa" w:w="2016"/>
            <w:tcMar>
              <w:top w:w="80" w:type="dxa"/>
              <w:start w:w="80" w:type="dxa"/>
              <w:bottom w:w="80" w:type="dxa"/>
              <w:end w:w="80" w:type="dxa"/>
            </w:tcMar>
            <w:vAlign w:val="center"/>
          </w:tcPr>
          <w:p>
            <w:r>
              <w:rPr>
                <w:sz w:val="17"/>
              </w:rPr>
              <w:t>9,571</w:t>
            </w:r>
          </w:p>
        </w:tc>
        <w:tc>
          <w:tcPr>
            <w:tcW w:type="dxa" w:w="1440"/>
            <w:tcMar>
              <w:top w:w="80" w:type="dxa"/>
              <w:start w:w="80" w:type="dxa"/>
              <w:bottom w:w="80" w:type="dxa"/>
              <w:end w:w="80" w:type="dxa"/>
            </w:tcMar>
            <w:vAlign w:val="center"/>
          </w:tcPr>
          <w:p>
            <w:r>
              <w:rPr>
                <w:sz w:val="17"/>
              </w:rPr>
              <w:t>17.0%</w:t>
            </w:r>
          </w:p>
        </w:tc>
      </w:tr>
      <w:tr>
        <w:tc>
          <w:tcPr>
            <w:tcW w:type="dxa" w:w="720"/>
            <w:tcMar>
              <w:top w:w="80" w:type="dxa"/>
              <w:start w:w="80" w:type="dxa"/>
              <w:bottom w:w="80" w:type="dxa"/>
              <w:end w:w="80" w:type="dxa"/>
            </w:tcMar>
            <w:vAlign w:val="center"/>
            <w:shd w:fill="F5F7F9"/>
          </w:tcPr>
          <w:p>
            <w:r>
              <w:rPr>
                <w:sz w:val="17"/>
              </w:rPr>
              <w:t>3</w:t>
            </w:r>
          </w:p>
        </w:tc>
        <w:tc>
          <w:tcPr>
            <w:tcW w:type="dxa" w:w="2448"/>
            <w:tcMar>
              <w:top w:w="80" w:type="dxa"/>
              <w:start w:w="80" w:type="dxa"/>
              <w:bottom w:w="80" w:type="dxa"/>
              <w:end w:w="80" w:type="dxa"/>
            </w:tcMar>
            <w:vAlign w:val="center"/>
            <w:shd w:fill="F5F7F9"/>
          </w:tcPr>
          <w:p>
            <w:r>
              <w:rPr>
                <w:sz w:val="17"/>
              </w:rPr>
              <w:t>Melton</w:t>
            </w:r>
          </w:p>
        </w:tc>
        <w:tc>
          <w:tcPr>
            <w:tcW w:type="dxa" w:w="1872"/>
            <w:tcMar>
              <w:top w:w="80" w:type="dxa"/>
              <w:start w:w="80" w:type="dxa"/>
              <w:bottom w:w="80" w:type="dxa"/>
              <w:end w:w="80" w:type="dxa"/>
            </w:tcMar>
            <w:vAlign w:val="center"/>
            <w:shd w:fill="F5F7F9"/>
          </w:tcPr>
          <w:p>
            <w:r>
              <w:rPr>
                <w:sz w:val="17"/>
              </w:rPr>
              <w:t>Victoria</w:t>
            </w:r>
          </w:p>
        </w:tc>
        <w:tc>
          <w:tcPr>
            <w:tcW w:type="dxa" w:w="2016"/>
            <w:tcMar>
              <w:top w:w="80" w:type="dxa"/>
              <w:start w:w="80" w:type="dxa"/>
              <w:bottom w:w="80" w:type="dxa"/>
              <w:end w:w="80" w:type="dxa"/>
            </w:tcMar>
            <w:vAlign w:val="center"/>
            <w:shd w:fill="F5F7F9"/>
          </w:tcPr>
          <w:p>
            <w:r>
              <w:rPr>
                <w:sz w:val="17"/>
              </w:rPr>
              <w:t>8,438</w:t>
            </w:r>
          </w:p>
        </w:tc>
        <w:tc>
          <w:tcPr>
            <w:tcW w:type="dxa" w:w="1440"/>
            <w:tcMar>
              <w:top w:w="80" w:type="dxa"/>
              <w:start w:w="80" w:type="dxa"/>
              <w:bottom w:w="80" w:type="dxa"/>
              <w:end w:w="80" w:type="dxa"/>
            </w:tcMar>
            <w:vAlign w:val="center"/>
            <w:shd w:fill="F5F7F9"/>
          </w:tcPr>
          <w:p>
            <w:r>
              <w:rPr>
                <w:sz w:val="17"/>
              </w:rPr>
              <w:t>31.3%</w:t>
            </w:r>
          </w:p>
        </w:tc>
      </w:tr>
      <w:tr>
        <w:tc>
          <w:tcPr>
            <w:tcW w:type="dxa" w:w="720"/>
            <w:tcMar>
              <w:top w:w="80" w:type="dxa"/>
              <w:start w:w="80" w:type="dxa"/>
              <w:bottom w:w="80" w:type="dxa"/>
              <w:end w:w="80" w:type="dxa"/>
            </w:tcMar>
            <w:vAlign w:val="center"/>
          </w:tcPr>
          <w:p>
            <w:r>
              <w:rPr>
                <w:sz w:val="17"/>
              </w:rPr>
              <w:t>4</w:t>
            </w:r>
          </w:p>
        </w:tc>
        <w:tc>
          <w:tcPr>
            <w:tcW w:type="dxa" w:w="2448"/>
            <w:tcMar>
              <w:top w:w="80" w:type="dxa"/>
              <w:start w:w="80" w:type="dxa"/>
              <w:bottom w:w="80" w:type="dxa"/>
              <w:end w:w="80" w:type="dxa"/>
            </w:tcMar>
            <w:vAlign w:val="center"/>
          </w:tcPr>
          <w:p>
            <w:r>
              <w:rPr>
                <w:sz w:val="17"/>
              </w:rPr>
              <w:t>Casey</w:t>
            </w:r>
          </w:p>
        </w:tc>
        <w:tc>
          <w:tcPr>
            <w:tcW w:type="dxa" w:w="1872"/>
            <w:tcMar>
              <w:top w:w="80" w:type="dxa"/>
              <w:start w:w="80" w:type="dxa"/>
              <w:bottom w:w="80" w:type="dxa"/>
              <w:end w:w="80" w:type="dxa"/>
            </w:tcMar>
            <w:vAlign w:val="center"/>
          </w:tcPr>
          <w:p>
            <w:r>
              <w:rPr>
                <w:sz w:val="17"/>
              </w:rPr>
              <w:t>Victoria</w:t>
            </w:r>
          </w:p>
        </w:tc>
        <w:tc>
          <w:tcPr>
            <w:tcW w:type="dxa" w:w="2016"/>
            <w:tcMar>
              <w:top w:w="80" w:type="dxa"/>
              <w:start w:w="80" w:type="dxa"/>
              <w:bottom w:w="80" w:type="dxa"/>
              <w:end w:w="80" w:type="dxa"/>
            </w:tcMar>
            <w:vAlign w:val="center"/>
          </w:tcPr>
          <w:p>
            <w:r>
              <w:rPr>
                <w:sz w:val="17"/>
              </w:rPr>
              <w:t>7,925</w:t>
            </w:r>
          </w:p>
        </w:tc>
        <w:tc>
          <w:tcPr>
            <w:tcW w:type="dxa" w:w="1440"/>
            <w:tcMar>
              <w:top w:w="80" w:type="dxa"/>
              <w:start w:w="80" w:type="dxa"/>
              <w:bottom w:w="80" w:type="dxa"/>
              <w:end w:w="80" w:type="dxa"/>
            </w:tcMar>
            <w:vAlign w:val="center"/>
          </w:tcPr>
          <w:p>
            <w:r>
              <w:rPr>
                <w:sz w:val="17"/>
              </w:rPr>
              <w:t>15.1%</w:t>
            </w:r>
          </w:p>
        </w:tc>
      </w:tr>
      <w:tr>
        <w:tc>
          <w:tcPr>
            <w:tcW w:type="dxa" w:w="720"/>
            <w:tcMar>
              <w:top w:w="80" w:type="dxa"/>
              <w:start w:w="80" w:type="dxa"/>
              <w:bottom w:w="80" w:type="dxa"/>
              <w:end w:w="80" w:type="dxa"/>
            </w:tcMar>
            <w:vAlign w:val="center"/>
            <w:shd w:fill="F5F7F9"/>
          </w:tcPr>
          <w:p>
            <w:r>
              <w:rPr>
                <w:sz w:val="17"/>
              </w:rPr>
              <w:t>5</w:t>
            </w:r>
          </w:p>
        </w:tc>
        <w:tc>
          <w:tcPr>
            <w:tcW w:type="dxa" w:w="2448"/>
            <w:tcMar>
              <w:top w:w="80" w:type="dxa"/>
              <w:start w:w="80" w:type="dxa"/>
              <w:bottom w:w="80" w:type="dxa"/>
              <w:end w:w="80" w:type="dxa"/>
            </w:tcMar>
            <w:vAlign w:val="center"/>
            <w:shd w:fill="F5F7F9"/>
          </w:tcPr>
          <w:p>
            <w:r>
              <w:rPr>
                <w:sz w:val="17"/>
              </w:rPr>
              <w:t>Logan</w:t>
            </w:r>
          </w:p>
        </w:tc>
        <w:tc>
          <w:tcPr>
            <w:tcW w:type="dxa" w:w="1872"/>
            <w:tcMar>
              <w:top w:w="80" w:type="dxa"/>
              <w:start w:w="80" w:type="dxa"/>
              <w:bottom w:w="80" w:type="dxa"/>
              <w:end w:w="80" w:type="dxa"/>
            </w:tcMar>
            <w:vAlign w:val="center"/>
            <w:shd w:fill="F5F7F9"/>
          </w:tcPr>
          <w:p>
            <w:r>
              <w:rPr>
                <w:sz w:val="17"/>
              </w:rPr>
              <w:t>Queensland</w:t>
            </w:r>
          </w:p>
        </w:tc>
        <w:tc>
          <w:tcPr>
            <w:tcW w:type="dxa" w:w="2016"/>
            <w:tcMar>
              <w:top w:w="80" w:type="dxa"/>
              <w:start w:w="80" w:type="dxa"/>
              <w:bottom w:w="80" w:type="dxa"/>
              <w:end w:w="80" w:type="dxa"/>
            </w:tcMar>
            <w:vAlign w:val="center"/>
            <w:shd w:fill="F5F7F9"/>
          </w:tcPr>
          <w:p>
            <w:r>
              <w:rPr>
                <w:sz w:val="17"/>
              </w:rPr>
              <w:t>6,746</w:t>
            </w:r>
          </w:p>
        </w:tc>
        <w:tc>
          <w:tcPr>
            <w:tcW w:type="dxa" w:w="1440"/>
            <w:tcMar>
              <w:top w:w="80" w:type="dxa"/>
              <w:start w:w="80" w:type="dxa"/>
              <w:bottom w:w="80" w:type="dxa"/>
              <w:end w:w="80" w:type="dxa"/>
            </w:tcMar>
            <w:vAlign w:val="center"/>
            <w:shd w:fill="F5F7F9"/>
          </w:tcPr>
          <w:p>
            <w:r>
              <w:rPr>
                <w:sz w:val="17"/>
              </w:rPr>
              <w:t>13.1%</w:t>
            </w:r>
          </w:p>
        </w:tc>
      </w:tr>
      <w:tr>
        <w:tc>
          <w:tcPr>
            <w:tcW w:type="dxa" w:w="720"/>
            <w:tcMar>
              <w:top w:w="80" w:type="dxa"/>
              <w:start w:w="80" w:type="dxa"/>
              <w:bottom w:w="80" w:type="dxa"/>
              <w:end w:w="80" w:type="dxa"/>
            </w:tcMar>
            <w:vAlign w:val="center"/>
          </w:tcPr>
          <w:p>
            <w:r>
              <w:rPr>
                <w:sz w:val="17"/>
              </w:rPr>
              <w:t>6</w:t>
            </w:r>
          </w:p>
        </w:tc>
        <w:tc>
          <w:tcPr>
            <w:tcW w:type="dxa" w:w="2448"/>
            <w:tcMar>
              <w:top w:w="80" w:type="dxa"/>
              <w:start w:w="80" w:type="dxa"/>
              <w:bottom w:w="80" w:type="dxa"/>
              <w:end w:w="80" w:type="dxa"/>
            </w:tcMar>
            <w:vAlign w:val="center"/>
          </w:tcPr>
          <w:p>
            <w:r>
              <w:rPr>
                <w:sz w:val="17"/>
              </w:rPr>
              <w:t>Camden</w:t>
            </w:r>
          </w:p>
        </w:tc>
        <w:tc>
          <w:tcPr>
            <w:tcW w:type="dxa" w:w="1872"/>
            <w:tcMar>
              <w:top w:w="80" w:type="dxa"/>
              <w:start w:w="80" w:type="dxa"/>
              <w:bottom w:w="80" w:type="dxa"/>
              <w:end w:w="80" w:type="dxa"/>
            </w:tcMar>
            <w:vAlign w:val="center"/>
          </w:tcPr>
          <w:p>
            <w:r>
              <w:rPr>
                <w:sz w:val="17"/>
              </w:rPr>
              <w:t>New South Wales</w:t>
            </w:r>
          </w:p>
        </w:tc>
        <w:tc>
          <w:tcPr>
            <w:tcW w:type="dxa" w:w="2016"/>
            <w:tcMar>
              <w:top w:w="80" w:type="dxa"/>
              <w:start w:w="80" w:type="dxa"/>
              <w:bottom w:w="80" w:type="dxa"/>
              <w:end w:w="80" w:type="dxa"/>
            </w:tcMar>
            <w:vAlign w:val="center"/>
          </w:tcPr>
          <w:p>
            <w:r>
              <w:rPr>
                <w:sz w:val="17"/>
              </w:rPr>
              <w:t>6,449</w:t>
            </w:r>
          </w:p>
        </w:tc>
        <w:tc>
          <w:tcPr>
            <w:tcW w:type="dxa" w:w="1440"/>
            <w:tcMar>
              <w:top w:w="80" w:type="dxa"/>
              <w:start w:w="80" w:type="dxa"/>
              <w:bottom w:w="80" w:type="dxa"/>
              <w:end w:w="80" w:type="dxa"/>
            </w:tcMar>
            <w:vAlign w:val="center"/>
          </w:tcPr>
          <w:p>
            <w:r>
              <w:rPr>
                <w:sz w:val="17"/>
              </w:rPr>
              <w:t>39.3%</w:t>
            </w:r>
          </w:p>
        </w:tc>
      </w:tr>
      <w:tr>
        <w:tc>
          <w:tcPr>
            <w:tcW w:type="dxa" w:w="720"/>
            <w:tcMar>
              <w:top w:w="80" w:type="dxa"/>
              <w:start w:w="80" w:type="dxa"/>
              <w:bottom w:w="80" w:type="dxa"/>
              <w:end w:w="80" w:type="dxa"/>
            </w:tcMar>
            <w:vAlign w:val="center"/>
            <w:shd w:fill="F5F7F9"/>
          </w:tcPr>
          <w:p>
            <w:r>
              <w:rPr>
                <w:sz w:val="17"/>
              </w:rPr>
              <w:t>7</w:t>
            </w:r>
          </w:p>
        </w:tc>
        <w:tc>
          <w:tcPr>
            <w:tcW w:type="dxa" w:w="2448"/>
            <w:tcMar>
              <w:top w:w="80" w:type="dxa"/>
              <w:start w:w="80" w:type="dxa"/>
              <w:bottom w:w="80" w:type="dxa"/>
              <w:end w:w="80" w:type="dxa"/>
            </w:tcMar>
            <w:vAlign w:val="center"/>
            <w:shd w:fill="F5F7F9"/>
          </w:tcPr>
          <w:p>
            <w:r>
              <w:rPr>
                <w:sz w:val="17"/>
              </w:rPr>
              <w:t>Hume</w:t>
            </w:r>
          </w:p>
        </w:tc>
        <w:tc>
          <w:tcPr>
            <w:tcW w:type="dxa" w:w="1872"/>
            <w:tcMar>
              <w:top w:w="80" w:type="dxa"/>
              <w:start w:w="80" w:type="dxa"/>
              <w:bottom w:w="80" w:type="dxa"/>
              <w:end w:w="80" w:type="dxa"/>
            </w:tcMar>
            <w:vAlign w:val="center"/>
            <w:shd w:fill="F5F7F9"/>
          </w:tcPr>
          <w:p>
            <w:r>
              <w:rPr>
                <w:sz w:val="17"/>
              </w:rPr>
              <w:t>Victoria</w:t>
            </w:r>
          </w:p>
        </w:tc>
        <w:tc>
          <w:tcPr>
            <w:tcW w:type="dxa" w:w="2016"/>
            <w:tcMar>
              <w:top w:w="80" w:type="dxa"/>
              <w:start w:w="80" w:type="dxa"/>
              <w:bottom w:w="80" w:type="dxa"/>
              <w:end w:w="80" w:type="dxa"/>
            </w:tcMar>
            <w:vAlign w:val="center"/>
            <w:shd w:fill="F5F7F9"/>
          </w:tcPr>
          <w:p>
            <w:r>
              <w:rPr>
                <w:sz w:val="17"/>
              </w:rPr>
              <w:t>5,973</w:t>
            </w:r>
          </w:p>
        </w:tc>
        <w:tc>
          <w:tcPr>
            <w:tcW w:type="dxa" w:w="1440"/>
            <w:tcMar>
              <w:top w:w="80" w:type="dxa"/>
              <w:start w:w="80" w:type="dxa"/>
              <w:bottom w:w="80" w:type="dxa"/>
              <w:end w:w="80" w:type="dxa"/>
            </w:tcMar>
            <w:vAlign w:val="center"/>
            <w:shd w:fill="F5F7F9"/>
          </w:tcPr>
          <w:p>
            <w:r>
              <w:rPr>
                <w:sz w:val="17"/>
              </w:rPr>
              <w:t>17.5%</w:t>
            </w:r>
          </w:p>
        </w:tc>
      </w:tr>
      <w:tr>
        <w:tc>
          <w:tcPr>
            <w:tcW w:type="dxa" w:w="720"/>
            <w:tcMar>
              <w:top w:w="80" w:type="dxa"/>
              <w:start w:w="80" w:type="dxa"/>
              <w:bottom w:w="80" w:type="dxa"/>
              <w:end w:w="80" w:type="dxa"/>
            </w:tcMar>
            <w:vAlign w:val="center"/>
          </w:tcPr>
          <w:p>
            <w:r>
              <w:rPr>
                <w:sz w:val="17"/>
              </w:rPr>
              <w:t>8</w:t>
            </w:r>
          </w:p>
        </w:tc>
        <w:tc>
          <w:tcPr>
            <w:tcW w:type="dxa" w:w="2448"/>
            <w:tcMar>
              <w:top w:w="80" w:type="dxa"/>
              <w:start w:w="80" w:type="dxa"/>
              <w:bottom w:w="80" w:type="dxa"/>
              <w:end w:w="80" w:type="dxa"/>
            </w:tcMar>
            <w:vAlign w:val="center"/>
          </w:tcPr>
          <w:p>
            <w:r>
              <w:rPr>
                <w:sz w:val="17"/>
              </w:rPr>
              <w:t>Brisbane</w:t>
            </w:r>
          </w:p>
        </w:tc>
        <w:tc>
          <w:tcPr>
            <w:tcW w:type="dxa" w:w="1872"/>
            <w:tcMar>
              <w:top w:w="80" w:type="dxa"/>
              <w:start w:w="80" w:type="dxa"/>
              <w:bottom w:w="80" w:type="dxa"/>
              <w:end w:w="80" w:type="dxa"/>
            </w:tcMar>
            <w:vAlign w:val="center"/>
          </w:tcPr>
          <w:p>
            <w:r>
              <w:rPr>
                <w:sz w:val="17"/>
              </w:rPr>
              <w:t>Queensland</w:t>
            </w:r>
          </w:p>
        </w:tc>
        <w:tc>
          <w:tcPr>
            <w:tcW w:type="dxa" w:w="2016"/>
            <w:tcMar>
              <w:top w:w="80" w:type="dxa"/>
              <w:start w:w="80" w:type="dxa"/>
              <w:bottom w:w="80" w:type="dxa"/>
              <w:end w:w="80" w:type="dxa"/>
            </w:tcMar>
            <w:vAlign w:val="center"/>
          </w:tcPr>
          <w:p>
            <w:r>
              <w:rPr>
                <w:sz w:val="17"/>
              </w:rPr>
              <w:t>5,730</w:t>
            </w:r>
          </w:p>
        </w:tc>
        <w:tc>
          <w:tcPr>
            <w:tcW w:type="dxa" w:w="1440"/>
            <w:tcMar>
              <w:top w:w="80" w:type="dxa"/>
              <w:start w:w="80" w:type="dxa"/>
              <w:bottom w:w="80" w:type="dxa"/>
              <w:end w:w="80" w:type="dxa"/>
            </w:tcMar>
            <w:vAlign w:val="center"/>
          </w:tcPr>
          <w:p>
            <w:r>
              <w:rPr>
                <w:sz w:val="17"/>
              </w:rPr>
              <w:t>3.9%</w:t>
            </w:r>
          </w:p>
        </w:tc>
      </w:tr>
      <w:tr>
        <w:tc>
          <w:tcPr>
            <w:tcW w:type="dxa" w:w="720"/>
            <w:tcMar>
              <w:top w:w="80" w:type="dxa"/>
              <w:start w:w="80" w:type="dxa"/>
              <w:bottom w:w="80" w:type="dxa"/>
              <w:end w:w="80" w:type="dxa"/>
            </w:tcMar>
            <w:vAlign w:val="center"/>
            <w:shd w:fill="F5F7F9"/>
          </w:tcPr>
          <w:p>
            <w:r>
              <w:rPr>
                <w:sz w:val="17"/>
              </w:rPr>
              <w:t>9</w:t>
            </w:r>
          </w:p>
        </w:tc>
        <w:tc>
          <w:tcPr>
            <w:tcW w:type="dxa" w:w="2448"/>
            <w:tcMar>
              <w:top w:w="80" w:type="dxa"/>
              <w:start w:w="80" w:type="dxa"/>
              <w:bottom w:w="80" w:type="dxa"/>
              <w:end w:w="80" w:type="dxa"/>
            </w:tcMar>
            <w:vAlign w:val="center"/>
            <w:shd w:fill="F5F7F9"/>
          </w:tcPr>
          <w:p>
            <w:r>
              <w:rPr>
                <w:sz w:val="17"/>
              </w:rPr>
              <w:t>The Hills</w:t>
            </w:r>
          </w:p>
        </w:tc>
        <w:tc>
          <w:tcPr>
            <w:tcW w:type="dxa" w:w="1872"/>
            <w:tcMar>
              <w:top w:w="80" w:type="dxa"/>
              <w:start w:w="80" w:type="dxa"/>
              <w:bottom w:w="80" w:type="dxa"/>
              <w:end w:w="80" w:type="dxa"/>
            </w:tcMar>
            <w:vAlign w:val="center"/>
            <w:shd w:fill="F5F7F9"/>
          </w:tcPr>
          <w:p>
            <w:r>
              <w:rPr>
                <w:sz w:val="17"/>
              </w:rPr>
              <w:t>New South Wales</w:t>
            </w:r>
          </w:p>
        </w:tc>
        <w:tc>
          <w:tcPr>
            <w:tcW w:type="dxa" w:w="2016"/>
            <w:tcMar>
              <w:top w:w="80" w:type="dxa"/>
              <w:start w:w="80" w:type="dxa"/>
              <w:bottom w:w="80" w:type="dxa"/>
              <w:end w:w="80" w:type="dxa"/>
            </w:tcMar>
            <w:vAlign w:val="center"/>
            <w:shd w:fill="F5F7F9"/>
          </w:tcPr>
          <w:p>
            <w:r>
              <w:rPr>
                <w:sz w:val="17"/>
              </w:rPr>
              <w:t>4,994</w:t>
            </w:r>
          </w:p>
        </w:tc>
        <w:tc>
          <w:tcPr>
            <w:tcW w:type="dxa" w:w="1440"/>
            <w:tcMar>
              <w:top w:w="80" w:type="dxa"/>
              <w:start w:w="80" w:type="dxa"/>
              <w:bottom w:w="80" w:type="dxa"/>
              <w:end w:w="80" w:type="dxa"/>
            </w:tcMar>
            <w:vAlign w:val="center"/>
            <w:shd w:fill="F5F7F9"/>
          </w:tcPr>
          <w:p>
            <w:r>
              <w:rPr>
                <w:sz w:val="17"/>
              </w:rPr>
              <w:t>18.2%</w:t>
            </w:r>
          </w:p>
        </w:tc>
      </w:tr>
      <w:tr>
        <w:tc>
          <w:tcPr>
            <w:tcW w:type="dxa" w:w="720"/>
            <w:tcMar>
              <w:top w:w="80" w:type="dxa"/>
              <w:start w:w="80" w:type="dxa"/>
              <w:bottom w:w="80" w:type="dxa"/>
              <w:end w:w="80" w:type="dxa"/>
            </w:tcMar>
            <w:vAlign w:val="center"/>
          </w:tcPr>
          <w:p>
            <w:r>
              <w:rPr>
                <w:sz w:val="17"/>
              </w:rPr>
              <w:t>10</w:t>
            </w:r>
          </w:p>
        </w:tc>
        <w:tc>
          <w:tcPr>
            <w:tcW w:type="dxa" w:w="2448"/>
            <w:tcMar>
              <w:top w:w="80" w:type="dxa"/>
              <w:start w:w="80" w:type="dxa"/>
              <w:bottom w:w="80" w:type="dxa"/>
              <w:end w:w="80" w:type="dxa"/>
            </w:tcMar>
            <w:vAlign w:val="center"/>
          </w:tcPr>
          <w:p>
            <w:r>
              <w:rPr>
                <w:sz w:val="17"/>
              </w:rPr>
              <w:t>Ipswich</w:t>
            </w:r>
          </w:p>
        </w:tc>
        <w:tc>
          <w:tcPr>
            <w:tcW w:type="dxa" w:w="1872"/>
            <w:tcMar>
              <w:top w:w="80" w:type="dxa"/>
              <w:start w:w="80" w:type="dxa"/>
              <w:bottom w:w="80" w:type="dxa"/>
              <w:end w:w="80" w:type="dxa"/>
            </w:tcMar>
            <w:vAlign w:val="center"/>
          </w:tcPr>
          <w:p>
            <w:r>
              <w:rPr>
                <w:sz w:val="17"/>
              </w:rPr>
              <w:t>Queensland</w:t>
            </w:r>
          </w:p>
        </w:tc>
        <w:tc>
          <w:tcPr>
            <w:tcW w:type="dxa" w:w="2016"/>
            <w:tcMar>
              <w:top w:w="80" w:type="dxa"/>
              <w:start w:w="80" w:type="dxa"/>
              <w:bottom w:w="80" w:type="dxa"/>
              <w:end w:w="80" w:type="dxa"/>
            </w:tcMar>
            <w:vAlign w:val="center"/>
          </w:tcPr>
          <w:p>
            <w:r>
              <w:rPr>
                <w:sz w:val="17"/>
              </w:rPr>
              <w:t>4,829</w:t>
            </w:r>
          </w:p>
        </w:tc>
        <w:tc>
          <w:tcPr>
            <w:tcW w:type="dxa" w:w="1440"/>
            <w:tcMar>
              <w:top w:w="80" w:type="dxa"/>
              <w:start w:w="80" w:type="dxa"/>
              <w:bottom w:w="80" w:type="dxa"/>
              <w:end w:w="80" w:type="dxa"/>
            </w:tcMar>
            <w:vAlign w:val="center"/>
          </w:tcPr>
          <w:p>
            <w:r>
              <w:rPr>
                <w:sz w:val="17"/>
              </w:rPr>
              <w:t>13.9%</w:t>
            </w:r>
          </w:p>
        </w:tc>
      </w:tr>
    </w:tbl>
    <w:p>
      <w:pPr>
        <w:spacing w:after="40"/>
      </w:pPr>
    </w:p>
    <w:p>
      <w:pPr>
        <w:pStyle w:val="Heading1"/>
      </w:pPr>
      <w:r>
        <w:t>5. Geographic Analysis</w:t>
      </w:r>
    </w:p>
    <w:p>
      <w:r>
        <w:t>The strongest absolute increases in the junior market are geographically concentrated rather than scattered randomly. The national Top 20 for absolute 5-14 growth collectively added 106,387 children between 2019 and 2024. Four broad growth systems account for approximately 100,671 of that increase (94.6%).</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shd w:fill="18324A"/>
            <w:tcMar>
              <w:top w:w="80" w:type="dxa"/>
              <w:start w:w="80" w:type="dxa"/>
              <w:bottom w:w="80" w:type="dxa"/>
              <w:end w:w="80" w:type="dxa"/>
            </w:tcMar>
          </w:tcPr>
          <w:p>
            <w:pPr>
              <w:jc w:val="center"/>
            </w:pPr>
            <w:r>
              <w:rPr>
                <w:b/>
                <w:color w:val="FFFFFF"/>
                <w:sz w:val="16"/>
              </w:rPr>
              <w:t>Growth system</w:t>
            </w:r>
          </w:p>
        </w:tc>
        <w:tc>
          <w:tcPr>
            <w:tcW w:type="dxa" w:w="1152"/>
            <w:shd w:fill="18324A"/>
            <w:tcMar>
              <w:top w:w="80" w:type="dxa"/>
              <w:start w:w="80" w:type="dxa"/>
              <w:bottom w:w="80" w:type="dxa"/>
              <w:end w:w="80" w:type="dxa"/>
            </w:tcMar>
          </w:tcPr>
          <w:p>
            <w:pPr>
              <w:jc w:val="center"/>
            </w:pPr>
            <w:r>
              <w:rPr>
                <w:b/>
                <w:color w:val="FFFFFF"/>
                <w:sz w:val="16"/>
              </w:rPr>
              <w:t>Top-20 LGAs</w:t>
            </w:r>
          </w:p>
        </w:tc>
        <w:tc>
          <w:tcPr>
            <w:tcW w:type="dxa" w:w="1728"/>
            <w:shd w:fill="18324A"/>
            <w:tcMar>
              <w:top w:w="80" w:type="dxa"/>
              <w:start w:w="80" w:type="dxa"/>
              <w:bottom w:w="80" w:type="dxa"/>
              <w:end w:w="80" w:type="dxa"/>
            </w:tcMar>
          </w:tcPr>
          <w:p>
            <w:pPr>
              <w:jc w:val="center"/>
            </w:pPr>
            <w:r>
              <w:rPr>
                <w:b/>
                <w:color w:val="FFFFFF"/>
                <w:sz w:val="16"/>
              </w:rPr>
              <w:t>Additional 5-14</w:t>
            </w:r>
          </w:p>
        </w:tc>
        <w:tc>
          <w:tcPr>
            <w:tcW w:type="dxa" w:w="4320"/>
            <w:shd w:fill="18324A"/>
            <w:tcMar>
              <w:top w:w="80" w:type="dxa"/>
              <w:start w:w="80" w:type="dxa"/>
              <w:bottom w:w="80" w:type="dxa"/>
              <w:end w:w="80" w:type="dxa"/>
            </w:tcMar>
          </w:tcPr>
          <w:p>
            <w:pPr>
              <w:jc w:val="center"/>
            </w:pPr>
            <w:r>
              <w:rPr>
                <w:b/>
                <w:color w:val="FFFFFF"/>
                <w:sz w:val="16"/>
              </w:rPr>
              <w:t>Member LGAs</w:t>
            </w:r>
          </w:p>
        </w:tc>
      </w:tr>
      <w:tr>
        <w:tc>
          <w:tcPr>
            <w:tcW w:type="dxa" w:w="2592"/>
            <w:tcMar>
              <w:top w:w="80" w:type="dxa"/>
              <w:start w:w="80" w:type="dxa"/>
              <w:bottom w:w="80" w:type="dxa"/>
              <w:end w:w="80" w:type="dxa"/>
            </w:tcMar>
            <w:vAlign w:val="center"/>
            <w:shd w:fill="F5F7F9"/>
          </w:tcPr>
          <w:p>
            <w:r>
              <w:rPr>
                <w:sz w:val="16"/>
              </w:rPr>
              <w:t>Melbourne outer growth belt</w:t>
            </w:r>
          </w:p>
        </w:tc>
        <w:tc>
          <w:tcPr>
            <w:tcW w:type="dxa" w:w="1152"/>
            <w:tcMar>
              <w:top w:w="80" w:type="dxa"/>
              <w:start w:w="80" w:type="dxa"/>
              <w:bottom w:w="80" w:type="dxa"/>
              <w:end w:w="80" w:type="dxa"/>
            </w:tcMar>
            <w:vAlign w:val="center"/>
            <w:shd w:fill="F5F7F9"/>
          </w:tcPr>
          <w:p>
            <w:r>
              <w:rPr>
                <w:sz w:val="16"/>
              </w:rPr>
              <w:t>6</w:t>
            </w:r>
          </w:p>
        </w:tc>
        <w:tc>
          <w:tcPr>
            <w:tcW w:type="dxa" w:w="1728"/>
            <w:tcMar>
              <w:top w:w="80" w:type="dxa"/>
              <w:start w:w="80" w:type="dxa"/>
              <w:bottom w:w="80" w:type="dxa"/>
              <w:end w:w="80" w:type="dxa"/>
            </w:tcMar>
            <w:vAlign w:val="center"/>
            <w:shd w:fill="F5F7F9"/>
          </w:tcPr>
          <w:p>
            <w:r>
              <w:rPr>
                <w:sz w:val="16"/>
              </w:rPr>
              <w:t>42,505</w:t>
            </w:r>
          </w:p>
        </w:tc>
        <w:tc>
          <w:tcPr>
            <w:tcW w:type="dxa" w:w="4320"/>
            <w:tcMar>
              <w:top w:w="80" w:type="dxa"/>
              <w:start w:w="80" w:type="dxa"/>
              <w:bottom w:w="80" w:type="dxa"/>
              <w:end w:w="80" w:type="dxa"/>
            </w:tcMar>
            <w:vAlign w:val="center"/>
            <w:shd w:fill="F5F7F9"/>
          </w:tcPr>
          <w:p>
            <w:r>
              <w:rPr>
                <w:sz w:val="16"/>
              </w:rPr>
              <w:t>Wyndham, Melton, Casey, Hume, Whittlesea, Cardinia</w:t>
            </w:r>
          </w:p>
        </w:tc>
      </w:tr>
      <w:tr>
        <w:tc>
          <w:tcPr>
            <w:tcW w:type="dxa" w:w="2592"/>
            <w:tcMar>
              <w:top w:w="80" w:type="dxa"/>
              <w:start w:w="80" w:type="dxa"/>
              <w:bottom w:w="80" w:type="dxa"/>
              <w:end w:w="80" w:type="dxa"/>
            </w:tcMar>
            <w:vAlign w:val="center"/>
          </w:tcPr>
          <w:p>
            <w:r>
              <w:rPr>
                <w:sz w:val="16"/>
              </w:rPr>
              <w:t>Western / south-west Sydney</w:t>
            </w:r>
          </w:p>
        </w:tc>
        <w:tc>
          <w:tcPr>
            <w:tcW w:type="dxa" w:w="1152"/>
            <w:tcMar>
              <w:top w:w="80" w:type="dxa"/>
              <w:start w:w="80" w:type="dxa"/>
              <w:bottom w:w="80" w:type="dxa"/>
              <w:end w:w="80" w:type="dxa"/>
            </w:tcMar>
            <w:vAlign w:val="center"/>
          </w:tcPr>
          <w:p>
            <w:r>
              <w:rPr>
                <w:sz w:val="16"/>
              </w:rPr>
              <w:t>5</w:t>
            </w:r>
          </w:p>
        </w:tc>
        <w:tc>
          <w:tcPr>
            <w:tcW w:type="dxa" w:w="1728"/>
            <w:tcMar>
              <w:top w:w="80" w:type="dxa"/>
              <w:start w:w="80" w:type="dxa"/>
              <w:bottom w:w="80" w:type="dxa"/>
              <w:end w:w="80" w:type="dxa"/>
            </w:tcMar>
            <w:vAlign w:val="center"/>
          </w:tcPr>
          <w:p>
            <w:r>
              <w:rPr>
                <w:sz w:val="16"/>
              </w:rPr>
              <w:t>26,982</w:t>
            </w:r>
          </w:p>
        </w:tc>
        <w:tc>
          <w:tcPr>
            <w:tcW w:type="dxa" w:w="4320"/>
            <w:tcMar>
              <w:top w:w="80" w:type="dxa"/>
              <w:start w:w="80" w:type="dxa"/>
              <w:bottom w:w="80" w:type="dxa"/>
              <w:end w:w="80" w:type="dxa"/>
            </w:tcMar>
            <w:vAlign w:val="center"/>
          </w:tcPr>
          <w:p>
            <w:r>
              <w:rPr>
                <w:sz w:val="16"/>
              </w:rPr>
              <w:t>Blacktown, Camden, The Hills, Liverpool, Campbelltown (NSW)</w:t>
            </w:r>
          </w:p>
        </w:tc>
      </w:tr>
      <w:tr>
        <w:tc>
          <w:tcPr>
            <w:tcW w:type="dxa" w:w="2592"/>
            <w:tcMar>
              <w:top w:w="80" w:type="dxa"/>
              <w:start w:w="80" w:type="dxa"/>
              <w:bottom w:w="80" w:type="dxa"/>
              <w:end w:w="80" w:type="dxa"/>
            </w:tcMar>
            <w:vAlign w:val="center"/>
            <w:shd w:fill="F5F7F9"/>
          </w:tcPr>
          <w:p>
            <w:r>
              <w:rPr>
                <w:sz w:val="16"/>
              </w:rPr>
              <w:t>South East Queensland</w:t>
            </w:r>
          </w:p>
        </w:tc>
        <w:tc>
          <w:tcPr>
            <w:tcW w:type="dxa" w:w="1152"/>
            <w:tcMar>
              <w:top w:w="80" w:type="dxa"/>
              <w:start w:w="80" w:type="dxa"/>
              <w:bottom w:w="80" w:type="dxa"/>
              <w:end w:w="80" w:type="dxa"/>
            </w:tcMar>
            <w:vAlign w:val="center"/>
            <w:shd w:fill="F5F7F9"/>
          </w:tcPr>
          <w:p>
            <w:r>
              <w:rPr>
                <w:sz w:val="16"/>
              </w:rPr>
              <w:t>4</w:t>
            </w:r>
          </w:p>
        </w:tc>
        <w:tc>
          <w:tcPr>
            <w:tcW w:type="dxa" w:w="1728"/>
            <w:tcMar>
              <w:top w:w="80" w:type="dxa"/>
              <w:start w:w="80" w:type="dxa"/>
              <w:bottom w:w="80" w:type="dxa"/>
              <w:end w:w="80" w:type="dxa"/>
            </w:tcMar>
            <w:vAlign w:val="center"/>
            <w:shd w:fill="F5F7F9"/>
          </w:tcPr>
          <w:p>
            <w:r>
              <w:rPr>
                <w:sz w:val="16"/>
              </w:rPr>
              <w:t>20,784</w:t>
            </w:r>
          </w:p>
        </w:tc>
        <w:tc>
          <w:tcPr>
            <w:tcW w:type="dxa" w:w="4320"/>
            <w:tcMar>
              <w:top w:w="80" w:type="dxa"/>
              <w:start w:w="80" w:type="dxa"/>
              <w:bottom w:w="80" w:type="dxa"/>
              <w:end w:w="80" w:type="dxa"/>
            </w:tcMar>
            <w:vAlign w:val="center"/>
            <w:shd w:fill="F5F7F9"/>
          </w:tcPr>
          <w:p>
            <w:r>
              <w:rPr>
                <w:sz w:val="16"/>
              </w:rPr>
              <w:t>Logan, Brisbane, Ipswich, Sunshine Coast</w:t>
            </w:r>
          </w:p>
        </w:tc>
      </w:tr>
      <w:tr>
        <w:tc>
          <w:tcPr>
            <w:tcW w:type="dxa" w:w="2592"/>
            <w:tcMar>
              <w:top w:w="80" w:type="dxa"/>
              <w:start w:w="80" w:type="dxa"/>
              <w:bottom w:w="80" w:type="dxa"/>
              <w:end w:w="80" w:type="dxa"/>
            </w:tcMar>
            <w:vAlign w:val="center"/>
          </w:tcPr>
          <w:p>
            <w:r>
              <w:rPr>
                <w:sz w:val="16"/>
              </w:rPr>
              <w:t>Perth growth belt</w:t>
            </w:r>
          </w:p>
        </w:tc>
        <w:tc>
          <w:tcPr>
            <w:tcW w:type="dxa" w:w="1152"/>
            <w:tcMar>
              <w:top w:w="80" w:type="dxa"/>
              <w:start w:w="80" w:type="dxa"/>
              <w:bottom w:w="80" w:type="dxa"/>
              <w:end w:w="80" w:type="dxa"/>
            </w:tcMar>
            <w:vAlign w:val="center"/>
          </w:tcPr>
          <w:p>
            <w:r>
              <w:rPr>
                <w:sz w:val="16"/>
              </w:rPr>
              <w:t>3</w:t>
            </w:r>
          </w:p>
        </w:tc>
        <w:tc>
          <w:tcPr>
            <w:tcW w:type="dxa" w:w="1728"/>
            <w:tcMar>
              <w:top w:w="80" w:type="dxa"/>
              <w:start w:w="80" w:type="dxa"/>
              <w:bottom w:w="80" w:type="dxa"/>
              <w:end w:w="80" w:type="dxa"/>
            </w:tcMar>
            <w:vAlign w:val="center"/>
          </w:tcPr>
          <w:p>
            <w:r>
              <w:rPr>
                <w:sz w:val="16"/>
              </w:rPr>
              <w:t>10,400</w:t>
            </w:r>
          </w:p>
        </w:tc>
        <w:tc>
          <w:tcPr>
            <w:tcW w:type="dxa" w:w="4320"/>
            <w:tcMar>
              <w:top w:w="80" w:type="dxa"/>
              <w:start w:w="80" w:type="dxa"/>
              <w:bottom w:w="80" w:type="dxa"/>
              <w:end w:w="80" w:type="dxa"/>
            </w:tcMar>
            <w:vAlign w:val="center"/>
          </w:tcPr>
          <w:p>
            <w:r>
              <w:rPr>
                <w:sz w:val="16"/>
              </w:rPr>
              <w:t>Swan, Armadale, Wanneroo</w:t>
            </w:r>
          </w:p>
        </w:tc>
      </w:tr>
    </w:tbl>
    <w:p>
      <w:pPr>
        <w:spacing w:after="40"/>
      </w:pPr>
    </w:p>
    <w:p>
      <w:pPr>
        <w:jc w:val="center"/>
      </w:pPr>
      <w:r>
        <w:drawing>
          <wp:inline xmlns:a="http://schemas.openxmlformats.org/drawingml/2006/main" xmlns:pic="http://schemas.openxmlformats.org/drawingml/2006/picture">
            <wp:extent cx="5852160" cy="4023360"/>
            <wp:docPr id="4" name="Picture 4"/>
            <wp:cNvGraphicFramePr>
              <a:graphicFrameLocks noChangeAspect="1"/>
            </wp:cNvGraphicFramePr>
            <a:graphic>
              <a:graphicData uri="http://schemas.openxmlformats.org/drawingml/2006/picture">
                <pic:pic>
                  <pic:nvPicPr>
                    <pic:cNvPr id="0" name="01_growth_corridor_contribution.png"/>
                    <pic:cNvPicPr/>
                  </pic:nvPicPr>
                  <pic:blipFill>
                    <a:blip r:embed="rId14"/>
                    <a:stretch>
                      <a:fillRect/>
                    </a:stretch>
                  </pic:blipFill>
                  <pic:spPr>
                    <a:xfrm>
                      <a:off x="0" y="0"/>
                      <a:ext cx="5852160" cy="4023360"/>
                    </a:xfrm>
                    <a:prstGeom prst="rect"/>
                  </pic:spPr>
                </pic:pic>
              </a:graphicData>
            </a:graphic>
          </wp:inline>
        </w:drawing>
      </w:r>
    </w:p>
    <w:p>
      <w:pPr>
        <w:pStyle w:val="Caption"/>
        <w:jc w:val="center"/>
      </w:pPr>
      <w:r>
        <w:rPr>
          <w:i/>
          <w:color w:val="5A5A5A"/>
          <w:sz w:val="18"/>
        </w:rPr>
        <w:t>Figure 4. Contribution of the four major growth systems to Top-20 junior-market growth.</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Management implication</w:t>
              <w:br/>
            </w:r>
            <w:r>
              <w:rPr>
                <w:sz w:val="20"/>
              </w:rPr>
              <w:t>Participation planning should not treat high-growth LGAs only as isolated councils. Adjacent high-growth areas can form shared participation systems, suggesting a role for corridor-level club, facility, school and program planning.</w:t>
            </w:r>
          </w:p>
        </w:tc>
      </w:tr>
    </w:tbl>
    <w:p>
      <w:pPr>
        <w:pStyle w:val="Heading1"/>
      </w:pPr>
      <w:r>
        <w:t>6. Community Cricket Opportunity Potential Model</w:t>
      </w:r>
    </w:p>
    <w:p>
      <w:r>
        <w:t>Model V1 converts the Phase 10 evidence into a transparent national prioritisation index. Every input is transformed to a national percentile among eligible LGAs. Because there is no LGA-level outcome variable with which to estimate empirically optimal weights, the model uses equal weights across three conceptually distinct pillars and then tests sensitivity to alternative scenarios.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18324A"/>
            <w:tcMar>
              <w:top w:w="80" w:type="dxa"/>
              <w:start w:w="80" w:type="dxa"/>
              <w:bottom w:w="80" w:type="dxa"/>
              <w:end w:w="80" w:type="dxa"/>
            </w:tcMar>
          </w:tcPr>
          <w:p>
            <w:pPr>
              <w:jc w:val="center"/>
            </w:pPr>
            <w:r>
              <w:rPr>
                <w:b/>
                <w:color w:val="FFFFFF"/>
                <w:sz w:val="17"/>
              </w:rPr>
              <w:t>Pillar</w:t>
            </w:r>
          </w:p>
        </w:tc>
        <w:tc>
          <w:tcPr>
            <w:tcW w:type="dxa" w:w="3600"/>
            <w:shd w:fill="18324A"/>
            <w:tcMar>
              <w:top w:w="80" w:type="dxa"/>
              <w:start w:w="80" w:type="dxa"/>
              <w:bottom w:w="80" w:type="dxa"/>
              <w:end w:w="80" w:type="dxa"/>
            </w:tcMar>
          </w:tcPr>
          <w:p>
            <w:pPr>
              <w:jc w:val="center"/>
            </w:pPr>
            <w:r>
              <w:rPr>
                <w:b/>
                <w:color w:val="FFFFFF"/>
                <w:sz w:val="17"/>
              </w:rPr>
              <w:t>Input</w:t>
            </w:r>
          </w:p>
        </w:tc>
        <w:tc>
          <w:tcPr>
            <w:tcW w:type="dxa" w:w="1152"/>
            <w:shd w:fill="18324A"/>
            <w:tcMar>
              <w:top w:w="80" w:type="dxa"/>
              <w:start w:w="80" w:type="dxa"/>
              <w:bottom w:w="80" w:type="dxa"/>
              <w:end w:w="80" w:type="dxa"/>
            </w:tcMar>
          </w:tcPr>
          <w:p>
            <w:pPr>
              <w:jc w:val="center"/>
            </w:pPr>
            <w:r>
              <w:rPr>
                <w:b/>
                <w:color w:val="FFFFFF"/>
                <w:sz w:val="17"/>
              </w:rPr>
              <w:t>Weight</w:t>
            </w:r>
          </w:p>
        </w:tc>
        <w:tc>
          <w:tcPr>
            <w:tcW w:type="dxa" w:w="3600"/>
            <w:shd w:fill="18324A"/>
            <w:tcMar>
              <w:top w:w="80" w:type="dxa"/>
              <w:start w:w="80" w:type="dxa"/>
              <w:bottom w:w="80" w:type="dxa"/>
              <w:end w:w="80" w:type="dxa"/>
            </w:tcMar>
          </w:tcPr>
          <w:p>
            <w:pPr>
              <w:jc w:val="center"/>
            </w:pPr>
            <w:r>
              <w:rPr>
                <w:b/>
                <w:color w:val="FFFFFF"/>
                <w:sz w:val="17"/>
              </w:rPr>
              <w:t>Interpretation</w:t>
            </w:r>
          </w:p>
        </w:tc>
      </w:tr>
      <w:tr>
        <w:tc>
          <w:tcPr>
            <w:tcW w:type="dxa" w:w="1872"/>
            <w:tcMar>
              <w:top w:w="80" w:type="dxa"/>
              <w:start w:w="80" w:type="dxa"/>
              <w:bottom w:w="80" w:type="dxa"/>
              <w:end w:w="80" w:type="dxa"/>
            </w:tcMar>
            <w:vAlign w:val="center"/>
            <w:shd w:fill="F5F7F9"/>
          </w:tcPr>
          <w:p>
            <w:r>
              <w:rPr>
                <w:sz w:val="17"/>
              </w:rPr>
              <w:t>Market Size</w:t>
            </w:r>
          </w:p>
        </w:tc>
        <w:tc>
          <w:tcPr>
            <w:tcW w:type="dxa" w:w="3600"/>
            <w:tcMar>
              <w:top w:w="80" w:type="dxa"/>
              <w:start w:w="80" w:type="dxa"/>
              <w:bottom w:w="80" w:type="dxa"/>
              <w:end w:w="80" w:type="dxa"/>
            </w:tcMar>
            <w:vAlign w:val="center"/>
            <w:shd w:fill="F5F7F9"/>
          </w:tcPr>
          <w:p>
            <w:r>
              <w:rPr>
                <w:sz w:val="17"/>
              </w:rPr>
              <w:t>AGE_5_14_2024</w:t>
            </w:r>
          </w:p>
        </w:tc>
        <w:tc>
          <w:tcPr>
            <w:tcW w:type="dxa" w:w="1152"/>
            <w:tcMar>
              <w:top w:w="80" w:type="dxa"/>
              <w:start w:w="80" w:type="dxa"/>
              <w:bottom w:w="80" w:type="dxa"/>
              <w:end w:w="80" w:type="dxa"/>
            </w:tcMar>
            <w:vAlign w:val="center"/>
            <w:shd w:fill="F5F7F9"/>
          </w:tcPr>
          <w:p>
            <w:r>
              <w:rPr>
                <w:sz w:val="17"/>
              </w:rPr>
              <w:t>33.33%</w:t>
            </w:r>
          </w:p>
        </w:tc>
        <w:tc>
          <w:tcPr>
            <w:tcW w:type="dxa" w:w="3600"/>
            <w:tcMar>
              <w:top w:w="80" w:type="dxa"/>
              <w:start w:w="80" w:type="dxa"/>
              <w:bottom w:w="80" w:type="dxa"/>
              <w:end w:w="80" w:type="dxa"/>
            </w:tcMar>
            <w:vAlign w:val="center"/>
            <w:shd w:fill="F5F7F9"/>
          </w:tcPr>
          <w:p>
            <w:r>
              <w:rPr>
                <w:sz w:val="17"/>
              </w:rPr>
              <w:t>Current scale of the addressable junior market</w:t>
            </w:r>
          </w:p>
        </w:tc>
      </w:tr>
      <w:tr>
        <w:tc>
          <w:tcPr>
            <w:tcW w:type="dxa" w:w="1872"/>
            <w:tcMar>
              <w:top w:w="80" w:type="dxa"/>
              <w:start w:w="80" w:type="dxa"/>
              <w:bottom w:w="80" w:type="dxa"/>
              <w:end w:w="80" w:type="dxa"/>
            </w:tcMar>
            <w:vAlign w:val="center"/>
          </w:tcPr>
          <w:p>
            <w:r>
              <w:rPr>
                <w:sz w:val="17"/>
              </w:rPr>
              <w:t>Youth Concentration</w:t>
            </w:r>
          </w:p>
        </w:tc>
        <w:tc>
          <w:tcPr>
            <w:tcW w:type="dxa" w:w="3600"/>
            <w:tcMar>
              <w:top w:w="80" w:type="dxa"/>
              <w:start w:w="80" w:type="dxa"/>
              <w:bottom w:w="80" w:type="dxa"/>
              <w:end w:w="80" w:type="dxa"/>
            </w:tcMar>
            <w:vAlign w:val="center"/>
          </w:tcPr>
          <w:p>
            <w:r>
              <w:rPr>
                <w:sz w:val="17"/>
              </w:rPr>
              <w:t>AGE_5_14_SHARE_TOTAL_PCT</w:t>
            </w:r>
          </w:p>
        </w:tc>
        <w:tc>
          <w:tcPr>
            <w:tcW w:type="dxa" w:w="1152"/>
            <w:tcMar>
              <w:top w:w="80" w:type="dxa"/>
              <w:start w:w="80" w:type="dxa"/>
              <w:bottom w:w="80" w:type="dxa"/>
              <w:end w:w="80" w:type="dxa"/>
            </w:tcMar>
            <w:vAlign w:val="center"/>
          </w:tcPr>
          <w:p>
            <w:r>
              <w:rPr>
                <w:sz w:val="17"/>
              </w:rPr>
              <w:t>33.33%</w:t>
            </w:r>
          </w:p>
        </w:tc>
        <w:tc>
          <w:tcPr>
            <w:tcW w:type="dxa" w:w="3600"/>
            <w:tcMar>
              <w:top w:w="80" w:type="dxa"/>
              <w:start w:w="80" w:type="dxa"/>
              <w:bottom w:w="80" w:type="dxa"/>
              <w:end w:w="80" w:type="dxa"/>
            </w:tcMar>
            <w:vAlign w:val="center"/>
          </w:tcPr>
          <w:p>
            <w:r>
              <w:rPr>
                <w:sz w:val="17"/>
              </w:rPr>
              <w:t>Young demographic structure, reducing large-LGA bias</w:t>
            </w:r>
          </w:p>
        </w:tc>
      </w:tr>
      <w:tr>
        <w:tc>
          <w:tcPr>
            <w:tcW w:type="dxa" w:w="1872"/>
            <w:tcMar>
              <w:top w:w="80" w:type="dxa"/>
              <w:start w:w="80" w:type="dxa"/>
              <w:bottom w:w="80" w:type="dxa"/>
              <w:end w:w="80" w:type="dxa"/>
            </w:tcMar>
            <w:vAlign w:val="center"/>
            <w:shd w:fill="F5F7F9"/>
          </w:tcPr>
          <w:p>
            <w:r>
              <w:rPr>
                <w:sz w:val="17"/>
              </w:rPr>
              <w:t>Growth Momentum</w:t>
            </w:r>
          </w:p>
        </w:tc>
        <w:tc>
          <w:tcPr>
            <w:tcW w:type="dxa" w:w="3600"/>
            <w:tcMar>
              <w:top w:w="80" w:type="dxa"/>
              <w:start w:w="80" w:type="dxa"/>
              <w:bottom w:w="80" w:type="dxa"/>
              <w:end w:w="80" w:type="dxa"/>
            </w:tcMar>
            <w:vAlign w:val="center"/>
            <w:shd w:fill="F5F7F9"/>
          </w:tcPr>
          <w:p>
            <w:r>
              <w:rPr>
                <w:sz w:val="17"/>
              </w:rPr>
              <w:t>50% absolute growth percentile + 50% percentage growth percentile</w:t>
            </w:r>
          </w:p>
        </w:tc>
        <w:tc>
          <w:tcPr>
            <w:tcW w:type="dxa" w:w="1152"/>
            <w:tcMar>
              <w:top w:w="80" w:type="dxa"/>
              <w:start w:w="80" w:type="dxa"/>
              <w:bottom w:w="80" w:type="dxa"/>
              <w:end w:w="80" w:type="dxa"/>
            </w:tcMar>
            <w:vAlign w:val="center"/>
            <w:shd w:fill="F5F7F9"/>
          </w:tcPr>
          <w:p>
            <w:r>
              <w:rPr>
                <w:sz w:val="17"/>
              </w:rPr>
              <w:t>33.33%</w:t>
            </w:r>
          </w:p>
        </w:tc>
        <w:tc>
          <w:tcPr>
            <w:tcW w:type="dxa" w:w="3600"/>
            <w:tcMar>
              <w:top w:w="80" w:type="dxa"/>
              <w:start w:w="80" w:type="dxa"/>
              <w:bottom w:w="80" w:type="dxa"/>
              <w:end w:w="80" w:type="dxa"/>
            </w:tcMar>
            <w:vAlign w:val="center"/>
            <w:shd w:fill="F5F7F9"/>
          </w:tcPr>
          <w:p>
            <w:r>
              <w:rPr>
                <w:sz w:val="17"/>
              </w:rPr>
              <w:t>Balances growth scale and growth rate</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Model formula</w:t>
              <w:br/>
            </w:r>
            <w:r>
              <w:rPr>
                <w:sz w:val="20"/>
              </w:rPr>
              <w:t>Opportunity Potential = (Market Size percentile + Youth Concentration percentile + Growth Momentum percentile) / 3</w:t>
            </w:r>
          </w:p>
        </w:tc>
      </w:tr>
    </w:tbl>
    <w:p>
      <w:pPr>
        <w:jc w:val="center"/>
      </w:pPr>
      <w:r>
        <w:drawing>
          <wp:inline xmlns:a="http://schemas.openxmlformats.org/drawingml/2006/main" xmlns:pic="http://schemas.openxmlformats.org/drawingml/2006/picture">
            <wp:extent cx="5943600" cy="5200650"/>
            <wp:docPr id="5" name="Picture 5"/>
            <wp:cNvGraphicFramePr>
              <a:graphicFrameLocks noChangeAspect="1"/>
            </wp:cNvGraphicFramePr>
            <a:graphic>
              <a:graphicData uri="http://schemas.openxmlformats.org/drawingml/2006/picture">
                <pic:pic>
                  <pic:nvPicPr>
                    <pic:cNvPr id="0" name="01_model_v1_top20.png"/>
                    <pic:cNvPicPr/>
                  </pic:nvPicPr>
                  <pic:blipFill>
                    <a:blip r:embed="rId15"/>
                    <a:stretch>
                      <a:fillRect/>
                    </a:stretch>
                  </pic:blipFill>
                  <pic:spPr>
                    <a:xfrm>
                      <a:off x="0" y="0"/>
                      <a:ext cx="5943600" cy="5200650"/>
                    </a:xfrm>
                    <a:prstGeom prst="rect"/>
                  </pic:spPr>
                </pic:pic>
              </a:graphicData>
            </a:graphic>
          </wp:inline>
        </w:drawing>
      </w:r>
    </w:p>
    <w:p>
      <w:pPr>
        <w:pStyle w:val="Caption"/>
        <w:jc w:val="center"/>
      </w:pPr>
      <w:r>
        <w:rPr>
          <w:i/>
          <w:color w:val="5A5A5A"/>
          <w:sz w:val="18"/>
        </w:rPr>
        <w:t>Figure 5. Model V1 Top 20 Community Cricket Opportunity Potential LGAs.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648"/>
            <w:shd w:fill="18324A"/>
            <w:tcMar>
              <w:top w:w="80" w:type="dxa"/>
              <w:start w:w="80" w:type="dxa"/>
              <w:bottom w:w="80" w:type="dxa"/>
              <w:end w:w="80" w:type="dxa"/>
            </w:tcMar>
          </w:tcPr>
          <w:p>
            <w:pPr>
              <w:jc w:val="center"/>
            </w:pPr>
            <w:r>
              <w:rPr>
                <w:b/>
                <w:color w:val="FFFFFF"/>
                <w:sz w:val="17"/>
              </w:rPr>
              <w:t>Rank</w:t>
            </w:r>
          </w:p>
        </w:tc>
        <w:tc>
          <w:tcPr>
            <w:tcW w:type="dxa" w:w="2016"/>
            <w:shd w:fill="18324A"/>
            <w:tcMar>
              <w:top w:w="80" w:type="dxa"/>
              <w:start w:w="80" w:type="dxa"/>
              <w:bottom w:w="80" w:type="dxa"/>
              <w:end w:w="80" w:type="dxa"/>
            </w:tcMar>
          </w:tcPr>
          <w:p>
            <w:pPr>
              <w:jc w:val="center"/>
            </w:pPr>
            <w:r>
              <w:rPr>
                <w:b/>
                <w:color w:val="FFFFFF"/>
                <w:sz w:val="17"/>
              </w:rPr>
              <w:t>LGA</w:t>
            </w:r>
          </w:p>
        </w:tc>
        <w:tc>
          <w:tcPr>
            <w:tcW w:type="dxa" w:w="1872"/>
            <w:shd w:fill="18324A"/>
            <w:tcMar>
              <w:top w:w="80" w:type="dxa"/>
              <w:start w:w="80" w:type="dxa"/>
              <w:bottom w:w="80" w:type="dxa"/>
              <w:end w:w="80" w:type="dxa"/>
            </w:tcMar>
          </w:tcPr>
          <w:p>
            <w:pPr>
              <w:jc w:val="center"/>
            </w:pPr>
            <w:r>
              <w:rPr>
                <w:b/>
                <w:color w:val="FFFFFF"/>
                <w:sz w:val="17"/>
              </w:rPr>
              <w:t>State</w:t>
            </w:r>
          </w:p>
        </w:tc>
        <w:tc>
          <w:tcPr>
            <w:tcW w:type="dxa" w:w="1008"/>
            <w:shd w:fill="18324A"/>
            <w:tcMar>
              <w:top w:w="80" w:type="dxa"/>
              <w:start w:w="80" w:type="dxa"/>
              <w:bottom w:w="80" w:type="dxa"/>
              <w:end w:w="80" w:type="dxa"/>
            </w:tcMar>
          </w:tcPr>
          <w:p>
            <w:pPr>
              <w:jc w:val="center"/>
            </w:pPr>
            <w:r>
              <w:rPr>
                <w:b/>
                <w:color w:val="FFFFFF"/>
                <w:sz w:val="17"/>
              </w:rPr>
              <w:t>Score</w:t>
            </w:r>
          </w:p>
        </w:tc>
        <w:tc>
          <w:tcPr>
            <w:tcW w:type="dxa" w:w="1728"/>
            <w:shd w:fill="18324A"/>
            <w:tcMar>
              <w:top w:w="80" w:type="dxa"/>
              <w:start w:w="80" w:type="dxa"/>
              <w:bottom w:w="80" w:type="dxa"/>
              <w:end w:w="80" w:type="dxa"/>
            </w:tcMar>
          </w:tcPr>
          <w:p>
            <w:pPr>
              <w:jc w:val="center"/>
            </w:pPr>
            <w:r>
              <w:rPr>
                <w:b/>
                <w:color w:val="FFFFFF"/>
                <w:sz w:val="17"/>
              </w:rPr>
              <w:t>5-14 population</w:t>
            </w:r>
          </w:p>
        </w:tc>
        <w:tc>
          <w:tcPr>
            <w:tcW w:type="dxa" w:w="1440"/>
            <w:shd w:fill="18324A"/>
            <w:tcMar>
              <w:top w:w="80" w:type="dxa"/>
              <w:start w:w="80" w:type="dxa"/>
              <w:bottom w:w="80" w:type="dxa"/>
              <w:end w:w="80" w:type="dxa"/>
            </w:tcMar>
          </w:tcPr>
          <w:p>
            <w:pPr>
              <w:jc w:val="center"/>
            </w:pPr>
            <w:r>
              <w:rPr>
                <w:b/>
                <w:color w:val="FFFFFF"/>
                <w:sz w:val="17"/>
              </w:rPr>
              <w:t>5-year growth</w:t>
            </w:r>
          </w:p>
        </w:tc>
      </w:tr>
      <w:tr>
        <w:tc>
          <w:tcPr>
            <w:tcW w:type="dxa" w:w="648"/>
            <w:tcMar>
              <w:top w:w="80" w:type="dxa"/>
              <w:start w:w="80" w:type="dxa"/>
              <w:bottom w:w="80" w:type="dxa"/>
              <w:end w:w="80" w:type="dxa"/>
            </w:tcMar>
            <w:vAlign w:val="center"/>
            <w:shd w:fill="F5F7F9"/>
          </w:tcPr>
          <w:p>
            <w:r>
              <w:rPr>
                <w:sz w:val="17"/>
              </w:rPr>
              <w:t>1</w:t>
            </w:r>
          </w:p>
        </w:tc>
        <w:tc>
          <w:tcPr>
            <w:tcW w:type="dxa" w:w="2016"/>
            <w:tcMar>
              <w:top w:w="80" w:type="dxa"/>
              <w:start w:w="80" w:type="dxa"/>
              <w:bottom w:w="80" w:type="dxa"/>
              <w:end w:w="80" w:type="dxa"/>
            </w:tcMar>
            <w:vAlign w:val="center"/>
            <w:shd w:fill="F5F7F9"/>
          </w:tcPr>
          <w:p>
            <w:r>
              <w:rPr>
                <w:sz w:val="17"/>
              </w:rPr>
              <w:t>Wyndham</w:t>
            </w:r>
          </w:p>
        </w:tc>
        <w:tc>
          <w:tcPr>
            <w:tcW w:type="dxa" w:w="1872"/>
            <w:tcMar>
              <w:top w:w="80" w:type="dxa"/>
              <w:start w:w="80" w:type="dxa"/>
              <w:bottom w:w="80" w:type="dxa"/>
              <w:end w:w="80" w:type="dxa"/>
            </w:tcMar>
            <w:vAlign w:val="center"/>
            <w:shd w:fill="F5F7F9"/>
          </w:tcPr>
          <w:p>
            <w:r>
              <w:rPr>
                <w:sz w:val="17"/>
              </w:rPr>
              <w:t>Victoria</w:t>
            </w:r>
          </w:p>
        </w:tc>
        <w:tc>
          <w:tcPr>
            <w:tcW w:type="dxa" w:w="1008"/>
            <w:tcMar>
              <w:top w:w="80" w:type="dxa"/>
              <w:start w:w="80" w:type="dxa"/>
              <w:bottom w:w="80" w:type="dxa"/>
              <w:end w:w="80" w:type="dxa"/>
            </w:tcMar>
            <w:vAlign w:val="center"/>
            <w:shd w:fill="F5F7F9"/>
          </w:tcPr>
          <w:p>
            <w:r>
              <w:rPr>
                <w:sz w:val="17"/>
              </w:rPr>
              <w:t>99.27</w:t>
            </w:r>
          </w:p>
        </w:tc>
        <w:tc>
          <w:tcPr>
            <w:tcW w:type="dxa" w:w="1728"/>
            <w:tcMar>
              <w:top w:w="80" w:type="dxa"/>
              <w:start w:w="80" w:type="dxa"/>
              <w:bottom w:w="80" w:type="dxa"/>
              <w:end w:w="80" w:type="dxa"/>
            </w:tcMar>
            <w:vAlign w:val="center"/>
            <w:shd w:fill="F5F7F9"/>
          </w:tcPr>
          <w:p>
            <w:r>
              <w:rPr>
                <w:sz w:val="17"/>
              </w:rPr>
              <w:t>56,395</w:t>
            </w:r>
          </w:p>
        </w:tc>
        <w:tc>
          <w:tcPr>
            <w:tcW w:type="dxa" w:w="1440"/>
            <w:tcMar>
              <w:top w:w="80" w:type="dxa"/>
              <w:start w:w="80" w:type="dxa"/>
              <w:bottom w:w="80" w:type="dxa"/>
              <w:end w:w="80" w:type="dxa"/>
            </w:tcMar>
            <w:vAlign w:val="center"/>
            <w:shd w:fill="F5F7F9"/>
          </w:tcPr>
          <w:p>
            <w:r>
              <w:rPr>
                <w:sz w:val="17"/>
              </w:rPr>
              <w:t>30.9%</w:t>
            </w:r>
          </w:p>
        </w:tc>
      </w:tr>
      <w:tr>
        <w:tc>
          <w:tcPr>
            <w:tcW w:type="dxa" w:w="648"/>
            <w:tcMar>
              <w:top w:w="80" w:type="dxa"/>
              <w:start w:w="80" w:type="dxa"/>
              <w:bottom w:w="80" w:type="dxa"/>
              <w:end w:w="80" w:type="dxa"/>
            </w:tcMar>
            <w:vAlign w:val="center"/>
          </w:tcPr>
          <w:p>
            <w:r>
              <w:rPr>
                <w:sz w:val="17"/>
              </w:rPr>
              <w:t>2</w:t>
            </w:r>
          </w:p>
        </w:tc>
        <w:tc>
          <w:tcPr>
            <w:tcW w:type="dxa" w:w="2016"/>
            <w:tcMar>
              <w:top w:w="80" w:type="dxa"/>
              <w:start w:w="80" w:type="dxa"/>
              <w:bottom w:w="80" w:type="dxa"/>
              <w:end w:w="80" w:type="dxa"/>
            </w:tcMar>
            <w:vAlign w:val="center"/>
          </w:tcPr>
          <w:p>
            <w:r>
              <w:rPr>
                <w:sz w:val="17"/>
              </w:rPr>
              <w:t>Melton</w:t>
            </w:r>
          </w:p>
        </w:tc>
        <w:tc>
          <w:tcPr>
            <w:tcW w:type="dxa" w:w="1872"/>
            <w:tcMar>
              <w:top w:w="80" w:type="dxa"/>
              <w:start w:w="80" w:type="dxa"/>
              <w:bottom w:w="80" w:type="dxa"/>
              <w:end w:w="80" w:type="dxa"/>
            </w:tcMar>
            <w:vAlign w:val="center"/>
          </w:tcPr>
          <w:p>
            <w:r>
              <w:rPr>
                <w:sz w:val="17"/>
              </w:rPr>
              <w:t>Victoria</w:t>
            </w:r>
          </w:p>
        </w:tc>
        <w:tc>
          <w:tcPr>
            <w:tcW w:type="dxa" w:w="1008"/>
            <w:tcMar>
              <w:top w:w="80" w:type="dxa"/>
              <w:start w:w="80" w:type="dxa"/>
              <w:bottom w:w="80" w:type="dxa"/>
              <w:end w:w="80" w:type="dxa"/>
            </w:tcMar>
            <w:vAlign w:val="center"/>
          </w:tcPr>
          <w:p>
            <w:r>
              <w:rPr>
                <w:sz w:val="17"/>
              </w:rPr>
              <w:t>98.22</w:t>
            </w:r>
          </w:p>
        </w:tc>
        <w:tc>
          <w:tcPr>
            <w:tcW w:type="dxa" w:w="1728"/>
            <w:tcMar>
              <w:top w:w="80" w:type="dxa"/>
              <w:start w:w="80" w:type="dxa"/>
              <w:bottom w:w="80" w:type="dxa"/>
              <w:end w:w="80" w:type="dxa"/>
            </w:tcMar>
            <w:vAlign w:val="center"/>
          </w:tcPr>
          <w:p>
            <w:r>
              <w:rPr>
                <w:sz w:val="17"/>
              </w:rPr>
              <w:t>35,427</w:t>
            </w:r>
          </w:p>
        </w:tc>
        <w:tc>
          <w:tcPr>
            <w:tcW w:type="dxa" w:w="1440"/>
            <w:tcMar>
              <w:top w:w="80" w:type="dxa"/>
              <w:start w:w="80" w:type="dxa"/>
              <w:bottom w:w="80" w:type="dxa"/>
              <w:end w:w="80" w:type="dxa"/>
            </w:tcMar>
            <w:vAlign w:val="center"/>
          </w:tcPr>
          <w:p>
            <w:r>
              <w:rPr>
                <w:sz w:val="17"/>
              </w:rPr>
              <w:t>31.3%</w:t>
            </w:r>
          </w:p>
        </w:tc>
      </w:tr>
      <w:tr>
        <w:tc>
          <w:tcPr>
            <w:tcW w:type="dxa" w:w="648"/>
            <w:tcMar>
              <w:top w:w="80" w:type="dxa"/>
              <w:start w:w="80" w:type="dxa"/>
              <w:bottom w:w="80" w:type="dxa"/>
              <w:end w:w="80" w:type="dxa"/>
            </w:tcMar>
            <w:vAlign w:val="center"/>
            <w:shd w:fill="F5F7F9"/>
          </w:tcPr>
          <w:p>
            <w:r>
              <w:rPr>
                <w:sz w:val="17"/>
              </w:rPr>
              <w:t>3</w:t>
            </w:r>
          </w:p>
        </w:tc>
        <w:tc>
          <w:tcPr>
            <w:tcW w:type="dxa" w:w="2016"/>
            <w:tcMar>
              <w:top w:w="80" w:type="dxa"/>
              <w:start w:w="80" w:type="dxa"/>
              <w:bottom w:w="80" w:type="dxa"/>
              <w:end w:w="80" w:type="dxa"/>
            </w:tcMar>
            <w:vAlign w:val="center"/>
            <w:shd w:fill="F5F7F9"/>
          </w:tcPr>
          <w:p>
            <w:r>
              <w:rPr>
                <w:sz w:val="17"/>
              </w:rPr>
              <w:t>Blacktown</w:t>
            </w:r>
          </w:p>
        </w:tc>
        <w:tc>
          <w:tcPr>
            <w:tcW w:type="dxa" w:w="1872"/>
            <w:tcMar>
              <w:top w:w="80" w:type="dxa"/>
              <w:start w:w="80" w:type="dxa"/>
              <w:bottom w:w="80" w:type="dxa"/>
              <w:end w:w="80" w:type="dxa"/>
            </w:tcMar>
            <w:vAlign w:val="center"/>
            <w:shd w:fill="F5F7F9"/>
          </w:tcPr>
          <w:p>
            <w:r>
              <w:rPr>
                <w:sz w:val="17"/>
              </w:rPr>
              <w:t>New South Wales</w:t>
            </w:r>
          </w:p>
        </w:tc>
        <w:tc>
          <w:tcPr>
            <w:tcW w:type="dxa" w:w="1008"/>
            <w:tcMar>
              <w:top w:w="80" w:type="dxa"/>
              <w:start w:w="80" w:type="dxa"/>
              <w:bottom w:w="80" w:type="dxa"/>
              <w:end w:w="80" w:type="dxa"/>
            </w:tcMar>
            <w:vAlign w:val="center"/>
            <w:shd w:fill="F5F7F9"/>
          </w:tcPr>
          <w:p>
            <w:r>
              <w:rPr>
                <w:sz w:val="17"/>
              </w:rPr>
              <w:t>97.21</w:t>
            </w:r>
          </w:p>
        </w:tc>
        <w:tc>
          <w:tcPr>
            <w:tcW w:type="dxa" w:w="1728"/>
            <w:tcMar>
              <w:top w:w="80" w:type="dxa"/>
              <w:start w:w="80" w:type="dxa"/>
              <w:bottom w:w="80" w:type="dxa"/>
              <w:end w:w="80" w:type="dxa"/>
            </w:tcMar>
            <w:vAlign w:val="center"/>
            <w:shd w:fill="F5F7F9"/>
          </w:tcPr>
          <w:p>
            <w:r>
              <w:rPr>
                <w:sz w:val="17"/>
              </w:rPr>
              <w:t>66,024</w:t>
            </w:r>
          </w:p>
        </w:tc>
        <w:tc>
          <w:tcPr>
            <w:tcW w:type="dxa" w:w="1440"/>
            <w:tcMar>
              <w:top w:w="80" w:type="dxa"/>
              <w:start w:w="80" w:type="dxa"/>
              <w:bottom w:w="80" w:type="dxa"/>
              <w:end w:w="80" w:type="dxa"/>
            </w:tcMar>
            <w:vAlign w:val="center"/>
            <w:shd w:fill="F5F7F9"/>
          </w:tcPr>
          <w:p>
            <w:r>
              <w:rPr>
                <w:sz w:val="17"/>
              </w:rPr>
              <w:t>17.0%</w:t>
            </w:r>
          </w:p>
        </w:tc>
      </w:tr>
      <w:tr>
        <w:tc>
          <w:tcPr>
            <w:tcW w:type="dxa" w:w="648"/>
            <w:tcMar>
              <w:top w:w="80" w:type="dxa"/>
              <w:start w:w="80" w:type="dxa"/>
              <w:bottom w:w="80" w:type="dxa"/>
              <w:end w:w="80" w:type="dxa"/>
            </w:tcMar>
            <w:vAlign w:val="center"/>
          </w:tcPr>
          <w:p>
            <w:r>
              <w:rPr>
                <w:sz w:val="17"/>
              </w:rPr>
              <w:t>4</w:t>
            </w:r>
          </w:p>
        </w:tc>
        <w:tc>
          <w:tcPr>
            <w:tcW w:type="dxa" w:w="2016"/>
            <w:tcMar>
              <w:top w:w="80" w:type="dxa"/>
              <w:start w:w="80" w:type="dxa"/>
              <w:bottom w:w="80" w:type="dxa"/>
              <w:end w:w="80" w:type="dxa"/>
            </w:tcMar>
            <w:vAlign w:val="center"/>
          </w:tcPr>
          <w:p>
            <w:r>
              <w:rPr>
                <w:sz w:val="17"/>
              </w:rPr>
              <w:t>Ipswich</w:t>
            </w:r>
          </w:p>
        </w:tc>
        <w:tc>
          <w:tcPr>
            <w:tcW w:type="dxa" w:w="1872"/>
            <w:tcMar>
              <w:top w:w="80" w:type="dxa"/>
              <w:start w:w="80" w:type="dxa"/>
              <w:bottom w:w="80" w:type="dxa"/>
              <w:end w:w="80" w:type="dxa"/>
            </w:tcMar>
            <w:vAlign w:val="center"/>
          </w:tcPr>
          <w:p>
            <w:r>
              <w:rPr>
                <w:sz w:val="17"/>
              </w:rPr>
              <w:t>Queensland</w:t>
            </w:r>
          </w:p>
        </w:tc>
        <w:tc>
          <w:tcPr>
            <w:tcW w:type="dxa" w:w="1008"/>
            <w:tcMar>
              <w:top w:w="80" w:type="dxa"/>
              <w:start w:w="80" w:type="dxa"/>
              <w:bottom w:w="80" w:type="dxa"/>
              <w:end w:w="80" w:type="dxa"/>
            </w:tcMar>
            <w:vAlign w:val="center"/>
          </w:tcPr>
          <w:p>
            <w:r>
              <w:rPr>
                <w:sz w:val="17"/>
              </w:rPr>
              <w:t>96.58</w:t>
            </w:r>
          </w:p>
        </w:tc>
        <w:tc>
          <w:tcPr>
            <w:tcW w:type="dxa" w:w="1728"/>
            <w:tcMar>
              <w:top w:w="80" w:type="dxa"/>
              <w:start w:w="80" w:type="dxa"/>
              <w:bottom w:w="80" w:type="dxa"/>
              <w:end w:w="80" w:type="dxa"/>
            </w:tcMar>
            <w:vAlign w:val="center"/>
          </w:tcPr>
          <w:p>
            <w:r>
              <w:rPr>
                <w:sz w:val="17"/>
              </w:rPr>
              <w:t>39,679</w:t>
            </w:r>
          </w:p>
        </w:tc>
        <w:tc>
          <w:tcPr>
            <w:tcW w:type="dxa" w:w="1440"/>
            <w:tcMar>
              <w:top w:w="80" w:type="dxa"/>
              <w:start w:w="80" w:type="dxa"/>
              <w:bottom w:w="80" w:type="dxa"/>
              <w:end w:w="80" w:type="dxa"/>
            </w:tcMar>
            <w:vAlign w:val="center"/>
          </w:tcPr>
          <w:p>
            <w:r>
              <w:rPr>
                <w:sz w:val="17"/>
              </w:rPr>
              <w:t>13.9%</w:t>
            </w:r>
          </w:p>
        </w:tc>
      </w:tr>
      <w:tr>
        <w:tc>
          <w:tcPr>
            <w:tcW w:type="dxa" w:w="648"/>
            <w:tcMar>
              <w:top w:w="80" w:type="dxa"/>
              <w:start w:w="80" w:type="dxa"/>
              <w:bottom w:w="80" w:type="dxa"/>
              <w:end w:w="80" w:type="dxa"/>
            </w:tcMar>
            <w:vAlign w:val="center"/>
            <w:shd w:fill="F5F7F9"/>
          </w:tcPr>
          <w:p>
            <w:r>
              <w:rPr>
                <w:sz w:val="17"/>
              </w:rPr>
              <w:t>5</w:t>
            </w:r>
          </w:p>
        </w:tc>
        <w:tc>
          <w:tcPr>
            <w:tcW w:type="dxa" w:w="2016"/>
            <w:tcMar>
              <w:top w:w="80" w:type="dxa"/>
              <w:start w:w="80" w:type="dxa"/>
              <w:bottom w:w="80" w:type="dxa"/>
              <w:end w:w="80" w:type="dxa"/>
            </w:tcMar>
            <w:vAlign w:val="center"/>
            <w:shd w:fill="F5F7F9"/>
          </w:tcPr>
          <w:p>
            <w:r>
              <w:rPr>
                <w:sz w:val="17"/>
              </w:rPr>
              <w:t>Camden</w:t>
            </w:r>
          </w:p>
        </w:tc>
        <w:tc>
          <w:tcPr>
            <w:tcW w:type="dxa" w:w="1872"/>
            <w:tcMar>
              <w:top w:w="80" w:type="dxa"/>
              <w:start w:w="80" w:type="dxa"/>
              <w:bottom w:w="80" w:type="dxa"/>
              <w:end w:w="80" w:type="dxa"/>
            </w:tcMar>
            <w:vAlign w:val="center"/>
            <w:shd w:fill="F5F7F9"/>
          </w:tcPr>
          <w:p>
            <w:r>
              <w:rPr>
                <w:sz w:val="17"/>
              </w:rPr>
              <w:t>New South Wales</w:t>
            </w:r>
          </w:p>
        </w:tc>
        <w:tc>
          <w:tcPr>
            <w:tcW w:type="dxa" w:w="1008"/>
            <w:tcMar>
              <w:top w:w="80" w:type="dxa"/>
              <w:start w:w="80" w:type="dxa"/>
              <w:bottom w:w="80" w:type="dxa"/>
              <w:end w:w="80" w:type="dxa"/>
            </w:tcMar>
            <w:vAlign w:val="center"/>
            <w:shd w:fill="F5F7F9"/>
          </w:tcPr>
          <w:p>
            <w:r>
              <w:rPr>
                <w:sz w:val="17"/>
              </w:rPr>
              <w:t>96.39</w:t>
            </w:r>
          </w:p>
        </w:tc>
        <w:tc>
          <w:tcPr>
            <w:tcW w:type="dxa" w:w="1728"/>
            <w:tcMar>
              <w:top w:w="80" w:type="dxa"/>
              <w:start w:w="80" w:type="dxa"/>
              <w:bottom w:w="80" w:type="dxa"/>
              <w:end w:w="80" w:type="dxa"/>
            </w:tcMar>
            <w:vAlign w:val="center"/>
            <w:shd w:fill="F5F7F9"/>
          </w:tcPr>
          <w:p>
            <w:r>
              <w:rPr>
                <w:sz w:val="17"/>
              </w:rPr>
              <w:t>22,838</w:t>
            </w:r>
          </w:p>
        </w:tc>
        <w:tc>
          <w:tcPr>
            <w:tcW w:type="dxa" w:w="1440"/>
            <w:tcMar>
              <w:top w:w="80" w:type="dxa"/>
              <w:start w:w="80" w:type="dxa"/>
              <w:bottom w:w="80" w:type="dxa"/>
              <w:end w:w="80" w:type="dxa"/>
            </w:tcMar>
            <w:vAlign w:val="center"/>
            <w:shd w:fill="F5F7F9"/>
          </w:tcPr>
          <w:p>
            <w:r>
              <w:rPr>
                <w:sz w:val="17"/>
              </w:rPr>
              <w:t>39.3%</w:t>
            </w:r>
          </w:p>
        </w:tc>
      </w:tr>
      <w:tr>
        <w:tc>
          <w:tcPr>
            <w:tcW w:type="dxa" w:w="648"/>
            <w:tcMar>
              <w:top w:w="80" w:type="dxa"/>
              <w:start w:w="80" w:type="dxa"/>
              <w:bottom w:w="80" w:type="dxa"/>
              <w:end w:w="80" w:type="dxa"/>
            </w:tcMar>
            <w:vAlign w:val="center"/>
          </w:tcPr>
          <w:p>
            <w:r>
              <w:rPr>
                <w:sz w:val="17"/>
              </w:rPr>
              <w:t>6</w:t>
            </w:r>
          </w:p>
        </w:tc>
        <w:tc>
          <w:tcPr>
            <w:tcW w:type="dxa" w:w="2016"/>
            <w:tcMar>
              <w:top w:w="80" w:type="dxa"/>
              <w:start w:w="80" w:type="dxa"/>
              <w:bottom w:w="80" w:type="dxa"/>
              <w:end w:w="80" w:type="dxa"/>
            </w:tcMar>
            <w:vAlign w:val="center"/>
          </w:tcPr>
          <w:p>
            <w:r>
              <w:rPr>
                <w:sz w:val="17"/>
              </w:rPr>
              <w:t>Casey</w:t>
            </w:r>
          </w:p>
        </w:tc>
        <w:tc>
          <w:tcPr>
            <w:tcW w:type="dxa" w:w="1872"/>
            <w:tcMar>
              <w:top w:w="80" w:type="dxa"/>
              <w:start w:w="80" w:type="dxa"/>
              <w:bottom w:w="80" w:type="dxa"/>
              <w:end w:w="80" w:type="dxa"/>
            </w:tcMar>
            <w:vAlign w:val="center"/>
          </w:tcPr>
          <w:p>
            <w:r>
              <w:rPr>
                <w:sz w:val="17"/>
              </w:rPr>
              <w:t>Victoria</w:t>
            </w:r>
          </w:p>
        </w:tc>
        <w:tc>
          <w:tcPr>
            <w:tcW w:type="dxa" w:w="1008"/>
            <w:tcMar>
              <w:top w:w="80" w:type="dxa"/>
              <w:start w:w="80" w:type="dxa"/>
              <w:bottom w:w="80" w:type="dxa"/>
              <w:end w:w="80" w:type="dxa"/>
            </w:tcMar>
            <w:vAlign w:val="center"/>
          </w:tcPr>
          <w:p>
            <w:r>
              <w:rPr>
                <w:sz w:val="17"/>
              </w:rPr>
              <w:t>96.39</w:t>
            </w:r>
          </w:p>
        </w:tc>
        <w:tc>
          <w:tcPr>
            <w:tcW w:type="dxa" w:w="1728"/>
            <w:tcMar>
              <w:top w:w="80" w:type="dxa"/>
              <w:start w:w="80" w:type="dxa"/>
              <w:bottom w:w="80" w:type="dxa"/>
              <w:end w:w="80" w:type="dxa"/>
            </w:tcMar>
            <w:vAlign w:val="center"/>
          </w:tcPr>
          <w:p>
            <w:r>
              <w:rPr>
                <w:sz w:val="17"/>
              </w:rPr>
              <w:t>60,353</w:t>
            </w:r>
          </w:p>
        </w:tc>
        <w:tc>
          <w:tcPr>
            <w:tcW w:type="dxa" w:w="1440"/>
            <w:tcMar>
              <w:top w:w="80" w:type="dxa"/>
              <w:start w:w="80" w:type="dxa"/>
              <w:bottom w:w="80" w:type="dxa"/>
              <w:end w:w="80" w:type="dxa"/>
            </w:tcMar>
            <w:vAlign w:val="center"/>
          </w:tcPr>
          <w:p>
            <w:r>
              <w:rPr>
                <w:sz w:val="17"/>
              </w:rPr>
              <w:t>15.1%</w:t>
            </w:r>
          </w:p>
        </w:tc>
      </w:tr>
      <w:tr>
        <w:tc>
          <w:tcPr>
            <w:tcW w:type="dxa" w:w="648"/>
            <w:tcMar>
              <w:top w:w="80" w:type="dxa"/>
              <w:start w:w="80" w:type="dxa"/>
              <w:bottom w:w="80" w:type="dxa"/>
              <w:end w:w="80" w:type="dxa"/>
            </w:tcMar>
            <w:vAlign w:val="center"/>
            <w:shd w:fill="F5F7F9"/>
          </w:tcPr>
          <w:p>
            <w:r>
              <w:rPr>
                <w:sz w:val="17"/>
              </w:rPr>
              <w:t>7</w:t>
            </w:r>
          </w:p>
        </w:tc>
        <w:tc>
          <w:tcPr>
            <w:tcW w:type="dxa" w:w="2016"/>
            <w:tcMar>
              <w:top w:w="80" w:type="dxa"/>
              <w:start w:w="80" w:type="dxa"/>
              <w:bottom w:w="80" w:type="dxa"/>
              <w:end w:w="80" w:type="dxa"/>
            </w:tcMar>
            <w:vAlign w:val="center"/>
            <w:shd w:fill="F5F7F9"/>
          </w:tcPr>
          <w:p>
            <w:r>
              <w:rPr>
                <w:sz w:val="17"/>
              </w:rPr>
              <w:t>Logan</w:t>
            </w:r>
          </w:p>
        </w:tc>
        <w:tc>
          <w:tcPr>
            <w:tcW w:type="dxa" w:w="1872"/>
            <w:tcMar>
              <w:top w:w="80" w:type="dxa"/>
              <w:start w:w="80" w:type="dxa"/>
              <w:bottom w:w="80" w:type="dxa"/>
              <w:end w:w="80" w:type="dxa"/>
            </w:tcMar>
            <w:vAlign w:val="center"/>
            <w:shd w:fill="F5F7F9"/>
          </w:tcPr>
          <w:p>
            <w:r>
              <w:rPr>
                <w:sz w:val="17"/>
              </w:rPr>
              <w:t>Queensland</w:t>
            </w:r>
          </w:p>
        </w:tc>
        <w:tc>
          <w:tcPr>
            <w:tcW w:type="dxa" w:w="1008"/>
            <w:tcMar>
              <w:top w:w="80" w:type="dxa"/>
              <w:start w:w="80" w:type="dxa"/>
              <w:bottom w:w="80" w:type="dxa"/>
              <w:end w:w="80" w:type="dxa"/>
            </w:tcMar>
            <w:vAlign w:val="center"/>
            <w:shd w:fill="F5F7F9"/>
          </w:tcPr>
          <w:p>
            <w:r>
              <w:rPr>
                <w:sz w:val="17"/>
              </w:rPr>
              <w:t>95.89</w:t>
            </w:r>
          </w:p>
        </w:tc>
        <w:tc>
          <w:tcPr>
            <w:tcW w:type="dxa" w:w="1728"/>
            <w:tcMar>
              <w:top w:w="80" w:type="dxa"/>
              <w:start w:w="80" w:type="dxa"/>
              <w:bottom w:w="80" w:type="dxa"/>
              <w:end w:w="80" w:type="dxa"/>
            </w:tcMar>
            <w:vAlign w:val="center"/>
            <w:shd w:fill="F5F7F9"/>
          </w:tcPr>
          <w:p>
            <w:r>
              <w:rPr>
                <w:sz w:val="17"/>
              </w:rPr>
              <w:t>58,211</w:t>
            </w:r>
          </w:p>
        </w:tc>
        <w:tc>
          <w:tcPr>
            <w:tcW w:type="dxa" w:w="1440"/>
            <w:tcMar>
              <w:top w:w="80" w:type="dxa"/>
              <w:start w:w="80" w:type="dxa"/>
              <w:bottom w:w="80" w:type="dxa"/>
              <w:end w:w="80" w:type="dxa"/>
            </w:tcMar>
            <w:vAlign w:val="center"/>
            <w:shd w:fill="F5F7F9"/>
          </w:tcPr>
          <w:p>
            <w:r>
              <w:rPr>
                <w:sz w:val="17"/>
              </w:rPr>
              <w:t>13.1%</w:t>
            </w:r>
          </w:p>
        </w:tc>
      </w:tr>
      <w:tr>
        <w:tc>
          <w:tcPr>
            <w:tcW w:type="dxa" w:w="648"/>
            <w:tcMar>
              <w:top w:w="80" w:type="dxa"/>
              <w:start w:w="80" w:type="dxa"/>
              <w:bottom w:w="80" w:type="dxa"/>
              <w:end w:w="80" w:type="dxa"/>
            </w:tcMar>
            <w:vAlign w:val="center"/>
          </w:tcPr>
          <w:p>
            <w:r>
              <w:rPr>
                <w:sz w:val="17"/>
              </w:rPr>
              <w:t>8</w:t>
            </w:r>
          </w:p>
        </w:tc>
        <w:tc>
          <w:tcPr>
            <w:tcW w:type="dxa" w:w="2016"/>
            <w:tcMar>
              <w:top w:w="80" w:type="dxa"/>
              <w:start w:w="80" w:type="dxa"/>
              <w:bottom w:w="80" w:type="dxa"/>
              <w:end w:w="80" w:type="dxa"/>
            </w:tcMar>
            <w:vAlign w:val="center"/>
          </w:tcPr>
          <w:p>
            <w:r>
              <w:rPr>
                <w:sz w:val="17"/>
              </w:rPr>
              <w:t>Hume</w:t>
            </w:r>
          </w:p>
        </w:tc>
        <w:tc>
          <w:tcPr>
            <w:tcW w:type="dxa" w:w="1872"/>
            <w:tcMar>
              <w:top w:w="80" w:type="dxa"/>
              <w:start w:w="80" w:type="dxa"/>
              <w:bottom w:w="80" w:type="dxa"/>
              <w:end w:w="80" w:type="dxa"/>
            </w:tcMar>
            <w:vAlign w:val="center"/>
          </w:tcPr>
          <w:p>
            <w:r>
              <w:rPr>
                <w:sz w:val="17"/>
              </w:rPr>
              <w:t>Victoria</w:t>
            </w:r>
          </w:p>
        </w:tc>
        <w:tc>
          <w:tcPr>
            <w:tcW w:type="dxa" w:w="1008"/>
            <w:tcMar>
              <w:top w:w="80" w:type="dxa"/>
              <w:start w:w="80" w:type="dxa"/>
              <w:bottom w:w="80" w:type="dxa"/>
              <w:end w:w="80" w:type="dxa"/>
            </w:tcMar>
            <w:vAlign w:val="center"/>
          </w:tcPr>
          <w:p>
            <w:r>
              <w:rPr>
                <w:sz w:val="17"/>
              </w:rPr>
              <w:t>95.57</w:t>
            </w:r>
          </w:p>
        </w:tc>
        <w:tc>
          <w:tcPr>
            <w:tcW w:type="dxa" w:w="1728"/>
            <w:tcMar>
              <w:top w:w="80" w:type="dxa"/>
              <w:start w:w="80" w:type="dxa"/>
              <w:bottom w:w="80" w:type="dxa"/>
              <w:end w:w="80" w:type="dxa"/>
            </w:tcMar>
            <w:vAlign w:val="center"/>
          </w:tcPr>
          <w:p>
            <w:r>
              <w:rPr>
                <w:sz w:val="17"/>
              </w:rPr>
              <w:t>40,078</w:t>
            </w:r>
          </w:p>
        </w:tc>
        <w:tc>
          <w:tcPr>
            <w:tcW w:type="dxa" w:w="1440"/>
            <w:tcMar>
              <w:top w:w="80" w:type="dxa"/>
              <w:start w:w="80" w:type="dxa"/>
              <w:bottom w:w="80" w:type="dxa"/>
              <w:end w:w="80" w:type="dxa"/>
            </w:tcMar>
            <w:vAlign w:val="center"/>
          </w:tcPr>
          <w:p>
            <w:r>
              <w:rPr>
                <w:sz w:val="17"/>
              </w:rPr>
              <w:t>17.5%</w:t>
            </w:r>
          </w:p>
        </w:tc>
      </w:tr>
      <w:tr>
        <w:tc>
          <w:tcPr>
            <w:tcW w:type="dxa" w:w="648"/>
            <w:tcMar>
              <w:top w:w="80" w:type="dxa"/>
              <w:start w:w="80" w:type="dxa"/>
              <w:bottom w:w="80" w:type="dxa"/>
              <w:end w:w="80" w:type="dxa"/>
            </w:tcMar>
            <w:vAlign w:val="center"/>
            <w:shd w:fill="F5F7F9"/>
          </w:tcPr>
          <w:p>
            <w:r>
              <w:rPr>
                <w:sz w:val="17"/>
              </w:rPr>
              <w:t>9</w:t>
            </w:r>
          </w:p>
        </w:tc>
        <w:tc>
          <w:tcPr>
            <w:tcW w:type="dxa" w:w="2016"/>
            <w:tcMar>
              <w:top w:w="80" w:type="dxa"/>
              <w:start w:w="80" w:type="dxa"/>
              <w:bottom w:w="80" w:type="dxa"/>
              <w:end w:w="80" w:type="dxa"/>
            </w:tcMar>
            <w:vAlign w:val="center"/>
            <w:shd w:fill="F5F7F9"/>
          </w:tcPr>
          <w:p>
            <w:r>
              <w:rPr>
                <w:sz w:val="17"/>
              </w:rPr>
              <w:t>The Hills</w:t>
            </w:r>
          </w:p>
        </w:tc>
        <w:tc>
          <w:tcPr>
            <w:tcW w:type="dxa" w:w="1872"/>
            <w:tcMar>
              <w:top w:w="80" w:type="dxa"/>
              <w:start w:w="80" w:type="dxa"/>
              <w:bottom w:w="80" w:type="dxa"/>
              <w:end w:w="80" w:type="dxa"/>
            </w:tcMar>
            <w:vAlign w:val="center"/>
            <w:shd w:fill="F5F7F9"/>
          </w:tcPr>
          <w:p>
            <w:r>
              <w:rPr>
                <w:sz w:val="17"/>
              </w:rPr>
              <w:t>New South Wales</w:t>
            </w:r>
          </w:p>
        </w:tc>
        <w:tc>
          <w:tcPr>
            <w:tcW w:type="dxa" w:w="1008"/>
            <w:tcMar>
              <w:top w:w="80" w:type="dxa"/>
              <w:start w:w="80" w:type="dxa"/>
              <w:bottom w:w="80" w:type="dxa"/>
              <w:end w:w="80" w:type="dxa"/>
            </w:tcMar>
            <w:vAlign w:val="center"/>
            <w:shd w:fill="F5F7F9"/>
          </w:tcPr>
          <w:p>
            <w:r>
              <w:rPr>
                <w:sz w:val="17"/>
              </w:rPr>
              <w:t>95.48</w:t>
            </w:r>
          </w:p>
        </w:tc>
        <w:tc>
          <w:tcPr>
            <w:tcW w:type="dxa" w:w="1728"/>
            <w:tcMar>
              <w:top w:w="80" w:type="dxa"/>
              <w:start w:w="80" w:type="dxa"/>
              <w:bottom w:w="80" w:type="dxa"/>
              <w:end w:w="80" w:type="dxa"/>
            </w:tcMar>
            <w:vAlign w:val="center"/>
            <w:shd w:fill="F5F7F9"/>
          </w:tcPr>
          <w:p>
            <w:r>
              <w:rPr>
                <w:sz w:val="17"/>
              </w:rPr>
              <w:t>32,413</w:t>
            </w:r>
          </w:p>
        </w:tc>
        <w:tc>
          <w:tcPr>
            <w:tcW w:type="dxa" w:w="1440"/>
            <w:tcMar>
              <w:top w:w="80" w:type="dxa"/>
              <w:start w:w="80" w:type="dxa"/>
              <w:bottom w:w="80" w:type="dxa"/>
              <w:end w:w="80" w:type="dxa"/>
            </w:tcMar>
            <w:vAlign w:val="center"/>
            <w:shd w:fill="F5F7F9"/>
          </w:tcPr>
          <w:p>
            <w:r>
              <w:rPr>
                <w:sz w:val="17"/>
              </w:rPr>
              <w:t>18.2%</w:t>
            </w:r>
          </w:p>
        </w:tc>
      </w:tr>
      <w:tr>
        <w:tc>
          <w:tcPr>
            <w:tcW w:type="dxa" w:w="648"/>
            <w:tcMar>
              <w:top w:w="80" w:type="dxa"/>
              <w:start w:w="80" w:type="dxa"/>
              <w:bottom w:w="80" w:type="dxa"/>
              <w:end w:w="80" w:type="dxa"/>
            </w:tcMar>
            <w:vAlign w:val="center"/>
          </w:tcPr>
          <w:p>
            <w:r>
              <w:rPr>
                <w:sz w:val="17"/>
              </w:rPr>
              <w:t>10</w:t>
            </w:r>
          </w:p>
        </w:tc>
        <w:tc>
          <w:tcPr>
            <w:tcW w:type="dxa" w:w="2016"/>
            <w:tcMar>
              <w:top w:w="80" w:type="dxa"/>
              <w:start w:w="80" w:type="dxa"/>
              <w:bottom w:w="80" w:type="dxa"/>
              <w:end w:w="80" w:type="dxa"/>
            </w:tcMar>
            <w:vAlign w:val="center"/>
          </w:tcPr>
          <w:p>
            <w:r>
              <w:rPr>
                <w:sz w:val="17"/>
              </w:rPr>
              <w:t>Armadale</w:t>
            </w:r>
          </w:p>
        </w:tc>
        <w:tc>
          <w:tcPr>
            <w:tcW w:type="dxa" w:w="1872"/>
            <w:tcMar>
              <w:top w:w="80" w:type="dxa"/>
              <w:start w:w="80" w:type="dxa"/>
              <w:bottom w:w="80" w:type="dxa"/>
              <w:end w:w="80" w:type="dxa"/>
            </w:tcMar>
            <w:vAlign w:val="center"/>
          </w:tcPr>
          <w:p>
            <w:r>
              <w:rPr>
                <w:sz w:val="17"/>
              </w:rPr>
              <w:t>Western Australia</w:t>
            </w:r>
          </w:p>
        </w:tc>
        <w:tc>
          <w:tcPr>
            <w:tcW w:type="dxa" w:w="1008"/>
            <w:tcMar>
              <w:top w:w="80" w:type="dxa"/>
              <w:start w:w="80" w:type="dxa"/>
              <w:bottom w:w="80" w:type="dxa"/>
              <w:end w:w="80" w:type="dxa"/>
            </w:tcMar>
            <w:vAlign w:val="center"/>
          </w:tcPr>
          <w:p>
            <w:r>
              <w:rPr>
                <w:sz w:val="17"/>
              </w:rPr>
              <w:t>93.65</w:t>
            </w:r>
          </w:p>
        </w:tc>
        <w:tc>
          <w:tcPr>
            <w:tcW w:type="dxa" w:w="1728"/>
            <w:tcMar>
              <w:top w:w="80" w:type="dxa"/>
              <w:start w:w="80" w:type="dxa"/>
              <w:bottom w:w="80" w:type="dxa"/>
              <w:end w:w="80" w:type="dxa"/>
            </w:tcMar>
            <w:vAlign w:val="center"/>
          </w:tcPr>
          <w:p>
            <w:r>
              <w:rPr>
                <w:sz w:val="17"/>
              </w:rPr>
              <w:t>17,292</w:t>
            </w:r>
          </w:p>
        </w:tc>
        <w:tc>
          <w:tcPr>
            <w:tcW w:type="dxa" w:w="1440"/>
            <w:tcMar>
              <w:top w:w="80" w:type="dxa"/>
              <w:start w:w="80" w:type="dxa"/>
              <w:bottom w:w="80" w:type="dxa"/>
              <w:end w:w="80" w:type="dxa"/>
            </w:tcMar>
            <w:vAlign w:val="center"/>
          </w:tcPr>
          <w:p>
            <w:r>
              <w:rPr>
                <w:sz w:val="17"/>
              </w:rPr>
              <w:t>27.2%</w:t>
            </w:r>
          </w:p>
        </w:tc>
      </w:tr>
    </w:tbl>
    <w:p>
      <w:pPr>
        <w:spacing w:after="40"/>
      </w:pPr>
    </w:p>
    <w:p>
      <w:pPr>
        <w:pStyle w:val="Heading2"/>
      </w:pPr>
      <w:r>
        <w:t>6.1 Robustness</w:t>
      </w:r>
    </w:p>
    <w:p>
      <w:r>
        <w:t>The Top 20 is highly stable under alternative weights. The Growth-led model preserves all 20, the Scale-led model preserves 18, and the Intensity-led model preserves 19. Alternative eligibility thresholds also retain 19-20 of the baseline Top 20. This supports the interpretation that the leading candidate set is driven by the underlying data structure rather than a narrow modelling choice.</w:t>
      </w:r>
    </w:p>
    <w:p>
      <w:pPr>
        <w:jc w:val="center"/>
      </w:pPr>
      <w:r>
        <w:drawing>
          <wp:inline xmlns:a="http://schemas.openxmlformats.org/drawingml/2006/main" xmlns:pic="http://schemas.openxmlformats.org/drawingml/2006/picture">
            <wp:extent cx="5669280" cy="3644537"/>
            <wp:docPr id="6" name="Picture 6"/>
            <wp:cNvGraphicFramePr>
              <a:graphicFrameLocks noChangeAspect="1"/>
            </wp:cNvGraphicFramePr>
            <a:graphic>
              <a:graphicData uri="http://schemas.openxmlformats.org/drawingml/2006/picture">
                <pic:pic>
                  <pic:nvPicPr>
                    <pic:cNvPr id="0" name="01_weight_sensitivity_top20.png"/>
                    <pic:cNvPicPr/>
                  </pic:nvPicPr>
                  <pic:blipFill>
                    <a:blip r:embed="rId16"/>
                    <a:stretch>
                      <a:fillRect/>
                    </a:stretch>
                  </pic:blipFill>
                  <pic:spPr>
                    <a:xfrm>
                      <a:off x="0" y="0"/>
                      <a:ext cx="5669280" cy="3644537"/>
                    </a:xfrm>
                    <a:prstGeom prst="rect"/>
                  </pic:spPr>
                </pic:pic>
              </a:graphicData>
            </a:graphic>
          </wp:inline>
        </w:drawing>
      </w:r>
    </w:p>
    <w:p>
      <w:pPr>
        <w:pStyle w:val="Caption"/>
        <w:jc w:val="center"/>
      </w:pPr>
      <w:r>
        <w:rPr>
          <w:i/>
          <w:color w:val="5A5A5A"/>
          <w:sz w:val="18"/>
        </w:rPr>
        <w:t>Figure 6. Top-20 overlap under alternative weighting scenarios.</w:t>
      </w:r>
    </w:p>
    <w:p>
      <w:pPr>
        <w:pStyle w:val="Heading1"/>
      </w:pPr>
      <w:r>
        <w:t>7. Ranking and Strategic Segmentation</w:t>
      </w:r>
    </w:p>
    <w:p>
      <w:r>
        <w:t>A ranking answers where; segmentation begins to answer what kind of opportunity is present. The model therefore groups LGAs based on the pattern of Market Size, Youth Concentration and Growth Momentum rather than treating every high score as the same business problem.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8324A"/>
            <w:tcMar>
              <w:top w:w="80" w:type="dxa"/>
              <w:start w:w="80" w:type="dxa"/>
              <w:bottom w:w="80" w:type="dxa"/>
              <w:end w:w="80" w:type="dxa"/>
            </w:tcMar>
          </w:tcPr>
          <w:p>
            <w:pPr>
              <w:jc w:val="center"/>
            </w:pPr>
            <w:r>
              <w:rPr>
                <w:b/>
                <w:color w:val="FFFFFF"/>
                <w:sz w:val="16"/>
              </w:rPr>
              <w:t>Segment</w:t>
            </w:r>
          </w:p>
        </w:tc>
        <w:tc>
          <w:tcPr>
            <w:tcW w:type="dxa" w:w="3312"/>
            <w:shd w:fill="18324A"/>
            <w:tcMar>
              <w:top w:w="80" w:type="dxa"/>
              <w:start w:w="80" w:type="dxa"/>
              <w:bottom w:w="80" w:type="dxa"/>
              <w:end w:w="80" w:type="dxa"/>
            </w:tcMar>
          </w:tcPr>
          <w:p>
            <w:pPr>
              <w:jc w:val="center"/>
            </w:pPr>
            <w:r>
              <w:rPr>
                <w:b/>
                <w:color w:val="FFFFFF"/>
                <w:sz w:val="16"/>
              </w:rPr>
              <w:t>Typical profile</w:t>
            </w:r>
          </w:p>
        </w:tc>
        <w:tc>
          <w:tcPr>
            <w:tcW w:type="dxa" w:w="3600"/>
            <w:shd w:fill="18324A"/>
            <w:tcMar>
              <w:top w:w="80" w:type="dxa"/>
              <w:start w:w="80" w:type="dxa"/>
              <w:bottom w:w="80" w:type="dxa"/>
              <w:end w:w="80" w:type="dxa"/>
            </w:tcMar>
          </w:tcPr>
          <w:p>
            <w:pPr>
              <w:jc w:val="center"/>
            </w:pPr>
            <w:r>
              <w:rPr>
                <w:b/>
                <w:color w:val="FFFFFF"/>
                <w:sz w:val="16"/>
              </w:rPr>
              <w:t>Implication</w:t>
            </w:r>
          </w:p>
        </w:tc>
      </w:tr>
      <w:tr>
        <w:tc>
          <w:tcPr>
            <w:tcW w:type="dxa" w:w="2880"/>
            <w:tcMar>
              <w:top w:w="80" w:type="dxa"/>
              <w:start w:w="80" w:type="dxa"/>
              <w:bottom w:w="80" w:type="dxa"/>
              <w:end w:w="80" w:type="dxa"/>
            </w:tcMar>
            <w:vAlign w:val="center"/>
            <w:shd w:fill="F5F7F9"/>
          </w:tcPr>
          <w:p>
            <w:r>
              <w:rPr>
                <w:sz w:val="16"/>
              </w:rPr>
              <w:t>Balanced High-Opportunity Market</w:t>
            </w:r>
          </w:p>
        </w:tc>
        <w:tc>
          <w:tcPr>
            <w:tcW w:type="dxa" w:w="3312"/>
            <w:tcMar>
              <w:top w:w="80" w:type="dxa"/>
              <w:start w:w="80" w:type="dxa"/>
              <w:bottom w:w="80" w:type="dxa"/>
              <w:end w:w="80" w:type="dxa"/>
            </w:tcMar>
            <w:vAlign w:val="center"/>
            <w:shd w:fill="F5F7F9"/>
          </w:tcPr>
          <w:p>
            <w:r>
              <w:rPr>
                <w:sz w:val="16"/>
              </w:rPr>
              <w:t>Strong scale, youth intensity and growth</w:t>
            </w:r>
          </w:p>
        </w:tc>
        <w:tc>
          <w:tcPr>
            <w:tcW w:type="dxa" w:w="3600"/>
            <w:tcMar>
              <w:top w:w="80" w:type="dxa"/>
              <w:start w:w="80" w:type="dxa"/>
              <w:bottom w:w="80" w:type="dxa"/>
              <w:end w:w="80" w:type="dxa"/>
            </w:tcMar>
            <w:vAlign w:val="center"/>
            <w:shd w:fill="F5F7F9"/>
          </w:tcPr>
          <w:p>
            <w:r>
              <w:rPr>
                <w:sz w:val="16"/>
              </w:rPr>
              <w:t>Priority acquisition investigation; test capacity before scaling</w:t>
            </w:r>
          </w:p>
        </w:tc>
      </w:tr>
      <w:tr>
        <w:tc>
          <w:tcPr>
            <w:tcW w:type="dxa" w:w="2880"/>
            <w:tcMar>
              <w:top w:w="80" w:type="dxa"/>
              <w:start w:w="80" w:type="dxa"/>
              <w:bottom w:w="80" w:type="dxa"/>
              <w:end w:w="80" w:type="dxa"/>
            </w:tcMar>
            <w:vAlign w:val="center"/>
          </w:tcPr>
          <w:p>
            <w:r>
              <w:rPr>
                <w:sz w:val="16"/>
              </w:rPr>
              <w:t>Large Growth Market</w:t>
            </w:r>
          </w:p>
        </w:tc>
        <w:tc>
          <w:tcPr>
            <w:tcW w:type="dxa" w:w="3312"/>
            <w:tcMar>
              <w:top w:w="80" w:type="dxa"/>
              <w:start w:w="80" w:type="dxa"/>
              <w:bottom w:w="80" w:type="dxa"/>
              <w:end w:w="80" w:type="dxa"/>
            </w:tcMar>
            <w:vAlign w:val="center"/>
          </w:tcPr>
          <w:p>
            <w:r>
              <w:rPr>
                <w:sz w:val="16"/>
              </w:rPr>
              <w:t>Large junior market plus strong growth</w:t>
            </w:r>
          </w:p>
        </w:tc>
        <w:tc>
          <w:tcPr>
            <w:tcW w:type="dxa" w:w="3600"/>
            <w:tcMar>
              <w:top w:w="80" w:type="dxa"/>
              <w:start w:w="80" w:type="dxa"/>
              <w:bottom w:w="80" w:type="dxa"/>
              <w:end w:w="80" w:type="dxa"/>
            </w:tcMar>
            <w:vAlign w:val="center"/>
          </w:tcPr>
          <w:p>
            <w:r>
              <w:rPr>
                <w:sz w:val="16"/>
              </w:rPr>
              <w:t>Scale acquisition where delivery capacity exists</w:t>
            </w:r>
          </w:p>
        </w:tc>
      </w:tr>
      <w:tr>
        <w:tc>
          <w:tcPr>
            <w:tcW w:type="dxa" w:w="2880"/>
            <w:tcMar>
              <w:top w:w="80" w:type="dxa"/>
              <w:start w:w="80" w:type="dxa"/>
              <w:bottom w:w="80" w:type="dxa"/>
              <w:end w:w="80" w:type="dxa"/>
            </w:tcMar>
            <w:vAlign w:val="center"/>
            <w:shd w:fill="F5F7F9"/>
          </w:tcPr>
          <w:p>
            <w:r>
              <w:rPr>
                <w:sz w:val="16"/>
              </w:rPr>
              <w:t>Emerging Young Growth Market</w:t>
            </w:r>
          </w:p>
        </w:tc>
        <w:tc>
          <w:tcPr>
            <w:tcW w:type="dxa" w:w="3312"/>
            <w:tcMar>
              <w:top w:w="80" w:type="dxa"/>
              <w:start w:w="80" w:type="dxa"/>
              <w:bottom w:w="80" w:type="dxa"/>
              <w:end w:w="80" w:type="dxa"/>
            </w:tcMar>
            <w:vAlign w:val="center"/>
            <w:shd w:fill="F5F7F9"/>
          </w:tcPr>
          <w:p>
            <w:r>
              <w:rPr>
                <w:sz w:val="16"/>
              </w:rPr>
              <w:t>Young and fast-growing, smaller current scale</w:t>
            </w:r>
          </w:p>
        </w:tc>
        <w:tc>
          <w:tcPr>
            <w:tcW w:type="dxa" w:w="3600"/>
            <w:tcMar>
              <w:top w:w="80" w:type="dxa"/>
              <w:start w:w="80" w:type="dxa"/>
              <w:bottom w:w="80" w:type="dxa"/>
              <w:end w:w="80" w:type="dxa"/>
            </w:tcMar>
            <w:vAlign w:val="center"/>
            <w:shd w:fill="F5F7F9"/>
          </w:tcPr>
          <w:p>
            <w:r>
              <w:rPr>
                <w:sz w:val="16"/>
              </w:rPr>
              <w:t>Build delivery capacity early</w:t>
            </w:r>
          </w:p>
        </w:tc>
      </w:tr>
      <w:tr>
        <w:tc>
          <w:tcPr>
            <w:tcW w:type="dxa" w:w="2880"/>
            <w:tcMar>
              <w:top w:w="80" w:type="dxa"/>
              <w:start w:w="80" w:type="dxa"/>
              <w:bottom w:w="80" w:type="dxa"/>
              <w:end w:w="80" w:type="dxa"/>
            </w:tcMar>
            <w:vAlign w:val="center"/>
          </w:tcPr>
          <w:p>
            <w:r>
              <w:rPr>
                <w:sz w:val="16"/>
              </w:rPr>
              <w:t>Young High-Intensity Market</w:t>
            </w:r>
          </w:p>
        </w:tc>
        <w:tc>
          <w:tcPr>
            <w:tcW w:type="dxa" w:w="3312"/>
            <w:tcMar>
              <w:top w:w="80" w:type="dxa"/>
              <w:start w:w="80" w:type="dxa"/>
              <w:bottom w:w="80" w:type="dxa"/>
              <w:end w:w="80" w:type="dxa"/>
            </w:tcMar>
            <w:vAlign w:val="center"/>
          </w:tcPr>
          <w:p>
            <w:r>
              <w:rPr>
                <w:sz w:val="16"/>
              </w:rPr>
              <w:t>Young demographic structure, less scale/growth</w:t>
            </w:r>
          </w:p>
        </w:tc>
        <w:tc>
          <w:tcPr>
            <w:tcW w:type="dxa" w:w="3600"/>
            <w:tcMar>
              <w:top w:w="80" w:type="dxa"/>
              <w:start w:w="80" w:type="dxa"/>
              <w:bottom w:w="80" w:type="dxa"/>
              <w:end w:w="80" w:type="dxa"/>
            </w:tcMar>
            <w:vAlign w:val="center"/>
          </w:tcPr>
          <w:p>
            <w:r>
              <w:rPr>
                <w:sz w:val="16"/>
              </w:rPr>
              <w:t>Validate demand and access</w:t>
            </w:r>
          </w:p>
        </w:tc>
      </w:tr>
      <w:tr>
        <w:tc>
          <w:tcPr>
            <w:tcW w:type="dxa" w:w="2880"/>
            <w:tcMar>
              <w:top w:w="80" w:type="dxa"/>
              <w:start w:w="80" w:type="dxa"/>
              <w:bottom w:w="80" w:type="dxa"/>
              <w:end w:w="80" w:type="dxa"/>
            </w:tcMar>
            <w:vAlign w:val="center"/>
            <w:shd w:fill="F5F7F9"/>
          </w:tcPr>
          <w:p>
            <w:r>
              <w:rPr>
                <w:sz w:val="16"/>
              </w:rPr>
              <w:t>Large Established / Slower-Growth</w:t>
            </w:r>
          </w:p>
        </w:tc>
        <w:tc>
          <w:tcPr>
            <w:tcW w:type="dxa" w:w="3312"/>
            <w:tcMar>
              <w:top w:w="80" w:type="dxa"/>
              <w:start w:w="80" w:type="dxa"/>
              <w:bottom w:w="80" w:type="dxa"/>
              <w:end w:w="80" w:type="dxa"/>
            </w:tcMar>
            <w:vAlign w:val="center"/>
            <w:shd w:fill="F5F7F9"/>
          </w:tcPr>
          <w:p>
            <w:r>
              <w:rPr>
                <w:sz w:val="16"/>
              </w:rPr>
              <w:t>Large current market, weaker growth</w:t>
            </w:r>
          </w:p>
        </w:tc>
        <w:tc>
          <w:tcPr>
            <w:tcW w:type="dxa" w:w="3600"/>
            <w:tcMar>
              <w:top w:w="80" w:type="dxa"/>
              <w:start w:w="80" w:type="dxa"/>
              <w:bottom w:w="80" w:type="dxa"/>
              <w:end w:w="80" w:type="dxa"/>
            </w:tcMar>
            <w:vAlign w:val="center"/>
            <w:shd w:fill="F5F7F9"/>
          </w:tcPr>
          <w:p>
            <w:r>
              <w:rPr>
                <w:sz w:val="16"/>
              </w:rPr>
              <w:t>Retention, conversion and utilisation</w:t>
            </w:r>
          </w:p>
        </w:tc>
      </w:tr>
      <w:tr>
        <w:tc>
          <w:tcPr>
            <w:tcW w:type="dxa" w:w="2880"/>
            <w:tcMar>
              <w:top w:w="80" w:type="dxa"/>
              <w:start w:w="80" w:type="dxa"/>
              <w:bottom w:w="80" w:type="dxa"/>
              <w:end w:w="80" w:type="dxa"/>
            </w:tcMar>
            <w:vAlign w:val="center"/>
          </w:tcPr>
          <w:p>
            <w:r>
              <w:rPr>
                <w:sz w:val="16"/>
              </w:rPr>
              <w:t>Rapid Growth Market</w:t>
            </w:r>
          </w:p>
        </w:tc>
        <w:tc>
          <w:tcPr>
            <w:tcW w:type="dxa" w:w="3312"/>
            <w:tcMar>
              <w:top w:w="80" w:type="dxa"/>
              <w:start w:w="80" w:type="dxa"/>
              <w:bottom w:w="80" w:type="dxa"/>
              <w:end w:w="80" w:type="dxa"/>
            </w:tcMar>
            <w:vAlign w:val="center"/>
          </w:tcPr>
          <w:p>
            <w:r>
              <w:rPr>
                <w:sz w:val="16"/>
              </w:rPr>
              <w:t>Strong growth from a smaller base</w:t>
            </w:r>
          </w:p>
        </w:tc>
        <w:tc>
          <w:tcPr>
            <w:tcW w:type="dxa" w:w="3600"/>
            <w:tcMar>
              <w:top w:w="80" w:type="dxa"/>
              <w:start w:w="80" w:type="dxa"/>
              <w:bottom w:w="80" w:type="dxa"/>
              <w:end w:w="80" w:type="dxa"/>
            </w:tcMar>
            <w:vAlign w:val="center"/>
          </w:tcPr>
          <w:p>
            <w:r>
              <w:rPr>
                <w:sz w:val="16"/>
              </w:rPr>
              <w:t>Seed entry pathways and monitor</w:t>
            </w:r>
          </w:p>
        </w:tc>
      </w:tr>
      <w:tr>
        <w:tc>
          <w:tcPr>
            <w:tcW w:type="dxa" w:w="2880"/>
            <w:tcMar>
              <w:top w:w="80" w:type="dxa"/>
              <w:start w:w="80" w:type="dxa"/>
              <w:bottom w:w="80" w:type="dxa"/>
              <w:end w:w="80" w:type="dxa"/>
            </w:tcMar>
            <w:vAlign w:val="center"/>
            <w:shd w:fill="F5F7F9"/>
          </w:tcPr>
          <w:p>
            <w:r>
              <w:rPr>
                <w:sz w:val="16"/>
              </w:rPr>
              <w:t>Mixed / Moderate Opportunity</w:t>
            </w:r>
          </w:p>
        </w:tc>
        <w:tc>
          <w:tcPr>
            <w:tcW w:type="dxa" w:w="3312"/>
            <w:tcMar>
              <w:top w:w="80" w:type="dxa"/>
              <w:start w:w="80" w:type="dxa"/>
              <w:bottom w:w="80" w:type="dxa"/>
              <w:end w:w="80" w:type="dxa"/>
            </w:tcMar>
            <w:vAlign w:val="center"/>
            <w:shd w:fill="F5F7F9"/>
          </w:tcPr>
          <w:p>
            <w:r>
              <w:rPr>
                <w:sz w:val="16"/>
              </w:rPr>
              <w:t>No dominant pillar profile</w:t>
            </w:r>
          </w:p>
        </w:tc>
        <w:tc>
          <w:tcPr>
            <w:tcW w:type="dxa" w:w="3600"/>
            <w:tcMar>
              <w:top w:w="80" w:type="dxa"/>
              <w:start w:w="80" w:type="dxa"/>
              <w:bottom w:w="80" w:type="dxa"/>
              <w:end w:w="80" w:type="dxa"/>
            </w:tcMar>
            <w:vAlign w:val="center"/>
            <w:shd w:fill="F5F7F9"/>
          </w:tcPr>
          <w:p>
            <w:r>
              <w:rPr>
                <w:sz w:val="16"/>
              </w:rPr>
              <w:t>Selective local investigation</w:t>
            </w:r>
          </w:p>
        </w:tc>
      </w:tr>
    </w:tbl>
    <w:p>
      <w:pPr>
        <w:spacing w:after="40"/>
      </w:pPr>
    </w:p>
    <w:p>
      <w:pPr>
        <w:jc w:val="center"/>
      </w:pPr>
      <w:r>
        <w:drawing>
          <wp:inline xmlns:a="http://schemas.openxmlformats.org/drawingml/2006/main" xmlns:pic="http://schemas.openxmlformats.org/drawingml/2006/picture">
            <wp:extent cx="5943600" cy="4292600"/>
            <wp:docPr id="7" name="Picture 7"/>
            <wp:cNvGraphicFramePr>
              <a:graphicFrameLocks noChangeAspect="1"/>
            </wp:cNvGraphicFramePr>
            <a:graphic>
              <a:graphicData uri="http://schemas.openxmlformats.org/drawingml/2006/picture">
                <pic:pic>
                  <pic:nvPicPr>
                    <pic:cNvPr id="0" name="01_market_vs_growth_segments.png"/>
                    <pic:cNvPicPr/>
                  </pic:nvPicPr>
                  <pic:blipFill>
                    <a:blip r:embed="rId17"/>
                    <a:stretch>
                      <a:fillRect/>
                    </a:stretch>
                  </pic:blipFill>
                  <pic:spPr>
                    <a:xfrm>
                      <a:off x="0" y="0"/>
                      <a:ext cx="5943600" cy="4292600"/>
                    </a:xfrm>
                    <a:prstGeom prst="rect"/>
                  </pic:spPr>
                </pic:pic>
              </a:graphicData>
            </a:graphic>
          </wp:inline>
        </w:drawing>
      </w:r>
    </w:p>
    <w:p>
      <w:pPr>
        <w:pStyle w:val="Caption"/>
        <w:jc w:val="center"/>
      </w:pPr>
      <w:r>
        <w:rPr>
          <w:i/>
          <w:color w:val="5A5A5A"/>
          <w:sz w:val="18"/>
        </w:rPr>
        <w:t>Figure 7. Strategic opportunity segments separate current scale from growth momentum.</w:t>
      </w:r>
    </w:p>
    <w:p>
      <w:pPr>
        <w:pStyle w:val="Heading1"/>
      </w:pPr>
      <w:r>
        <w:t>8. Priority Case Studies</w:t>
      </w:r>
    </w:p>
    <w:p>
      <w:r>
        <w:t>Five cases were selected to represent different growth systems and analytical situations rather than simply taking the national top five. The purpose was to test whether local cricket and infrastructure evidence supports, complicates or contradicts Model V1.</w:t>
      </w:r>
    </w:p>
    <w:p>
      <w:pPr>
        <w:pStyle w:val="Heading2"/>
      </w:pPr>
      <w:r>
        <w:t>8.1 Wyndham, Victoria</w:t>
      </w:r>
    </w:p>
    <w:p>
      <w:r>
        <w:rPr>
          <w:b/>
        </w:rPr>
        <w:t xml:space="preserve">Model rank #1 | Opportunity score 99.27 | </w:t>
      </w:r>
      <w:r>
        <w:t>5-14 population 56,395 | 2019-24 change +13,313 (30.9%).</w:t>
      </w:r>
    </w:p>
    <w:p>
      <w:r>
        <w:rPr>
          <w:b/>
        </w:rPr>
        <w:t xml:space="preserve">Local evidence. </w:t>
      </w:r>
      <w:r>
        <w:t>Cricket Victoria reported 8% year-on-year overall cricket participation growth and 18% women/girls growth in Wyndham in July 2025. Wyndham City also reported lighting upgrades at Truganina and Tarneit intended to increase sportsground carrying capacity, while Council's venue pages note some existing-user availability constraints.</w:t>
      </w:r>
    </w:p>
    <w:p>
      <w:r>
        <w:rPr>
          <w:b/>
        </w:rPr>
        <w:t xml:space="preserve">Working interpretation. </w:t>
      </w:r>
      <w:r>
        <w:t>Priority acquisition and capacity-audit case</w:t>
      </w:r>
    </w:p>
    <w:p>
      <w:r>
        <w:rPr>
          <w:b/>
        </w:rPr>
        <w:t xml:space="preserve">Priority management question. </w:t>
      </w:r>
      <w:r>
        <w:t>Are club, oval, net and entry-program capacities growing quickly enough in Wyndham's western growth areas?</w:t>
      </w:r>
    </w:p>
    <w:p>
      <w:pPr>
        <w:pStyle w:val="Heading2"/>
      </w:pPr>
      <w:r>
        <w:t>8.2 Blacktown, New South Wales</w:t>
      </w:r>
    </w:p>
    <w:p>
      <w:r>
        <w:rPr>
          <w:b/>
        </w:rPr>
        <w:t xml:space="preserve">Model rank #3 | Opportunity score 97.21 | </w:t>
      </w:r>
      <w:r>
        <w:t>5-14 population 66,024 | 2019-24 change +9,571 (17.0%).</w:t>
      </w:r>
    </w:p>
    <w:p>
      <w:r>
        <w:rPr>
          <w:b/>
        </w:rPr>
        <w:t xml:space="preserve">Local evidence. </w:t>
      </w:r>
      <w:r>
        <w:t>Blacktown City Council stated in August 2024 that requests for year-round cricket competitions could not be met because of a shortage of fields. Blacktown City &amp; District Cricket Association then won Cricket NSW's 2025/26 Junior Initiative award for its Under-9s Transition Competition.</w:t>
      </w:r>
    </w:p>
    <w:p>
      <w:r>
        <w:rPr>
          <w:b/>
        </w:rPr>
        <w:t xml:space="preserve">Working interpretation. </w:t>
      </w:r>
      <w:r>
        <w:t>High-priority capacity-constrained candidate</w:t>
      </w:r>
    </w:p>
    <w:p>
      <w:r>
        <w:rPr>
          <w:b/>
        </w:rPr>
        <w:t xml:space="preserve">Priority management question. </w:t>
      </w:r>
      <w:r>
        <w:t>Which western/north-west Blacktown catchments have the largest mismatch between junior growth and playable cricket-field capacity?</w:t>
      </w:r>
    </w:p>
    <w:p>
      <w:pPr>
        <w:pStyle w:val="Heading2"/>
      </w:pPr>
      <w:r>
        <w:t>8.3 Ipswich, Queensland</w:t>
      </w:r>
    </w:p>
    <w:p>
      <w:r>
        <w:rPr>
          <w:b/>
        </w:rPr>
        <w:t xml:space="preserve">Model rank #4 | Opportunity score 96.58 | </w:t>
      </w:r>
      <w:r>
        <w:t>5-14 population 39,679 | 2019-24 change +4,829 (13.9%).</w:t>
      </w:r>
    </w:p>
    <w:p>
      <w:r>
        <w:rPr>
          <w:b/>
        </w:rPr>
        <w:t xml:space="preserve">Local evidence. </w:t>
      </w:r>
      <w:r>
        <w:t>Ipswich forecasts very rapid future population growth. In 2026 Council sought cricket/AFL users for a new South Ripley sports oval. Queensland Cricket reported Ipswich's Strollers Cricket Club had grown to more than 110 juniors and Blasters, with new cricket grounds established in Springfield.</w:t>
      </w:r>
    </w:p>
    <w:p>
      <w:r>
        <w:rPr>
          <w:b/>
        </w:rPr>
        <w:t xml:space="preserve">Working interpretation. </w:t>
      </w:r>
      <w:r>
        <w:t>Activate/accelerate candidate with ongoing capacity build</w:t>
      </w:r>
    </w:p>
    <w:p>
      <w:r>
        <w:rPr>
          <w:b/>
        </w:rPr>
        <w:t xml:space="preserve">Priority management question. </w:t>
      </w:r>
      <w:r>
        <w:t>Can new facilities in Ripley/Springfield be matched with junior, Blast and girls' participation programs fast enough?</w:t>
      </w:r>
    </w:p>
    <w:p>
      <w:pPr>
        <w:pStyle w:val="Heading2"/>
      </w:pPr>
      <w:r>
        <w:t>8.4 Armadale, Western Australia</w:t>
      </w:r>
    </w:p>
    <w:p>
      <w:r>
        <w:rPr>
          <w:b/>
        </w:rPr>
        <w:t xml:space="preserve">Model rank #10 | Opportunity score 93.65 | </w:t>
      </w:r>
      <w:r>
        <w:t>5-14 population 17,292 | 2019-24 change +3,696 (27.2%).</w:t>
      </w:r>
    </w:p>
    <w:p>
      <w:r>
        <w:rPr>
          <w:b/>
        </w:rPr>
        <w:t xml:space="preserve">Local evidence. </w:t>
      </w:r>
      <w:r>
        <w:t>The City of Armadale forecasts continued substantial population growth. WA Cricket reported the Gwynne Park Pavilion upgrade, home to Armadale Cricket Club in summer, will provide four all-gender changerooms and improved club amenities.</w:t>
      </w:r>
    </w:p>
    <w:p>
      <w:r>
        <w:rPr>
          <w:b/>
        </w:rPr>
        <w:t xml:space="preserve">Working interpretation. </w:t>
      </w:r>
      <w:r>
        <w:t>Promising acquisition case requiring demand validation</w:t>
      </w:r>
    </w:p>
    <w:p>
      <w:r>
        <w:rPr>
          <w:b/>
        </w:rPr>
        <w:t xml:space="preserve">Priority management question. </w:t>
      </w:r>
      <w:r>
        <w:t>Does Armadale's fast-growing junior market translate into registration growth, and is existing club/program coverage sufficient outside Gwynne Park?</w:t>
      </w:r>
    </w:p>
    <w:p>
      <w:pPr>
        <w:pStyle w:val="Heading2"/>
      </w:pPr>
      <w:r>
        <w:t>8.5 Maitland, New South Wales</w:t>
      </w:r>
    </w:p>
    <w:p>
      <w:r>
        <w:rPr>
          <w:b/>
        </w:rPr>
        <w:t xml:space="preserve">Model rank #20 | Opportunity score 86.99 | </w:t>
      </w:r>
      <w:r>
        <w:t>5-14 population 13,946 | 2019-24 change +1,481 (11.9%).</w:t>
      </w:r>
    </w:p>
    <w:p>
      <w:r>
        <w:rPr>
          <w:b/>
        </w:rPr>
        <w:t xml:space="preserve">Local evidence. </w:t>
      </w:r>
      <w:r>
        <w:t>Maitland City Council began construction in 2025 on Chisholm's first $10m sportsground, including a turf cricket wicket, specifically citing the area's growing population. Cricket NSW also highlighted a six-week all-girls cricket clinic in Maitland for ages 7–14 in 2025, and its competition framework includes Maitland district senior and junior associations.</w:t>
      </w:r>
    </w:p>
    <w:p>
      <w:r>
        <w:rPr>
          <w:b/>
        </w:rPr>
        <w:t xml:space="preserve">Working interpretation. </w:t>
      </w:r>
      <w:r>
        <w:t>Strong regional comparator / targeted growth case</w:t>
      </w:r>
    </w:p>
    <w:p>
      <w:r>
        <w:rPr>
          <w:b/>
        </w:rPr>
        <w:t xml:space="preserve">Priority management question. </w:t>
      </w:r>
      <w:r>
        <w:t>Can Chisholm and surrounding growth areas convert new facility supply into sustained junior and girls' registrations?</w:t>
      </w:r>
    </w:p>
    <w:p>
      <w:pPr>
        <w:jc w:val="center"/>
      </w:pPr>
      <w:r>
        <w:drawing>
          <wp:inline xmlns:a="http://schemas.openxmlformats.org/drawingml/2006/main" xmlns:pic="http://schemas.openxmlformats.org/drawingml/2006/picture">
            <wp:extent cx="5760720" cy="3520440"/>
            <wp:docPr id="8" name="Picture 8"/>
            <wp:cNvGraphicFramePr>
              <a:graphicFrameLocks noChangeAspect="1"/>
            </wp:cNvGraphicFramePr>
            <a:graphic>
              <a:graphicData uri="http://schemas.openxmlformats.org/drawingml/2006/picture">
                <pic:pic>
                  <pic:nvPicPr>
                    <pic:cNvPr id="0" name="01_case_study_pillar_profiles.png"/>
                    <pic:cNvPicPr/>
                  </pic:nvPicPr>
                  <pic:blipFill>
                    <a:blip r:embed="rId18"/>
                    <a:stretch>
                      <a:fillRect/>
                    </a:stretch>
                  </pic:blipFill>
                  <pic:spPr>
                    <a:xfrm>
                      <a:off x="0" y="0"/>
                      <a:ext cx="5760720" cy="3520440"/>
                    </a:xfrm>
                    <a:prstGeom prst="rect"/>
                  </pic:spPr>
                </pic:pic>
              </a:graphicData>
            </a:graphic>
          </wp:inline>
        </w:drawing>
      </w:r>
    </w:p>
    <w:p>
      <w:pPr>
        <w:pStyle w:val="Caption"/>
        <w:jc w:val="center"/>
      </w:pPr>
      <w:r>
        <w:rPr>
          <w:i/>
          <w:color w:val="5A5A5A"/>
          <w:sz w:val="18"/>
        </w:rPr>
        <w:t>Figure 8. Pillar profiles for the five Phase 14 case studies.</w:t>
      </w:r>
    </w:p>
    <w:p>
      <w:pPr>
        <w:pStyle w:val="Heading1"/>
      </w:pPr>
      <w:r>
        <w:t>9. Strategic Recommendations</w:t>
      </w:r>
    </w:p>
    <w:p>
      <w:pPr>
        <w:jc w:val="center"/>
      </w:pPr>
      <w:r>
        <w:drawing>
          <wp:inline xmlns:a="http://schemas.openxmlformats.org/drawingml/2006/main" xmlns:pic="http://schemas.openxmlformats.org/drawingml/2006/picture">
            <wp:extent cx="5852160" cy="2210816"/>
            <wp:docPr id="9" name="Picture 9"/>
            <wp:cNvGraphicFramePr>
              <a:graphicFrameLocks noChangeAspect="1"/>
            </wp:cNvGraphicFramePr>
            <a:graphic>
              <a:graphicData uri="http://schemas.openxmlformats.org/drawingml/2006/picture">
                <pic:pic>
                  <pic:nvPicPr>
                    <pic:cNvPr id="0" name="01_recommended_decision_process.png"/>
                    <pic:cNvPicPr/>
                  </pic:nvPicPr>
                  <pic:blipFill>
                    <a:blip r:embed="rId19"/>
                    <a:stretch>
                      <a:fillRect/>
                    </a:stretch>
                  </pic:blipFill>
                  <pic:spPr>
                    <a:xfrm>
                      <a:off x="0" y="0"/>
                      <a:ext cx="5852160" cy="2210816"/>
                    </a:xfrm>
                    <a:prstGeom prst="rect"/>
                  </pic:spPr>
                </pic:pic>
              </a:graphicData>
            </a:graphic>
          </wp:inline>
        </w:drawing>
      </w:r>
    </w:p>
    <w:p>
      <w:pPr>
        <w:pStyle w:val="Caption"/>
        <w:jc w:val="center"/>
      </w:pPr>
      <w:r>
        <w:rPr>
          <w:i/>
          <w:color w:val="5A5A5A"/>
          <w:sz w:val="18"/>
        </w:rPr>
        <w:t>Figure 9. Recommended decision process from opportunity screening to outcome measurement.</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Core recommendation</w:t>
              <w:br/>
            </w:r>
            <w:r>
              <w:rPr>
                <w:sz w:val="20"/>
              </w:rPr>
              <w:t>Use demographic Opportunity Potential to decide where to investigate, cricket-system evidence to diagnose the local constraint, and intervention-specific KPIs to determine what action works.</w:t>
            </w:r>
          </w:p>
        </w:tc>
      </w:tr>
    </w:tbl>
    <w:p>
      <w:pPr>
        <w:pStyle w:val="Heading2"/>
      </w:pPr>
      <w:r>
        <w:t>9.1 National recommendations</w:t>
      </w:r>
    </w:p>
    <w:p>
      <w:r>
        <w:rPr>
          <w:b/>
        </w:rPr>
        <w:t xml:space="preserve">N1 - Adopt a two-stage national prioritisation process. </w:t>
      </w:r>
      <w:r>
        <w:t>Use Opportunity Potential as a screening layer, then require cricket-specific readiness evidence before investment decisions.</w:t>
      </w:r>
    </w:p>
    <w:p>
      <w:r>
        <w:rPr>
          <w:b/>
        </w:rPr>
        <w:t xml:space="preserve">N2 - Create a national Community Cricket Opportunity &amp; Readiness dataset. </w:t>
      </w:r>
      <w:r>
        <w:t>Join PlayHQ/registration history, club/program locations, facility access, participant age/gender, and demographic growth at LGA/SA2 or club-catchment level.</w:t>
      </w:r>
    </w:p>
    <w:p>
      <w:r>
        <w:rPr>
          <w:b/>
        </w:rPr>
        <w:t xml:space="preserve">N3 - Prioritise growth corridors, not only individual LGAs. </w:t>
      </w:r>
      <w:r>
        <w:t>Create corridor views for Melbourne outer growth belt, western/south-west Sydney, South East Queensland and Perth growth belt.</w:t>
      </w:r>
    </w:p>
    <w:p>
      <w:r>
        <w:rPr>
          <w:b/>
        </w:rPr>
        <w:t xml:space="preserve">N4 - Build an annual junior-growth early-warning dashboard. </w:t>
      </w:r>
      <w:r>
        <w:t>Track target-age population growth, registrations, programs and facility capacity to flag areas where demographic growth is outpacing cricket supply.</w:t>
      </w:r>
    </w:p>
    <w:p>
      <w:r>
        <w:rPr>
          <w:b/>
        </w:rPr>
        <w:t xml:space="preserve">N5 - Separate acquisition, capacity and retention KPIs. </w:t>
      </w:r>
      <w:r>
        <w:t>Do not judge every LGA on total registrations alone; distinguish new-player acquisition, returning players, transition/conversion and capacity constraints.</w:t>
      </w:r>
    </w:p>
    <w:p>
      <w:r>
        <w:rPr>
          <w:b/>
        </w:rPr>
        <w:t xml:space="preserve">N6 - Overlay women/girls and multicultural strategic priorities. </w:t>
      </w:r>
      <w:r>
        <w:t>Add direct registration and demographic layers for girls and culturally diverse communities rather than using broad demographic counts as demand assumptions.</w:t>
      </w:r>
    </w:p>
    <w:p>
      <w:r>
        <w:rPr>
          <w:b/>
        </w:rPr>
        <w:t xml:space="preserve">N7 - Require intervention-specific evaluation. </w:t>
      </w:r>
      <w:r>
        <w:t>Every targeted program/facility intervention should define baseline, target, comparison period and conversion/retention metrics.</w:t>
      </w:r>
    </w:p>
    <w:p>
      <w:pPr>
        <w:pStyle w:val="Heading2"/>
      </w:pPr>
      <w:r>
        <w:t>9.2 Strategic response framework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18324A"/>
            <w:tcMar>
              <w:top w:w="80" w:type="dxa"/>
              <w:start w:w="80" w:type="dxa"/>
              <w:bottom w:w="80" w:type="dxa"/>
              <w:end w:w="80" w:type="dxa"/>
            </w:tcMar>
          </w:tcPr>
          <w:p>
            <w:pPr>
              <w:jc w:val="center"/>
            </w:pPr>
            <w:r>
              <w:rPr>
                <w:b/>
                <w:color w:val="FFFFFF"/>
                <w:sz w:val="16"/>
              </w:rPr>
              <w:t>Evidence pattern</w:t>
            </w:r>
          </w:p>
        </w:tc>
        <w:tc>
          <w:tcPr>
            <w:tcW w:type="dxa" w:w="2592"/>
            <w:shd w:fill="18324A"/>
            <w:tcMar>
              <w:top w:w="80" w:type="dxa"/>
              <w:start w:w="80" w:type="dxa"/>
              <w:bottom w:w="80" w:type="dxa"/>
              <w:end w:w="80" w:type="dxa"/>
            </w:tcMar>
          </w:tcPr>
          <w:p>
            <w:pPr>
              <w:jc w:val="center"/>
            </w:pPr>
            <w:r>
              <w:rPr>
                <w:b/>
                <w:color w:val="FFFFFF"/>
                <w:sz w:val="16"/>
              </w:rPr>
              <w:t>Response</w:t>
            </w:r>
          </w:p>
        </w:tc>
        <w:tc>
          <w:tcPr>
            <w:tcW w:type="dxa" w:w="4320"/>
            <w:shd w:fill="18324A"/>
            <w:tcMar>
              <w:top w:w="80" w:type="dxa"/>
              <w:start w:w="80" w:type="dxa"/>
              <w:bottom w:w="80" w:type="dxa"/>
              <w:end w:w="80" w:type="dxa"/>
            </w:tcMar>
          </w:tcPr>
          <w:p>
            <w:pPr>
              <w:jc w:val="center"/>
            </w:pPr>
            <w:r>
              <w:rPr>
                <w:b/>
                <w:color w:val="FFFFFF"/>
                <w:sz w:val="16"/>
              </w:rPr>
              <w:t>Action</w:t>
            </w:r>
          </w:p>
        </w:tc>
      </w:tr>
      <w:tr>
        <w:tc>
          <w:tcPr>
            <w:tcW w:type="dxa" w:w="3024"/>
            <w:tcMar>
              <w:top w:w="80" w:type="dxa"/>
              <w:start w:w="80" w:type="dxa"/>
              <w:bottom w:w="80" w:type="dxa"/>
              <w:end w:w="80" w:type="dxa"/>
            </w:tcMar>
            <w:vAlign w:val="center"/>
            <w:shd w:fill="F5F7F9"/>
          </w:tcPr>
          <w:p>
            <w:r>
              <w:rPr>
                <w:sz w:val="16"/>
              </w:rPr>
              <w:t>High opportunity + capacity pressure</w:t>
            </w:r>
          </w:p>
        </w:tc>
        <w:tc>
          <w:tcPr>
            <w:tcW w:type="dxa" w:w="2592"/>
            <w:tcMar>
              <w:top w:w="80" w:type="dxa"/>
              <w:start w:w="80" w:type="dxa"/>
              <w:bottom w:w="80" w:type="dxa"/>
              <w:end w:w="80" w:type="dxa"/>
            </w:tcMar>
            <w:vAlign w:val="center"/>
            <w:shd w:fill="F5F7F9"/>
          </w:tcPr>
          <w:p>
            <w:r>
              <w:rPr>
                <w:sz w:val="16"/>
              </w:rPr>
              <w:t>Build Capacity First / Protect Access</w:t>
            </w:r>
          </w:p>
        </w:tc>
        <w:tc>
          <w:tcPr>
            <w:tcW w:type="dxa" w:w="4320"/>
            <w:tcMar>
              <w:top w:w="80" w:type="dxa"/>
              <w:start w:w="80" w:type="dxa"/>
              <w:bottom w:w="80" w:type="dxa"/>
              <w:end w:w="80" w:type="dxa"/>
            </w:tcMar>
            <w:vAlign w:val="center"/>
            <w:shd w:fill="F5F7F9"/>
          </w:tcPr>
          <w:p>
            <w:r>
              <w:rPr>
                <w:sz w:val="16"/>
              </w:rPr>
              <w:t>Audit facilities/club capacity; quantify unmet demand; protect access before acquisition campaigns</w:t>
            </w:r>
          </w:p>
        </w:tc>
      </w:tr>
      <w:tr>
        <w:tc>
          <w:tcPr>
            <w:tcW w:type="dxa" w:w="3024"/>
            <w:tcMar>
              <w:top w:w="80" w:type="dxa"/>
              <w:start w:w="80" w:type="dxa"/>
              <w:bottom w:w="80" w:type="dxa"/>
              <w:end w:w="80" w:type="dxa"/>
            </w:tcMar>
            <w:vAlign w:val="center"/>
          </w:tcPr>
          <w:p>
            <w:r>
              <w:rPr>
                <w:sz w:val="16"/>
              </w:rPr>
              <w:t>High opportunity + new/available capacity</w:t>
            </w:r>
          </w:p>
        </w:tc>
        <w:tc>
          <w:tcPr>
            <w:tcW w:type="dxa" w:w="2592"/>
            <w:tcMar>
              <w:top w:w="80" w:type="dxa"/>
              <w:start w:w="80" w:type="dxa"/>
              <w:bottom w:w="80" w:type="dxa"/>
              <w:end w:w="80" w:type="dxa"/>
            </w:tcMar>
            <w:vAlign w:val="center"/>
          </w:tcPr>
          <w:p>
            <w:r>
              <w:rPr>
                <w:sz w:val="16"/>
              </w:rPr>
              <w:t>Activate / Accelerate</w:t>
            </w:r>
          </w:p>
        </w:tc>
        <w:tc>
          <w:tcPr>
            <w:tcW w:type="dxa" w:w="4320"/>
            <w:tcMar>
              <w:top w:w="80" w:type="dxa"/>
              <w:start w:w="80" w:type="dxa"/>
              <w:bottom w:w="80" w:type="dxa"/>
              <w:end w:w="80" w:type="dxa"/>
            </w:tcMar>
            <w:vAlign w:val="center"/>
          </w:tcPr>
          <w:p>
            <w:r>
              <w:rPr>
                <w:sz w:val="16"/>
              </w:rPr>
              <w:t>Expand Blast/junior/girls pathways and school-to-club conversion</w:t>
            </w:r>
          </w:p>
        </w:tc>
      </w:tr>
      <w:tr>
        <w:tc>
          <w:tcPr>
            <w:tcW w:type="dxa" w:w="3024"/>
            <w:tcMar>
              <w:top w:w="80" w:type="dxa"/>
              <w:start w:w="80" w:type="dxa"/>
              <w:bottom w:w="80" w:type="dxa"/>
              <w:end w:w="80" w:type="dxa"/>
            </w:tcMar>
            <w:vAlign w:val="center"/>
            <w:shd w:fill="F5F7F9"/>
          </w:tcPr>
          <w:p>
            <w:r>
              <w:rPr>
                <w:sz w:val="16"/>
              </w:rPr>
              <w:t>High opportunity + weak demand evidence</w:t>
            </w:r>
          </w:p>
        </w:tc>
        <w:tc>
          <w:tcPr>
            <w:tcW w:type="dxa" w:w="2592"/>
            <w:tcMar>
              <w:top w:w="80" w:type="dxa"/>
              <w:start w:w="80" w:type="dxa"/>
              <w:bottom w:w="80" w:type="dxa"/>
              <w:end w:w="80" w:type="dxa"/>
            </w:tcMar>
            <w:vAlign w:val="center"/>
            <w:shd w:fill="F5F7F9"/>
          </w:tcPr>
          <w:p>
            <w:r>
              <w:rPr>
                <w:sz w:val="16"/>
              </w:rPr>
              <w:t>Validate Before Scaling</w:t>
            </w:r>
          </w:p>
        </w:tc>
        <w:tc>
          <w:tcPr>
            <w:tcW w:type="dxa" w:w="4320"/>
            <w:tcMar>
              <w:top w:w="80" w:type="dxa"/>
              <w:start w:w="80" w:type="dxa"/>
              <w:bottom w:w="80" w:type="dxa"/>
              <w:end w:w="80" w:type="dxa"/>
            </w:tcMar>
            <w:vAlign w:val="center"/>
            <w:shd w:fill="F5F7F9"/>
          </w:tcPr>
          <w:p>
            <w:r>
              <w:rPr>
                <w:sz w:val="16"/>
              </w:rPr>
              <w:t>Use registrations, club/school evidence and pilots before major investment</w:t>
            </w:r>
          </w:p>
        </w:tc>
      </w:tr>
      <w:tr>
        <w:tc>
          <w:tcPr>
            <w:tcW w:type="dxa" w:w="3024"/>
            <w:tcMar>
              <w:top w:w="80" w:type="dxa"/>
              <w:start w:w="80" w:type="dxa"/>
              <w:bottom w:w="80" w:type="dxa"/>
              <w:end w:w="80" w:type="dxa"/>
            </w:tcMar>
            <w:vAlign w:val="center"/>
          </w:tcPr>
          <w:p>
            <w:r>
              <w:rPr>
                <w:sz w:val="16"/>
              </w:rPr>
              <w:t>Large market + slower growth</w:t>
            </w:r>
          </w:p>
        </w:tc>
        <w:tc>
          <w:tcPr>
            <w:tcW w:type="dxa" w:w="2592"/>
            <w:tcMar>
              <w:top w:w="80" w:type="dxa"/>
              <w:start w:w="80" w:type="dxa"/>
              <w:bottom w:w="80" w:type="dxa"/>
              <w:end w:w="80" w:type="dxa"/>
            </w:tcMar>
            <w:vAlign w:val="center"/>
          </w:tcPr>
          <w:p>
            <w:r>
              <w:rPr>
                <w:sz w:val="16"/>
              </w:rPr>
              <w:t>Retain / Convert</w:t>
            </w:r>
          </w:p>
        </w:tc>
        <w:tc>
          <w:tcPr>
            <w:tcW w:type="dxa" w:w="4320"/>
            <w:tcMar>
              <w:top w:w="80" w:type="dxa"/>
              <w:start w:w="80" w:type="dxa"/>
              <w:bottom w:w="80" w:type="dxa"/>
              <w:end w:w="80" w:type="dxa"/>
            </w:tcMar>
            <w:vAlign w:val="center"/>
          </w:tcPr>
          <w:p>
            <w:r>
              <w:rPr>
                <w:sz w:val="16"/>
              </w:rPr>
              <w:t>Prioritise participant return, churn and pathway conversion</w:t>
            </w:r>
          </w:p>
        </w:tc>
      </w:tr>
      <w:tr>
        <w:tc>
          <w:tcPr>
            <w:tcW w:type="dxa" w:w="3024"/>
            <w:tcMar>
              <w:top w:w="80" w:type="dxa"/>
              <w:start w:w="80" w:type="dxa"/>
              <w:bottom w:w="80" w:type="dxa"/>
              <w:end w:w="80" w:type="dxa"/>
            </w:tcMar>
            <w:vAlign w:val="center"/>
            <w:shd w:fill="F5F7F9"/>
          </w:tcPr>
          <w:p>
            <w:r>
              <w:rPr>
                <w:sz w:val="16"/>
              </w:rPr>
              <w:t>Smaller market + rapid growth</w:t>
            </w:r>
          </w:p>
        </w:tc>
        <w:tc>
          <w:tcPr>
            <w:tcW w:type="dxa" w:w="2592"/>
            <w:tcMar>
              <w:top w:w="80" w:type="dxa"/>
              <w:start w:w="80" w:type="dxa"/>
              <w:bottom w:w="80" w:type="dxa"/>
              <w:end w:w="80" w:type="dxa"/>
            </w:tcMar>
            <w:vAlign w:val="center"/>
            <w:shd w:fill="F5F7F9"/>
          </w:tcPr>
          <w:p>
            <w:r>
              <w:rPr>
                <w:sz w:val="16"/>
              </w:rPr>
              <w:t>Seed and Monitor</w:t>
            </w:r>
          </w:p>
        </w:tc>
        <w:tc>
          <w:tcPr>
            <w:tcW w:type="dxa" w:w="4320"/>
            <w:tcMar>
              <w:top w:w="80" w:type="dxa"/>
              <w:start w:w="80" w:type="dxa"/>
              <w:bottom w:w="80" w:type="dxa"/>
              <w:end w:w="80" w:type="dxa"/>
            </w:tcMar>
            <w:vAlign w:val="center"/>
            <w:shd w:fill="F5F7F9"/>
          </w:tcPr>
          <w:p>
            <w:r>
              <w:rPr>
                <w:sz w:val="16"/>
              </w:rPr>
              <w:t>Establish low-cost entry pathways and reserve future capacity</w:t>
            </w:r>
          </w:p>
        </w:tc>
      </w:tr>
    </w:tbl>
    <w:p>
      <w:pPr>
        <w:spacing w:after="40"/>
      </w:pPr>
    </w:p>
    <w:p>
      <w:pPr>
        <w:pStyle w:val="Heading1"/>
      </w:pPr>
      <w:r>
        <w:t>10. Validation and Limitations</w:t>
      </w:r>
    </w:p>
    <w:p>
      <w:r>
        <w:t>The model is suitable as a transparent public-data prioritisation prototype, but its validation is strongest for data integrity, construct logic and robustness - not for prediction. There is no future LGA-level new-registration outcome against which Model V1 can be tested.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8324A"/>
            <w:tcMar>
              <w:top w:w="80" w:type="dxa"/>
              <w:start w:w="80" w:type="dxa"/>
              <w:bottom w:w="80" w:type="dxa"/>
              <w:end w:w="80" w:type="dxa"/>
            </w:tcMar>
          </w:tcPr>
          <w:p>
            <w:pPr>
              <w:jc w:val="center"/>
            </w:pPr>
            <w:r>
              <w:rPr>
                <w:b/>
                <w:color w:val="FFFFFF"/>
                <w:sz w:val="15"/>
              </w:rPr>
              <w:t>Validation dimension</w:t>
            </w:r>
          </w:p>
        </w:tc>
        <w:tc>
          <w:tcPr>
            <w:tcW w:type="dxa" w:w="1728"/>
            <w:shd w:fill="18324A"/>
            <w:tcMar>
              <w:top w:w="80" w:type="dxa"/>
              <w:start w:w="80" w:type="dxa"/>
              <w:bottom w:w="80" w:type="dxa"/>
              <w:end w:w="80" w:type="dxa"/>
            </w:tcMar>
          </w:tcPr>
          <w:p>
            <w:pPr>
              <w:jc w:val="center"/>
            </w:pPr>
            <w:r>
              <w:rPr>
                <w:b/>
                <w:color w:val="FFFFFF"/>
                <w:sz w:val="15"/>
              </w:rPr>
              <w:t>Assessment</w:t>
            </w:r>
          </w:p>
        </w:tc>
        <w:tc>
          <w:tcPr>
            <w:tcW w:type="dxa" w:w="5184"/>
            <w:shd w:fill="18324A"/>
            <w:tcMar>
              <w:top w:w="80" w:type="dxa"/>
              <w:start w:w="80" w:type="dxa"/>
              <w:bottom w:w="80" w:type="dxa"/>
              <w:end w:w="80" w:type="dxa"/>
            </w:tcMar>
          </w:tcPr>
          <w:p>
            <w:pPr>
              <w:jc w:val="center"/>
            </w:pPr>
            <w:r>
              <w:rPr>
                <w:b/>
                <w:color w:val="FFFFFF"/>
                <w:sz w:val="15"/>
              </w:rPr>
              <w:t>Interpretation</w:t>
            </w:r>
          </w:p>
        </w:tc>
      </w:tr>
      <w:tr>
        <w:tc>
          <w:tcPr>
            <w:tcW w:type="dxa" w:w="3168"/>
            <w:tcMar>
              <w:top w:w="80" w:type="dxa"/>
              <w:start w:w="80" w:type="dxa"/>
              <w:bottom w:w="80" w:type="dxa"/>
              <w:end w:w="80" w:type="dxa"/>
            </w:tcMar>
            <w:vAlign w:val="center"/>
            <w:shd w:fill="F5F7F9"/>
          </w:tcPr>
          <w:p>
            <w:r>
              <w:rPr>
                <w:sz w:val="15"/>
              </w:rPr>
              <w:t>Internal data integrity</w:t>
            </w:r>
          </w:p>
        </w:tc>
        <w:tc>
          <w:tcPr>
            <w:tcW w:type="dxa" w:w="1728"/>
            <w:tcMar>
              <w:top w:w="80" w:type="dxa"/>
              <w:start w:w="80" w:type="dxa"/>
              <w:bottom w:w="80" w:type="dxa"/>
              <w:end w:w="80" w:type="dxa"/>
            </w:tcMar>
            <w:vAlign w:val="center"/>
            <w:shd w:fill="F5F7F9"/>
          </w:tcPr>
          <w:p>
            <w:r>
              <w:rPr>
                <w:sz w:val="15"/>
              </w:rPr>
              <w:t>Strong</w:t>
            </w:r>
          </w:p>
        </w:tc>
        <w:tc>
          <w:tcPr>
            <w:tcW w:type="dxa" w:w="5184"/>
            <w:tcMar>
              <w:top w:w="80" w:type="dxa"/>
              <w:start w:w="80" w:type="dxa"/>
              <w:bottom w:w="80" w:type="dxa"/>
              <w:end w:w="80" w:type="dxa"/>
            </w:tcMar>
            <w:vAlign w:val="center"/>
            <w:shd w:fill="F5F7F9"/>
          </w:tcPr>
          <w:p>
            <w:r>
              <w:rPr>
                <w:sz w:val="15"/>
              </w:rPr>
              <w:t>Supports confidence in extraction and joins, not in causal interpretation.</w:t>
            </w:r>
          </w:p>
        </w:tc>
      </w:tr>
      <w:tr>
        <w:tc>
          <w:tcPr>
            <w:tcW w:type="dxa" w:w="3168"/>
            <w:tcMar>
              <w:top w:w="80" w:type="dxa"/>
              <w:start w:w="80" w:type="dxa"/>
              <w:bottom w:w="80" w:type="dxa"/>
              <w:end w:w="80" w:type="dxa"/>
            </w:tcMar>
            <w:vAlign w:val="center"/>
          </w:tcPr>
          <w:p>
            <w:r>
              <w:rPr>
                <w:sz w:val="15"/>
              </w:rPr>
              <w:t>Weight sensitivity</w:t>
            </w:r>
          </w:p>
        </w:tc>
        <w:tc>
          <w:tcPr>
            <w:tcW w:type="dxa" w:w="1728"/>
            <w:tcMar>
              <w:top w:w="80" w:type="dxa"/>
              <w:start w:w="80" w:type="dxa"/>
              <w:bottom w:w="80" w:type="dxa"/>
              <w:end w:w="80" w:type="dxa"/>
            </w:tcMar>
            <w:vAlign w:val="center"/>
          </w:tcPr>
          <w:p>
            <w:r>
              <w:rPr>
                <w:sz w:val="15"/>
              </w:rPr>
              <w:t>Strong</w:t>
            </w:r>
          </w:p>
        </w:tc>
        <w:tc>
          <w:tcPr>
            <w:tcW w:type="dxa" w:w="5184"/>
            <w:tcMar>
              <w:top w:w="80" w:type="dxa"/>
              <w:start w:w="80" w:type="dxa"/>
              <w:bottom w:w="80" w:type="dxa"/>
              <w:end w:w="80" w:type="dxa"/>
            </w:tcMar>
            <w:vAlign w:val="center"/>
          </w:tcPr>
          <w:p>
            <w:r>
              <w:rPr>
                <w:sz w:val="15"/>
              </w:rPr>
              <w:t>Shows leading candidates are not created by one arbitrary weight set.</w:t>
            </w:r>
          </w:p>
        </w:tc>
      </w:tr>
      <w:tr>
        <w:tc>
          <w:tcPr>
            <w:tcW w:type="dxa" w:w="3168"/>
            <w:tcMar>
              <w:top w:w="80" w:type="dxa"/>
              <w:start w:w="80" w:type="dxa"/>
              <w:bottom w:w="80" w:type="dxa"/>
              <w:end w:w="80" w:type="dxa"/>
            </w:tcMar>
            <w:vAlign w:val="center"/>
            <w:shd w:fill="F5F7F9"/>
          </w:tcPr>
          <w:p>
            <w:r>
              <w:rPr>
                <w:sz w:val="15"/>
              </w:rPr>
              <w:t>Eligibility-threshold sensitivity</w:t>
            </w:r>
          </w:p>
        </w:tc>
        <w:tc>
          <w:tcPr>
            <w:tcW w:type="dxa" w:w="1728"/>
            <w:tcMar>
              <w:top w:w="80" w:type="dxa"/>
              <w:start w:w="80" w:type="dxa"/>
              <w:bottom w:w="80" w:type="dxa"/>
              <w:end w:w="80" w:type="dxa"/>
            </w:tcMar>
            <w:vAlign w:val="center"/>
            <w:shd w:fill="F5F7F9"/>
          </w:tcPr>
          <w:p>
            <w:r>
              <w:rPr>
                <w:sz w:val="15"/>
              </w:rPr>
              <w:t>Strong</w:t>
            </w:r>
          </w:p>
        </w:tc>
        <w:tc>
          <w:tcPr>
            <w:tcW w:type="dxa" w:w="5184"/>
            <w:tcMar>
              <w:top w:w="80" w:type="dxa"/>
              <w:start w:w="80" w:type="dxa"/>
              <w:bottom w:w="80" w:type="dxa"/>
              <w:end w:w="80" w:type="dxa"/>
            </w:tcMar>
            <w:vAlign w:val="center"/>
            <w:shd w:fill="F5F7F9"/>
          </w:tcPr>
          <w:p>
            <w:r>
              <w:rPr>
                <w:sz w:val="15"/>
              </w:rPr>
              <w:t>Shows candidate set is robust to reasonable small-base guardrails.</w:t>
            </w:r>
          </w:p>
        </w:tc>
      </w:tr>
      <w:tr>
        <w:tc>
          <w:tcPr>
            <w:tcW w:type="dxa" w:w="3168"/>
            <w:tcMar>
              <w:top w:w="80" w:type="dxa"/>
              <w:start w:w="80" w:type="dxa"/>
              <w:bottom w:w="80" w:type="dxa"/>
              <w:end w:w="80" w:type="dxa"/>
            </w:tcMar>
            <w:vAlign w:val="center"/>
          </w:tcPr>
          <w:p>
            <w:r>
              <w:rPr>
                <w:sz w:val="15"/>
              </w:rPr>
              <w:t>Construct validity — redundancy control</w:t>
            </w:r>
          </w:p>
        </w:tc>
        <w:tc>
          <w:tcPr>
            <w:tcW w:type="dxa" w:w="1728"/>
            <w:tcMar>
              <w:top w:w="80" w:type="dxa"/>
              <w:start w:w="80" w:type="dxa"/>
              <w:bottom w:w="80" w:type="dxa"/>
              <w:end w:w="80" w:type="dxa"/>
            </w:tcMar>
            <w:vAlign w:val="center"/>
          </w:tcPr>
          <w:p>
            <w:r>
              <w:rPr>
                <w:sz w:val="15"/>
              </w:rPr>
              <w:t>Strong</w:t>
            </w:r>
          </w:p>
        </w:tc>
        <w:tc>
          <w:tcPr>
            <w:tcW w:type="dxa" w:w="5184"/>
            <w:tcMar>
              <w:top w:w="80" w:type="dxa"/>
              <w:start w:w="80" w:type="dxa"/>
              <w:bottom w:w="80" w:type="dxa"/>
              <w:end w:w="80" w:type="dxa"/>
            </w:tcMar>
            <w:vAlign w:val="center"/>
          </w:tcPr>
          <w:p>
            <w:r>
              <w:rPr>
                <w:sz w:val="15"/>
              </w:rPr>
              <w:t>Supports simplified three-pillar architecture.</w:t>
            </w:r>
          </w:p>
        </w:tc>
      </w:tr>
      <w:tr>
        <w:tc>
          <w:tcPr>
            <w:tcW w:type="dxa" w:w="3168"/>
            <w:tcMar>
              <w:top w:w="80" w:type="dxa"/>
              <w:start w:w="80" w:type="dxa"/>
              <w:bottom w:w="80" w:type="dxa"/>
              <w:end w:w="80" w:type="dxa"/>
            </w:tcMar>
            <w:vAlign w:val="center"/>
            <w:shd w:fill="F5F7F9"/>
          </w:tcPr>
          <w:p>
            <w:r>
              <w:rPr>
                <w:sz w:val="15"/>
              </w:rPr>
              <w:t>Construct validity — distinct growth signal</w:t>
            </w:r>
          </w:p>
        </w:tc>
        <w:tc>
          <w:tcPr>
            <w:tcW w:type="dxa" w:w="1728"/>
            <w:tcMar>
              <w:top w:w="80" w:type="dxa"/>
              <w:start w:w="80" w:type="dxa"/>
              <w:bottom w:w="80" w:type="dxa"/>
              <w:end w:w="80" w:type="dxa"/>
            </w:tcMar>
            <w:vAlign w:val="center"/>
            <w:shd w:fill="F5F7F9"/>
          </w:tcPr>
          <w:p>
            <w:r>
              <w:rPr>
                <w:sz w:val="15"/>
              </w:rPr>
              <w:t>Moderate/Strong</w:t>
            </w:r>
          </w:p>
        </w:tc>
        <w:tc>
          <w:tcPr>
            <w:tcW w:type="dxa" w:w="5184"/>
            <w:tcMar>
              <w:top w:w="80" w:type="dxa"/>
              <w:start w:w="80" w:type="dxa"/>
              <w:bottom w:w="80" w:type="dxa"/>
              <w:end w:w="80" w:type="dxa"/>
            </w:tcMar>
            <w:vAlign w:val="center"/>
            <w:shd w:fill="F5F7F9"/>
          </w:tcPr>
          <w:p>
            <w:r>
              <w:rPr>
                <w:sz w:val="15"/>
              </w:rPr>
              <w:t>Supports keeping Growth Momentum separate from Market Size.</w:t>
            </w:r>
          </w:p>
        </w:tc>
      </w:tr>
      <w:tr>
        <w:tc>
          <w:tcPr>
            <w:tcW w:type="dxa" w:w="3168"/>
            <w:tcMar>
              <w:top w:w="80" w:type="dxa"/>
              <w:start w:w="80" w:type="dxa"/>
              <w:bottom w:w="80" w:type="dxa"/>
              <w:end w:w="80" w:type="dxa"/>
            </w:tcMar>
            <w:vAlign w:val="center"/>
          </w:tcPr>
          <w:p>
            <w:r>
              <w:rPr>
                <w:sz w:val="15"/>
              </w:rPr>
              <w:t>Geographic face validity</w:t>
            </w:r>
          </w:p>
        </w:tc>
        <w:tc>
          <w:tcPr>
            <w:tcW w:type="dxa" w:w="1728"/>
            <w:tcMar>
              <w:top w:w="80" w:type="dxa"/>
              <w:start w:w="80" w:type="dxa"/>
              <w:bottom w:w="80" w:type="dxa"/>
              <w:end w:w="80" w:type="dxa"/>
            </w:tcMar>
            <w:vAlign w:val="center"/>
          </w:tcPr>
          <w:p>
            <w:r>
              <w:rPr>
                <w:sz w:val="15"/>
              </w:rPr>
              <w:t>Moderate/Strong</w:t>
            </w:r>
          </w:p>
        </w:tc>
        <w:tc>
          <w:tcPr>
            <w:tcW w:type="dxa" w:w="5184"/>
            <w:tcMar>
              <w:top w:w="80" w:type="dxa"/>
              <w:start w:w="80" w:type="dxa"/>
              <w:bottom w:w="80" w:type="dxa"/>
              <w:end w:w="80" w:type="dxa"/>
            </w:tcMar>
            <w:vAlign w:val="center"/>
          </w:tcPr>
          <w:p>
            <w:r>
              <w:rPr>
                <w:sz w:val="15"/>
              </w:rPr>
              <w:t>Plausible spatial coherence, but not predictive validation.</w:t>
            </w:r>
          </w:p>
        </w:tc>
      </w:tr>
      <w:tr>
        <w:tc>
          <w:tcPr>
            <w:tcW w:type="dxa" w:w="3168"/>
            <w:tcMar>
              <w:top w:w="80" w:type="dxa"/>
              <w:start w:w="80" w:type="dxa"/>
              <w:bottom w:w="80" w:type="dxa"/>
              <w:end w:w="80" w:type="dxa"/>
            </w:tcMar>
            <w:vAlign w:val="center"/>
            <w:shd w:fill="F5F7F9"/>
          </w:tcPr>
          <w:p>
            <w:r>
              <w:rPr>
                <w:sz w:val="15"/>
              </w:rPr>
              <w:t>External case-study validation</w:t>
            </w:r>
          </w:p>
        </w:tc>
        <w:tc>
          <w:tcPr>
            <w:tcW w:type="dxa" w:w="1728"/>
            <w:tcMar>
              <w:top w:w="80" w:type="dxa"/>
              <w:start w:w="80" w:type="dxa"/>
              <w:bottom w:w="80" w:type="dxa"/>
              <w:end w:w="80" w:type="dxa"/>
            </w:tcMar>
            <w:vAlign w:val="center"/>
            <w:shd w:fill="F5F7F9"/>
          </w:tcPr>
          <w:p>
            <w:r>
              <w:rPr>
                <w:sz w:val="15"/>
              </w:rPr>
              <w:t>Moderate</w:t>
            </w:r>
          </w:p>
        </w:tc>
        <w:tc>
          <w:tcPr>
            <w:tcW w:type="dxa" w:w="5184"/>
            <w:tcMar>
              <w:top w:w="80" w:type="dxa"/>
              <w:start w:w="80" w:type="dxa"/>
              <w:bottom w:w="80" w:type="dxa"/>
              <w:end w:w="80" w:type="dxa"/>
            </w:tcMar>
            <w:vAlign w:val="center"/>
            <w:shd w:fill="F5F7F9"/>
          </w:tcPr>
          <w:p>
            <w:r>
              <w:rPr>
                <w:sz w:val="15"/>
              </w:rPr>
              <w:t>Useful triangulation, but cases are purposive rather than a random validation sample.</w:t>
            </w:r>
          </w:p>
        </w:tc>
      </w:tr>
      <w:tr>
        <w:tc>
          <w:tcPr>
            <w:tcW w:type="dxa" w:w="3168"/>
            <w:tcMar>
              <w:top w:w="80" w:type="dxa"/>
              <w:start w:w="80" w:type="dxa"/>
              <w:bottom w:w="80" w:type="dxa"/>
              <w:end w:w="80" w:type="dxa"/>
            </w:tcMar>
            <w:vAlign w:val="center"/>
          </w:tcPr>
          <w:p>
            <w:r>
              <w:rPr>
                <w:sz w:val="15"/>
              </w:rPr>
              <w:t>Predictive validity</w:t>
            </w:r>
          </w:p>
        </w:tc>
        <w:tc>
          <w:tcPr>
            <w:tcW w:type="dxa" w:w="1728"/>
            <w:tcMar>
              <w:top w:w="80" w:type="dxa"/>
              <w:start w:w="80" w:type="dxa"/>
              <w:bottom w:w="80" w:type="dxa"/>
              <w:end w:w="80" w:type="dxa"/>
            </w:tcMar>
            <w:vAlign w:val="center"/>
          </w:tcPr>
          <w:p>
            <w:r>
              <w:rPr>
                <w:sz w:val="15"/>
              </w:rPr>
              <w:t>Not established</w:t>
            </w:r>
          </w:p>
        </w:tc>
        <w:tc>
          <w:tcPr>
            <w:tcW w:type="dxa" w:w="5184"/>
            <w:tcMar>
              <w:top w:w="80" w:type="dxa"/>
              <w:start w:w="80" w:type="dxa"/>
              <w:bottom w:w="80" w:type="dxa"/>
              <w:end w:w="80" w:type="dxa"/>
            </w:tcMar>
            <w:vAlign w:val="center"/>
          </w:tcPr>
          <w:p>
            <w:r>
              <w:rPr>
                <w:sz w:val="15"/>
              </w:rPr>
              <w:t>Model must not be described as predicting registrations or demand.</w:t>
            </w:r>
          </w:p>
        </w:tc>
      </w:tr>
      <w:tr>
        <w:tc>
          <w:tcPr>
            <w:tcW w:type="dxa" w:w="3168"/>
            <w:tcMar>
              <w:top w:w="80" w:type="dxa"/>
              <w:start w:w="80" w:type="dxa"/>
              <w:bottom w:w="80" w:type="dxa"/>
              <w:end w:w="80" w:type="dxa"/>
            </w:tcMar>
            <w:vAlign w:val="center"/>
            <w:shd w:fill="F5F7F9"/>
          </w:tcPr>
          <w:p>
            <w:r>
              <w:rPr>
                <w:sz w:val="15"/>
              </w:rPr>
              <w:t>Criterion validity using current participation penetration</w:t>
            </w:r>
          </w:p>
        </w:tc>
        <w:tc>
          <w:tcPr>
            <w:tcW w:type="dxa" w:w="1728"/>
            <w:tcMar>
              <w:top w:w="80" w:type="dxa"/>
              <w:start w:w="80" w:type="dxa"/>
              <w:bottom w:w="80" w:type="dxa"/>
              <w:end w:w="80" w:type="dxa"/>
            </w:tcMar>
            <w:vAlign w:val="center"/>
            <w:shd w:fill="F5F7F9"/>
          </w:tcPr>
          <w:p>
            <w:r>
              <w:rPr>
                <w:sz w:val="15"/>
              </w:rPr>
              <w:t>Not established</w:t>
            </w:r>
          </w:p>
        </w:tc>
        <w:tc>
          <w:tcPr>
            <w:tcW w:type="dxa" w:w="5184"/>
            <w:tcMar>
              <w:top w:w="80" w:type="dxa"/>
              <w:start w:w="80" w:type="dxa"/>
              <w:bottom w:w="80" w:type="dxa"/>
              <w:end w:w="80" w:type="dxa"/>
            </w:tcMar>
            <w:vAlign w:val="center"/>
            <w:shd w:fill="F5F7F9"/>
          </w:tcPr>
          <w:p>
            <w:r>
              <w:rPr>
                <w:sz w:val="15"/>
              </w:rPr>
              <w:t>Cannot identify true low-penetration or 'untapped' cricket markets.</w:t>
            </w:r>
          </w:p>
        </w:tc>
      </w:tr>
      <w:tr>
        <w:tc>
          <w:tcPr>
            <w:tcW w:type="dxa" w:w="3168"/>
            <w:tcMar>
              <w:top w:w="80" w:type="dxa"/>
              <w:start w:w="80" w:type="dxa"/>
              <w:bottom w:w="80" w:type="dxa"/>
              <w:end w:w="80" w:type="dxa"/>
            </w:tcMar>
            <w:vAlign w:val="center"/>
          </w:tcPr>
          <w:p>
            <w:r>
              <w:rPr>
                <w:sz w:val="15"/>
              </w:rPr>
              <w:t>System Readiness validity</w:t>
            </w:r>
          </w:p>
        </w:tc>
        <w:tc>
          <w:tcPr>
            <w:tcW w:type="dxa" w:w="1728"/>
            <w:tcMar>
              <w:top w:w="80" w:type="dxa"/>
              <w:start w:w="80" w:type="dxa"/>
              <w:bottom w:w="80" w:type="dxa"/>
              <w:end w:w="80" w:type="dxa"/>
            </w:tcMar>
            <w:vAlign w:val="center"/>
          </w:tcPr>
          <w:p>
            <w:r>
              <w:rPr>
                <w:sz w:val="15"/>
              </w:rPr>
              <w:t>Not established</w:t>
            </w:r>
          </w:p>
        </w:tc>
        <w:tc>
          <w:tcPr>
            <w:tcW w:type="dxa" w:w="5184"/>
            <w:tcMar>
              <w:top w:w="80" w:type="dxa"/>
              <w:start w:w="80" w:type="dxa"/>
              <w:bottom w:w="80" w:type="dxa"/>
              <w:end w:w="80" w:type="dxa"/>
            </w:tcMar>
            <w:vAlign w:val="center"/>
          </w:tcPr>
          <w:p>
            <w:r>
              <w:rPr>
                <w:sz w:val="15"/>
              </w:rPr>
              <w:t>Final Opportunity × Readiness framework remains incomplete.</w:t>
            </w:r>
          </w:p>
        </w:tc>
      </w:tr>
    </w:tbl>
    <w:p>
      <w:pPr>
        <w:spacing w:after="40"/>
      </w:pPr>
    </w:p>
    <w:p>
      <w:pPr>
        <w:pStyle w:val="Heading2"/>
      </w:pPr>
      <w:r>
        <w:t>10.1 Critical claim boundaries</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The model CAN support</w:t>
              <w:br/>
            </w:r>
            <w:r>
              <w:rPr>
                <w:sz w:val="20"/>
              </w:rPr>
              <w:t>Relative statements such as: an LGA combines a large junior market, a young population structure and strong recent junior growth compared with other eligible Australian LGAs.</w:t>
            </w:r>
          </w:p>
        </w:tc>
      </w:tr>
    </w:tbl>
    <w:tbl>
      <w:tblPr>
        <w:tblW w:type="auto" w:w="0"/>
        <w:jc w:val="center"/>
        <w:tblLook w:firstColumn="1" w:firstRow="1" w:lastColumn="0" w:lastRow="0" w:noHBand="0" w:noVBand="1" w:val="04A0"/>
      </w:tblPr>
      <w:tblGrid>
        <w:gridCol w:w="10080"/>
      </w:tblGrid>
      <w:tr>
        <w:trPr>
          <w:cantSplit/>
        </w:trPr>
        <w:tc>
          <w:tcPr>
            <w:tcW w:type="dxa" w:w="10080"/>
            <w:shd w:fill="FFF4E5"/>
            <w:tcMar>
              <w:top w:w="160" w:type="dxa"/>
              <w:start w:w="180" w:type="dxa"/>
              <w:bottom w:w="160" w:type="dxa"/>
              <w:end w:w="180" w:type="dxa"/>
            </w:tcMar>
          </w:tcPr>
          <w:p>
            <w:r>
              <w:rPr>
                <w:b/>
                <w:color w:val="18324A"/>
                <w:sz w:val="22"/>
              </w:rPr>
              <w:t>The model CANNOT support</w:t>
              <w:br/>
            </w:r>
            <w:r>
              <w:rPr>
                <w:sz w:val="20"/>
              </w:rPr>
              <w:t>Claims that an LGA has the highest untapped cricket demand, low participation penetration, a predicted number of future registrations, or a guaranteed return from a specific facility/program investment.</w:t>
            </w:r>
          </w:p>
        </w:tc>
      </w:tr>
    </w:tbl>
    <w:p>
      <w:pPr>
        <w:pStyle w:val="Heading2"/>
      </w:pPr>
      <w:r>
        <w:t>10.2 Highest-severity limitations</w:t>
      </w:r>
    </w:p>
    <w:p>
      <w:pPr>
        <w:pStyle w:val="ListBullet"/>
      </w:pPr>
      <w:r>
        <w:rPr>
          <w:b/>
        </w:rPr>
        <w:t xml:space="preserve">Outcome-data gap: </w:t>
      </w:r>
      <w:r>
        <w:t>No national LGA-level cricket registration/acquisition outcome.</w:t>
      </w:r>
    </w:p>
    <w:p>
      <w:pPr>
        <w:pStyle w:val="ListBullet"/>
      </w:pPr>
      <w:r>
        <w:rPr>
          <w:b/>
        </w:rPr>
        <w:t xml:space="preserve">Readiness-data gap: </w:t>
      </w:r>
      <w:r>
        <w:t>No consistent national club/program/facility capacity dataset.</w:t>
      </w:r>
    </w:p>
    <w:p>
      <w:pPr>
        <w:pStyle w:val="ListBullet"/>
      </w:pPr>
      <w:r>
        <w:rPr>
          <w:b/>
        </w:rPr>
        <w:t xml:space="preserve">Age-band mismatch: </w:t>
      </w:r>
      <w:r>
        <w:t>Current ABS age/sex data supports 5–14, not exact CA strategic 5–12.</w:t>
      </w:r>
    </w:p>
    <w:p>
      <w:pPr>
        <w:pStyle w:val="ListBullet"/>
      </w:pPr>
      <w:r>
        <w:rPr>
          <w:b/>
        </w:rPr>
        <w:t xml:space="preserve">Cultural strategic-alignment gap: </w:t>
      </w:r>
      <w:r>
        <w:t>South Asian/cultural Census layer not integrated into Model V1.</w:t>
      </w:r>
    </w:p>
    <w:p>
      <w:pPr>
        <w:pStyle w:val="ListBullet"/>
      </w:pPr>
      <w:r>
        <w:rPr>
          <w:b/>
        </w:rPr>
        <w:t xml:space="preserve">LGA as market proxy: </w:t>
      </w:r>
      <w:r>
        <w:t>Players can live, attend school and play across council boundaries.</w:t>
      </w:r>
    </w:p>
    <w:p>
      <w:pPr>
        <w:pStyle w:val="ListBullet"/>
      </w:pPr>
      <w:r>
        <w:rPr>
          <w:b/>
        </w:rPr>
        <w:t xml:space="preserve">Infrastructure evidence inconsistency: </w:t>
      </w:r>
      <w:r>
        <w:t>Local facility evidence varies in quality/availability by council/state.</w:t>
      </w:r>
    </w:p>
    <w:p>
      <w:pPr>
        <w:pStyle w:val="ListBullet"/>
      </w:pPr>
      <w:r>
        <w:rPr>
          <w:b/>
        </w:rPr>
        <w:t xml:space="preserve">Demand vs demographic opportunity: </w:t>
      </w:r>
      <w:r>
        <w:t>Population attributes do not prove willingness to play cricket.</w:t>
      </w:r>
    </w:p>
    <w:p>
      <w:pPr>
        <w:pStyle w:val="ListBullet"/>
      </w:pPr>
      <w:r>
        <w:rPr>
          <w:b/>
        </w:rPr>
        <w:t xml:space="preserve">Causal inference: </w:t>
      </w:r>
      <w:r>
        <w:t>Observational geographic model identifies associations only.</w:t>
      </w:r>
    </w:p>
    <w:p>
      <w:pPr>
        <w:jc w:val="center"/>
      </w:pPr>
      <w:r>
        <w:drawing>
          <wp:inline xmlns:a="http://schemas.openxmlformats.org/drawingml/2006/main" xmlns:pic="http://schemas.openxmlformats.org/drawingml/2006/picture">
            <wp:extent cx="5669280" cy="3644537"/>
            <wp:docPr id="10" name="Picture 10"/>
            <wp:cNvGraphicFramePr>
              <a:graphicFrameLocks noChangeAspect="1"/>
            </wp:cNvGraphicFramePr>
            <a:graphic>
              <a:graphicData uri="http://schemas.openxmlformats.org/drawingml/2006/picture">
                <pic:pic>
                  <pic:nvPicPr>
                    <pic:cNvPr id="0" name="03_validation_maturity.png"/>
                    <pic:cNvPicPr/>
                  </pic:nvPicPr>
                  <pic:blipFill>
                    <a:blip r:embed="rId20"/>
                    <a:stretch>
                      <a:fillRect/>
                    </a:stretch>
                  </pic:blipFill>
                  <pic:spPr>
                    <a:xfrm>
                      <a:off x="0" y="0"/>
                      <a:ext cx="5669280" cy="3644537"/>
                    </a:xfrm>
                    <a:prstGeom prst="rect"/>
                  </pic:spPr>
                </pic:pic>
              </a:graphicData>
            </a:graphic>
          </wp:inline>
        </w:drawing>
      </w:r>
    </w:p>
    <w:p>
      <w:pPr>
        <w:pStyle w:val="Caption"/>
        <w:jc w:val="center"/>
      </w:pPr>
      <w:r>
        <w:rPr>
          <w:i/>
          <w:color w:val="5A5A5A"/>
          <w:sz w:val="18"/>
        </w:rPr>
        <w:t>Figure 10. Validation is strongest for robustness and weakest for outcome/predictive validity.</w:t>
      </w:r>
    </w:p>
    <w:p>
      <w:pPr>
        <w:pStyle w:val="Heading1"/>
      </w:pPr>
      <w:r>
        <w:t>11. Power BI Dashboard Design</w:t>
      </w:r>
    </w:p>
    <w:p>
      <w:r>
        <w:t>The final analytical workflow has been translated into a Power BI-ready dashboard package. The dashboard is designed for a hiring manager or participation leader to move from national screening to LGA-level diagnosis while keeping the model limitation visible.</w:t>
      </w:r>
    </w:p>
    <w:p>
      <w:pPr>
        <w:pStyle w:val="ListBullet"/>
      </w:pPr>
      <w:r>
        <w:t>Executive Overview - KPIs, Top 15 ranking, opportunity tiers and scale-vs-growth view.</w:t>
      </w:r>
    </w:p>
    <w:p>
      <w:pPr>
        <w:pStyle w:val="ListBullet"/>
      </w:pPr>
      <w:r>
        <w:t>Geographic Opportunity - LGA choropleth using official ABS 2025 boundaries.</w:t>
      </w:r>
    </w:p>
    <w:p>
      <w:pPr>
        <w:pStyle w:val="ListBullet"/>
      </w:pPr>
      <w:r>
        <w:t>LGA Deep Dive - rank, score, current junior market, growth and pillar profile.</w:t>
      </w:r>
    </w:p>
    <w:p>
      <w:pPr>
        <w:pStyle w:val="ListBullet"/>
      </w:pPr>
      <w:r>
        <w:t>Strategic Segmentation - why each LGA ranks highly.</w:t>
      </w:r>
    </w:p>
    <w:p>
      <w:pPr>
        <w:pStyle w:val="ListBullet"/>
      </w:pPr>
      <w:r>
        <w:t>Case Studies - Wyndham, Blacktown, Ipswich, Armadale and Maitland.</w:t>
      </w:r>
    </w:p>
    <w:p>
      <w:pPr>
        <w:pStyle w:val="ListBullet"/>
      </w:pPr>
      <w:r>
        <w:t>Validation &amp; Limitations - sensitivity tests, limitations and claim boundaries.</w:t>
      </w:r>
    </w:p>
    <w:p>
      <w:pPr>
        <w:jc w:val="center"/>
      </w:pPr>
      <w:r>
        <w:drawing>
          <wp:inline xmlns:a="http://schemas.openxmlformats.org/drawingml/2006/main" xmlns:pic="http://schemas.openxmlformats.org/drawingml/2006/picture">
            <wp:extent cx="6126480" cy="3675888"/>
            <wp:docPr id="11" name="Picture 11"/>
            <wp:cNvGraphicFramePr>
              <a:graphicFrameLocks noChangeAspect="1"/>
            </wp:cNvGraphicFramePr>
            <a:graphic>
              <a:graphicData uri="http://schemas.openxmlformats.org/drawingml/2006/picture">
                <pic:pic>
                  <pic:nvPicPr>
                    <pic:cNvPr id="0" name="Dashboard_Executive_Overview_Preview.png"/>
                    <pic:cNvPicPr/>
                  </pic:nvPicPr>
                  <pic:blipFill>
                    <a:blip r:embed="rId11"/>
                    <a:stretch>
                      <a:fillRect/>
                    </a:stretch>
                  </pic:blipFill>
                  <pic:spPr>
                    <a:xfrm>
                      <a:off x="0" y="0"/>
                      <a:ext cx="6126480" cy="3675888"/>
                    </a:xfrm>
                    <a:prstGeom prst="rect"/>
                  </pic:spPr>
                </pic:pic>
              </a:graphicData>
            </a:graphic>
          </wp:inline>
        </w:drawing>
      </w:r>
    </w:p>
    <w:p>
      <w:pPr>
        <w:pStyle w:val="Caption"/>
        <w:jc w:val="center"/>
      </w:pPr>
      <w:r>
        <w:rPr>
          <w:i/>
          <w:color w:val="5A5A5A"/>
          <w:sz w:val="18"/>
        </w:rPr>
        <w:t>Figure 11. Static prototype of the dashboard Executive Overview page.</w:t>
      </w:r>
    </w:p>
    <w:p>
      <w:pPr>
        <w:pStyle w:val="Heading1"/>
      </w:pPr>
      <w:r>
        <w:t>12. Conclusion</w:t>
      </w:r>
    </w:p>
    <w:p>
      <w:r>
        <w:t>The strongest contribution of this project is not the specific rank order of LGAs. It is the decision structure created around the ranking. Public demographic data can identify where participation conditions justify deeper investigation; local cricket evidence then determines whether the relevant problem is acquisition, capacity, retention, conversion or demand validation.</w:t>
      </w:r>
    </w:p>
    <w:tbl>
      <w:tblPr>
        <w:tblW w:type="auto" w:w="0"/>
        <w:jc w:val="center"/>
        <w:tblLook w:firstColumn="1" w:firstRow="1" w:lastColumn="0" w:lastRow="0" w:noHBand="0" w:noVBand="1" w:val="04A0"/>
      </w:tblPr>
      <w:tblGrid>
        <w:gridCol w:w="10080"/>
      </w:tblGrid>
      <w:tr>
        <w:trPr>
          <w:cantSplit/>
        </w:trPr>
        <w:tc>
          <w:tcPr>
            <w:tcW w:type="dxa" w:w="10080"/>
            <w:shd w:fill="E8F3F1"/>
            <w:tcMar>
              <w:top w:w="160" w:type="dxa"/>
              <w:start w:w="180" w:type="dxa"/>
              <w:bottom w:w="160" w:type="dxa"/>
              <w:end w:w="180" w:type="dxa"/>
            </w:tcMar>
          </w:tcPr>
          <w:p>
            <w:r>
              <w:rPr>
                <w:b/>
                <w:color w:val="18324A"/>
                <w:sz w:val="22"/>
              </w:rPr>
              <w:t>Final conclusion</w:t>
              <w:br/>
            </w:r>
            <w:r>
              <w:rPr>
                <w:sz w:val="20"/>
              </w:rPr>
              <w:t>The defensible use of Model V1 is to identify where Australian Cricket should investigate first. A production-grade version should combine Opportunity Potential with PlayHQ registrations, club/program capacity, facilities, waitlists, volunteer/workforce data and participant research to build the full Opportunity x Readiness system.</w:t>
            </w:r>
          </w:p>
        </w:tc>
      </w:tr>
    </w:tbl>
    <w:p>
      <w:r>
        <w:t>This prototype demonstrates a complete analytical workflow: strategic problem definition, public-data audit, data engineering, exploratory analysis, geographic interpretation, transparent modelling, sensitivity testing, case-study validation, strategic recommendations and dashboard implementation design.</w:t>
      </w:r>
    </w:p>
    <w:p>
      <w:r>
        <w:br w:type="page"/>
      </w:r>
    </w:p>
    <w:p>
      <w:pPr>
        <w:pStyle w:val="Heading1"/>
      </w:pPr>
      <w:r>
        <w:t>Appendix A. Top 20 Model V1 Rankings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648"/>
            <w:shd w:fill="18324A"/>
            <w:tcMar>
              <w:top w:w="80" w:type="dxa"/>
              <w:start w:w="80" w:type="dxa"/>
              <w:bottom w:w="80" w:type="dxa"/>
              <w:end w:w="80" w:type="dxa"/>
            </w:tcMar>
          </w:tcPr>
          <w:p>
            <w:pPr>
              <w:jc w:val="center"/>
            </w:pPr>
            <w:r>
              <w:rPr>
                <w:b/>
                <w:color w:val="FFFFFF"/>
                <w:sz w:val="15"/>
              </w:rPr>
              <w:t>Rank</w:t>
            </w:r>
          </w:p>
        </w:tc>
        <w:tc>
          <w:tcPr>
            <w:tcW w:type="dxa" w:w="2016"/>
            <w:shd w:fill="18324A"/>
            <w:tcMar>
              <w:top w:w="80" w:type="dxa"/>
              <w:start w:w="80" w:type="dxa"/>
              <w:bottom w:w="80" w:type="dxa"/>
              <w:end w:w="80" w:type="dxa"/>
            </w:tcMar>
          </w:tcPr>
          <w:p>
            <w:pPr>
              <w:jc w:val="center"/>
            </w:pPr>
            <w:r>
              <w:rPr>
                <w:b/>
                <w:color w:val="FFFFFF"/>
                <w:sz w:val="15"/>
              </w:rPr>
              <w:t>LGA</w:t>
            </w:r>
          </w:p>
        </w:tc>
        <w:tc>
          <w:tcPr>
            <w:tcW w:type="dxa" w:w="1728"/>
            <w:shd w:fill="18324A"/>
            <w:tcMar>
              <w:top w:w="80" w:type="dxa"/>
              <w:start w:w="80" w:type="dxa"/>
              <w:bottom w:w="80" w:type="dxa"/>
              <w:end w:w="80" w:type="dxa"/>
            </w:tcMar>
          </w:tcPr>
          <w:p>
            <w:pPr>
              <w:jc w:val="center"/>
            </w:pPr>
            <w:r>
              <w:rPr>
                <w:b/>
                <w:color w:val="FFFFFF"/>
                <w:sz w:val="15"/>
              </w:rPr>
              <w:t>State</w:t>
            </w:r>
          </w:p>
        </w:tc>
        <w:tc>
          <w:tcPr>
            <w:tcW w:type="dxa" w:w="1008"/>
            <w:shd w:fill="18324A"/>
            <w:tcMar>
              <w:top w:w="80" w:type="dxa"/>
              <w:start w:w="80" w:type="dxa"/>
              <w:bottom w:w="80" w:type="dxa"/>
              <w:end w:w="80" w:type="dxa"/>
            </w:tcMar>
          </w:tcPr>
          <w:p>
            <w:pPr>
              <w:jc w:val="center"/>
            </w:pPr>
            <w:r>
              <w:rPr>
                <w:b/>
                <w:color w:val="FFFFFF"/>
                <w:sz w:val="15"/>
              </w:rPr>
              <w:t>Score</w:t>
            </w:r>
          </w:p>
        </w:tc>
        <w:tc>
          <w:tcPr>
            <w:tcW w:type="dxa" w:w="1152"/>
            <w:shd w:fill="18324A"/>
            <w:tcMar>
              <w:top w:w="80" w:type="dxa"/>
              <w:start w:w="80" w:type="dxa"/>
              <w:bottom w:w="80" w:type="dxa"/>
              <w:end w:w="80" w:type="dxa"/>
            </w:tcMar>
          </w:tcPr>
          <w:p>
            <w:pPr>
              <w:jc w:val="center"/>
            </w:pPr>
            <w:r>
              <w:rPr>
                <w:b/>
                <w:color w:val="FFFFFF"/>
                <w:sz w:val="15"/>
              </w:rPr>
              <w:t>Market</w:t>
            </w:r>
          </w:p>
        </w:tc>
        <w:tc>
          <w:tcPr>
            <w:tcW w:type="dxa" w:w="1152"/>
            <w:shd w:fill="18324A"/>
            <w:tcMar>
              <w:top w:w="80" w:type="dxa"/>
              <w:start w:w="80" w:type="dxa"/>
              <w:bottom w:w="80" w:type="dxa"/>
              <w:end w:w="80" w:type="dxa"/>
            </w:tcMar>
          </w:tcPr>
          <w:p>
            <w:pPr>
              <w:jc w:val="center"/>
            </w:pPr>
            <w:r>
              <w:rPr>
                <w:b/>
                <w:color w:val="FFFFFF"/>
                <w:sz w:val="15"/>
              </w:rPr>
              <w:t>Youth</w:t>
            </w:r>
          </w:p>
        </w:tc>
        <w:tc>
          <w:tcPr>
            <w:tcW w:type="dxa" w:w="1152"/>
            <w:shd w:fill="18324A"/>
            <w:tcMar>
              <w:top w:w="80" w:type="dxa"/>
              <w:start w:w="80" w:type="dxa"/>
              <w:bottom w:w="80" w:type="dxa"/>
              <w:end w:w="80" w:type="dxa"/>
            </w:tcMar>
          </w:tcPr>
          <w:p>
            <w:pPr>
              <w:jc w:val="center"/>
            </w:pPr>
            <w:r>
              <w:rPr>
                <w:b/>
                <w:color w:val="FFFFFF"/>
                <w:sz w:val="15"/>
              </w:rPr>
              <w:t>Growth</w:t>
            </w:r>
          </w:p>
        </w:tc>
      </w:tr>
      <w:tr>
        <w:tc>
          <w:tcPr>
            <w:tcW w:type="dxa" w:w="648"/>
            <w:tcMar>
              <w:top w:w="80" w:type="dxa"/>
              <w:start w:w="80" w:type="dxa"/>
              <w:bottom w:w="80" w:type="dxa"/>
              <w:end w:w="80" w:type="dxa"/>
            </w:tcMar>
            <w:vAlign w:val="center"/>
            <w:shd w:fill="F5F7F9"/>
          </w:tcPr>
          <w:p>
            <w:r>
              <w:rPr>
                <w:sz w:val="15"/>
              </w:rPr>
              <w:t>1</w:t>
            </w:r>
          </w:p>
        </w:tc>
        <w:tc>
          <w:tcPr>
            <w:tcW w:type="dxa" w:w="2016"/>
            <w:tcMar>
              <w:top w:w="80" w:type="dxa"/>
              <w:start w:w="80" w:type="dxa"/>
              <w:bottom w:w="80" w:type="dxa"/>
              <w:end w:w="80" w:type="dxa"/>
            </w:tcMar>
            <w:vAlign w:val="center"/>
            <w:shd w:fill="F5F7F9"/>
          </w:tcPr>
          <w:p>
            <w:r>
              <w:rPr>
                <w:sz w:val="15"/>
              </w:rPr>
              <w:t>Wyndham</w:t>
            </w:r>
          </w:p>
        </w:tc>
        <w:tc>
          <w:tcPr>
            <w:tcW w:type="dxa" w:w="1728"/>
            <w:tcMar>
              <w:top w:w="80" w:type="dxa"/>
              <w:start w:w="80" w:type="dxa"/>
              <w:bottom w:w="80" w:type="dxa"/>
              <w:end w:w="80" w:type="dxa"/>
            </w:tcMar>
            <w:vAlign w:val="center"/>
            <w:shd w:fill="F5F7F9"/>
          </w:tcPr>
          <w:p>
            <w:r>
              <w:rPr>
                <w:sz w:val="15"/>
              </w:rPr>
              <w:t>Victoria</w:t>
            </w:r>
          </w:p>
        </w:tc>
        <w:tc>
          <w:tcPr>
            <w:tcW w:type="dxa" w:w="1008"/>
            <w:tcMar>
              <w:top w:w="80" w:type="dxa"/>
              <w:start w:w="80" w:type="dxa"/>
              <w:bottom w:w="80" w:type="dxa"/>
              <w:end w:w="80" w:type="dxa"/>
            </w:tcMar>
            <w:vAlign w:val="center"/>
            <w:shd w:fill="F5F7F9"/>
          </w:tcPr>
          <w:p>
            <w:r>
              <w:rPr>
                <w:sz w:val="15"/>
              </w:rPr>
              <w:t>99.27</w:t>
            </w:r>
          </w:p>
        </w:tc>
        <w:tc>
          <w:tcPr>
            <w:tcW w:type="dxa" w:w="1152"/>
            <w:tcMar>
              <w:top w:w="80" w:type="dxa"/>
              <w:start w:w="80" w:type="dxa"/>
              <w:bottom w:w="80" w:type="dxa"/>
              <w:end w:w="80" w:type="dxa"/>
            </w:tcMar>
            <w:vAlign w:val="center"/>
            <w:shd w:fill="F5F7F9"/>
          </w:tcPr>
          <w:p>
            <w:r>
              <w:rPr>
                <w:sz w:val="15"/>
              </w:rPr>
              <w:t>98.1</w:t>
            </w:r>
          </w:p>
        </w:tc>
        <w:tc>
          <w:tcPr>
            <w:tcW w:type="dxa" w:w="1152"/>
            <w:tcMar>
              <w:top w:w="80" w:type="dxa"/>
              <w:start w:w="80" w:type="dxa"/>
              <w:bottom w:w="80" w:type="dxa"/>
              <w:end w:w="80" w:type="dxa"/>
            </w:tcMar>
            <w:vAlign w:val="center"/>
            <w:shd w:fill="F5F7F9"/>
          </w:tcPr>
          <w:p>
            <w:r>
              <w:rPr>
                <w:sz w:val="15"/>
              </w:rPr>
              <w:t>100.0</w:t>
            </w:r>
          </w:p>
        </w:tc>
        <w:tc>
          <w:tcPr>
            <w:tcW w:type="dxa" w:w="1152"/>
            <w:tcMar>
              <w:top w:w="80" w:type="dxa"/>
              <w:start w:w="80" w:type="dxa"/>
              <w:bottom w:w="80" w:type="dxa"/>
              <w:end w:w="80" w:type="dxa"/>
            </w:tcMar>
            <w:vAlign w:val="center"/>
            <w:shd w:fill="F5F7F9"/>
          </w:tcPr>
          <w:p>
            <w:r>
              <w:rPr>
                <w:sz w:val="15"/>
              </w:rPr>
              <w:t>99.7</w:t>
            </w:r>
          </w:p>
        </w:tc>
      </w:tr>
      <w:tr>
        <w:tc>
          <w:tcPr>
            <w:tcW w:type="dxa" w:w="648"/>
            <w:tcMar>
              <w:top w:w="80" w:type="dxa"/>
              <w:start w:w="80" w:type="dxa"/>
              <w:bottom w:w="80" w:type="dxa"/>
              <w:end w:w="80" w:type="dxa"/>
            </w:tcMar>
            <w:vAlign w:val="center"/>
          </w:tcPr>
          <w:p>
            <w:r>
              <w:rPr>
                <w:sz w:val="15"/>
              </w:rPr>
              <w:t>2</w:t>
            </w:r>
          </w:p>
        </w:tc>
        <w:tc>
          <w:tcPr>
            <w:tcW w:type="dxa" w:w="2016"/>
            <w:tcMar>
              <w:top w:w="80" w:type="dxa"/>
              <w:start w:w="80" w:type="dxa"/>
              <w:bottom w:w="80" w:type="dxa"/>
              <w:end w:w="80" w:type="dxa"/>
            </w:tcMar>
            <w:vAlign w:val="center"/>
          </w:tcPr>
          <w:p>
            <w:r>
              <w:rPr>
                <w:sz w:val="15"/>
              </w:rPr>
              <w:t>Melton</w:t>
            </w:r>
          </w:p>
        </w:tc>
        <w:tc>
          <w:tcPr>
            <w:tcW w:type="dxa" w:w="1728"/>
            <w:tcMar>
              <w:top w:w="80" w:type="dxa"/>
              <w:start w:w="80" w:type="dxa"/>
              <w:bottom w:w="80" w:type="dxa"/>
              <w:end w:w="80" w:type="dxa"/>
            </w:tcMar>
            <w:vAlign w:val="center"/>
          </w:tcPr>
          <w:p>
            <w:r>
              <w:rPr>
                <w:sz w:val="15"/>
              </w:rPr>
              <w:t>Victoria</w:t>
            </w:r>
          </w:p>
        </w:tc>
        <w:tc>
          <w:tcPr>
            <w:tcW w:type="dxa" w:w="1008"/>
            <w:tcMar>
              <w:top w:w="80" w:type="dxa"/>
              <w:start w:w="80" w:type="dxa"/>
              <w:bottom w:w="80" w:type="dxa"/>
              <w:end w:w="80" w:type="dxa"/>
            </w:tcMar>
            <w:vAlign w:val="center"/>
          </w:tcPr>
          <w:p>
            <w:r>
              <w:rPr>
                <w:sz w:val="15"/>
              </w:rPr>
              <w:t>98.22</w:t>
            </w:r>
          </w:p>
        </w:tc>
        <w:tc>
          <w:tcPr>
            <w:tcW w:type="dxa" w:w="1152"/>
            <w:tcMar>
              <w:top w:w="80" w:type="dxa"/>
              <w:start w:w="80" w:type="dxa"/>
              <w:bottom w:w="80" w:type="dxa"/>
              <w:end w:w="80" w:type="dxa"/>
            </w:tcMar>
            <w:vAlign w:val="center"/>
          </w:tcPr>
          <w:p>
            <w:r>
              <w:rPr>
                <w:sz w:val="15"/>
              </w:rPr>
              <w:t>96.2</w:t>
            </w:r>
          </w:p>
        </w:tc>
        <w:tc>
          <w:tcPr>
            <w:tcW w:type="dxa" w:w="1152"/>
            <w:tcMar>
              <w:top w:w="80" w:type="dxa"/>
              <w:start w:w="80" w:type="dxa"/>
              <w:bottom w:w="80" w:type="dxa"/>
              <w:end w:w="80" w:type="dxa"/>
            </w:tcMar>
            <w:vAlign w:val="center"/>
          </w:tcPr>
          <w:p>
            <w:r>
              <w:rPr>
                <w:sz w:val="15"/>
              </w:rPr>
              <w:t>98.9</w:t>
            </w:r>
          </w:p>
        </w:tc>
        <w:tc>
          <w:tcPr>
            <w:tcW w:type="dxa" w:w="1152"/>
            <w:tcMar>
              <w:top w:w="80" w:type="dxa"/>
              <w:start w:w="80" w:type="dxa"/>
              <w:bottom w:w="80" w:type="dxa"/>
              <w:end w:w="80" w:type="dxa"/>
            </w:tcMar>
            <w:vAlign w:val="center"/>
          </w:tcPr>
          <w:p>
            <w:r>
              <w:rPr>
                <w:sz w:val="15"/>
              </w:rPr>
              <w:t>99.6</w:t>
            </w:r>
          </w:p>
        </w:tc>
      </w:tr>
      <w:tr>
        <w:tc>
          <w:tcPr>
            <w:tcW w:type="dxa" w:w="648"/>
            <w:tcMar>
              <w:top w:w="80" w:type="dxa"/>
              <w:start w:w="80" w:type="dxa"/>
              <w:bottom w:w="80" w:type="dxa"/>
              <w:end w:w="80" w:type="dxa"/>
            </w:tcMar>
            <w:vAlign w:val="center"/>
            <w:shd w:fill="F5F7F9"/>
          </w:tcPr>
          <w:p>
            <w:r>
              <w:rPr>
                <w:sz w:val="15"/>
              </w:rPr>
              <w:t>3</w:t>
            </w:r>
          </w:p>
        </w:tc>
        <w:tc>
          <w:tcPr>
            <w:tcW w:type="dxa" w:w="2016"/>
            <w:tcMar>
              <w:top w:w="80" w:type="dxa"/>
              <w:start w:w="80" w:type="dxa"/>
              <w:bottom w:w="80" w:type="dxa"/>
              <w:end w:w="80" w:type="dxa"/>
            </w:tcMar>
            <w:vAlign w:val="center"/>
            <w:shd w:fill="F5F7F9"/>
          </w:tcPr>
          <w:p>
            <w:r>
              <w:rPr>
                <w:sz w:val="15"/>
              </w:rPr>
              <w:t>Blacktown</w:t>
            </w:r>
          </w:p>
        </w:tc>
        <w:tc>
          <w:tcPr>
            <w:tcW w:type="dxa" w:w="1728"/>
            <w:tcMar>
              <w:top w:w="80" w:type="dxa"/>
              <w:start w:w="80" w:type="dxa"/>
              <w:bottom w:w="80" w:type="dxa"/>
              <w:end w:w="80" w:type="dxa"/>
            </w:tcMar>
            <w:vAlign w:val="center"/>
            <w:shd w:fill="F5F7F9"/>
          </w:tcPr>
          <w:p>
            <w:r>
              <w:rPr>
                <w:sz w:val="15"/>
              </w:rPr>
              <w:t>New South Wales</w:t>
            </w:r>
          </w:p>
        </w:tc>
        <w:tc>
          <w:tcPr>
            <w:tcW w:type="dxa" w:w="1008"/>
            <w:tcMar>
              <w:top w:w="80" w:type="dxa"/>
              <w:start w:w="80" w:type="dxa"/>
              <w:bottom w:w="80" w:type="dxa"/>
              <w:end w:w="80" w:type="dxa"/>
            </w:tcMar>
            <w:vAlign w:val="center"/>
            <w:shd w:fill="F5F7F9"/>
          </w:tcPr>
          <w:p>
            <w:r>
              <w:rPr>
                <w:sz w:val="15"/>
              </w:rPr>
              <w:t>97.21</w:t>
            </w:r>
          </w:p>
        </w:tc>
        <w:tc>
          <w:tcPr>
            <w:tcW w:type="dxa" w:w="1152"/>
            <w:tcMar>
              <w:top w:w="80" w:type="dxa"/>
              <w:start w:w="80" w:type="dxa"/>
              <w:bottom w:w="80" w:type="dxa"/>
              <w:end w:w="80" w:type="dxa"/>
            </w:tcMar>
            <w:vAlign w:val="center"/>
            <w:shd w:fill="F5F7F9"/>
          </w:tcPr>
          <w:p>
            <w:r>
              <w:rPr>
                <w:sz w:val="15"/>
              </w:rPr>
              <w:t>99.2</w:t>
            </w:r>
          </w:p>
        </w:tc>
        <w:tc>
          <w:tcPr>
            <w:tcW w:type="dxa" w:w="1152"/>
            <w:tcMar>
              <w:top w:w="80" w:type="dxa"/>
              <w:start w:w="80" w:type="dxa"/>
              <w:bottom w:w="80" w:type="dxa"/>
              <w:end w:w="80" w:type="dxa"/>
            </w:tcMar>
            <w:vAlign w:val="center"/>
            <w:shd w:fill="F5F7F9"/>
          </w:tcPr>
          <w:p>
            <w:r>
              <w:rPr>
                <w:sz w:val="15"/>
              </w:rPr>
              <w:t>94.2</w:t>
            </w:r>
          </w:p>
        </w:tc>
        <w:tc>
          <w:tcPr>
            <w:tcW w:type="dxa" w:w="1152"/>
            <w:tcMar>
              <w:top w:w="80" w:type="dxa"/>
              <w:start w:w="80" w:type="dxa"/>
              <w:bottom w:w="80" w:type="dxa"/>
              <w:end w:w="80" w:type="dxa"/>
            </w:tcMar>
            <w:vAlign w:val="center"/>
            <w:shd w:fill="F5F7F9"/>
          </w:tcPr>
          <w:p>
            <w:r>
              <w:rPr>
                <w:sz w:val="15"/>
              </w:rPr>
              <w:t>98.2</w:t>
            </w:r>
          </w:p>
        </w:tc>
      </w:tr>
      <w:tr>
        <w:tc>
          <w:tcPr>
            <w:tcW w:type="dxa" w:w="648"/>
            <w:tcMar>
              <w:top w:w="80" w:type="dxa"/>
              <w:start w:w="80" w:type="dxa"/>
              <w:bottom w:w="80" w:type="dxa"/>
              <w:end w:w="80" w:type="dxa"/>
            </w:tcMar>
            <w:vAlign w:val="center"/>
          </w:tcPr>
          <w:p>
            <w:r>
              <w:rPr>
                <w:sz w:val="15"/>
              </w:rPr>
              <w:t>4</w:t>
            </w:r>
          </w:p>
        </w:tc>
        <w:tc>
          <w:tcPr>
            <w:tcW w:type="dxa" w:w="2016"/>
            <w:tcMar>
              <w:top w:w="80" w:type="dxa"/>
              <w:start w:w="80" w:type="dxa"/>
              <w:bottom w:w="80" w:type="dxa"/>
              <w:end w:w="80" w:type="dxa"/>
            </w:tcMar>
            <w:vAlign w:val="center"/>
          </w:tcPr>
          <w:p>
            <w:r>
              <w:rPr>
                <w:sz w:val="15"/>
              </w:rPr>
              <w:t>Ipswich</w:t>
            </w:r>
          </w:p>
        </w:tc>
        <w:tc>
          <w:tcPr>
            <w:tcW w:type="dxa" w:w="1728"/>
            <w:tcMar>
              <w:top w:w="80" w:type="dxa"/>
              <w:start w:w="80" w:type="dxa"/>
              <w:bottom w:w="80" w:type="dxa"/>
              <w:end w:w="80" w:type="dxa"/>
            </w:tcMar>
            <w:vAlign w:val="center"/>
          </w:tcPr>
          <w:p>
            <w:r>
              <w:rPr>
                <w:sz w:val="15"/>
              </w:rPr>
              <w:t>Queensland</w:t>
            </w:r>
          </w:p>
        </w:tc>
        <w:tc>
          <w:tcPr>
            <w:tcW w:type="dxa" w:w="1008"/>
            <w:tcMar>
              <w:top w:w="80" w:type="dxa"/>
              <w:start w:w="80" w:type="dxa"/>
              <w:bottom w:w="80" w:type="dxa"/>
              <w:end w:w="80" w:type="dxa"/>
            </w:tcMar>
            <w:vAlign w:val="center"/>
          </w:tcPr>
          <w:p>
            <w:r>
              <w:rPr>
                <w:sz w:val="15"/>
              </w:rPr>
              <w:t>96.58</w:t>
            </w:r>
          </w:p>
        </w:tc>
        <w:tc>
          <w:tcPr>
            <w:tcW w:type="dxa" w:w="1152"/>
            <w:tcMar>
              <w:top w:w="80" w:type="dxa"/>
              <w:start w:w="80" w:type="dxa"/>
              <w:bottom w:w="80" w:type="dxa"/>
              <w:end w:w="80" w:type="dxa"/>
            </w:tcMar>
            <w:vAlign w:val="center"/>
          </w:tcPr>
          <w:p>
            <w:r>
              <w:rPr>
                <w:sz w:val="15"/>
              </w:rPr>
              <w:t>96.7</w:t>
            </w:r>
          </w:p>
        </w:tc>
        <w:tc>
          <w:tcPr>
            <w:tcW w:type="dxa" w:w="1152"/>
            <w:tcMar>
              <w:top w:w="80" w:type="dxa"/>
              <w:start w:w="80" w:type="dxa"/>
              <w:bottom w:w="80" w:type="dxa"/>
              <w:end w:w="80" w:type="dxa"/>
            </w:tcMar>
            <w:vAlign w:val="center"/>
          </w:tcPr>
          <w:p>
            <w:r>
              <w:rPr>
                <w:sz w:val="15"/>
              </w:rPr>
              <w:t>97.0</w:t>
            </w:r>
          </w:p>
        </w:tc>
        <w:tc>
          <w:tcPr>
            <w:tcW w:type="dxa" w:w="1152"/>
            <w:tcMar>
              <w:top w:w="80" w:type="dxa"/>
              <w:start w:w="80" w:type="dxa"/>
              <w:bottom w:w="80" w:type="dxa"/>
              <w:end w:w="80" w:type="dxa"/>
            </w:tcMar>
            <w:vAlign w:val="center"/>
          </w:tcPr>
          <w:p>
            <w:r>
              <w:rPr>
                <w:sz w:val="15"/>
              </w:rPr>
              <w:t>96.0</w:t>
            </w:r>
          </w:p>
        </w:tc>
      </w:tr>
      <w:tr>
        <w:tc>
          <w:tcPr>
            <w:tcW w:type="dxa" w:w="648"/>
            <w:tcMar>
              <w:top w:w="80" w:type="dxa"/>
              <w:start w:w="80" w:type="dxa"/>
              <w:bottom w:w="80" w:type="dxa"/>
              <w:end w:w="80" w:type="dxa"/>
            </w:tcMar>
            <w:vAlign w:val="center"/>
            <w:shd w:fill="F5F7F9"/>
          </w:tcPr>
          <w:p>
            <w:r>
              <w:rPr>
                <w:sz w:val="15"/>
              </w:rPr>
              <w:t>5</w:t>
            </w:r>
          </w:p>
        </w:tc>
        <w:tc>
          <w:tcPr>
            <w:tcW w:type="dxa" w:w="2016"/>
            <w:tcMar>
              <w:top w:w="80" w:type="dxa"/>
              <w:start w:w="80" w:type="dxa"/>
              <w:bottom w:w="80" w:type="dxa"/>
              <w:end w:w="80" w:type="dxa"/>
            </w:tcMar>
            <w:vAlign w:val="center"/>
            <w:shd w:fill="F5F7F9"/>
          </w:tcPr>
          <w:p>
            <w:r>
              <w:rPr>
                <w:sz w:val="15"/>
              </w:rPr>
              <w:t>Camden</w:t>
            </w:r>
          </w:p>
        </w:tc>
        <w:tc>
          <w:tcPr>
            <w:tcW w:type="dxa" w:w="1728"/>
            <w:tcMar>
              <w:top w:w="80" w:type="dxa"/>
              <w:start w:w="80" w:type="dxa"/>
              <w:bottom w:w="80" w:type="dxa"/>
              <w:end w:w="80" w:type="dxa"/>
            </w:tcMar>
            <w:vAlign w:val="center"/>
            <w:shd w:fill="F5F7F9"/>
          </w:tcPr>
          <w:p>
            <w:r>
              <w:rPr>
                <w:sz w:val="15"/>
              </w:rPr>
              <w:t>New South Wales</w:t>
            </w:r>
          </w:p>
        </w:tc>
        <w:tc>
          <w:tcPr>
            <w:tcW w:type="dxa" w:w="1008"/>
            <w:tcMar>
              <w:top w:w="80" w:type="dxa"/>
              <w:start w:w="80" w:type="dxa"/>
              <w:bottom w:w="80" w:type="dxa"/>
              <w:end w:w="80" w:type="dxa"/>
            </w:tcMar>
            <w:vAlign w:val="center"/>
            <w:shd w:fill="F5F7F9"/>
          </w:tcPr>
          <w:p>
            <w:r>
              <w:rPr>
                <w:sz w:val="15"/>
              </w:rPr>
              <w:t>96.39</w:t>
            </w:r>
          </w:p>
        </w:tc>
        <w:tc>
          <w:tcPr>
            <w:tcW w:type="dxa" w:w="1152"/>
            <w:tcMar>
              <w:top w:w="80" w:type="dxa"/>
              <w:start w:w="80" w:type="dxa"/>
              <w:bottom w:w="80" w:type="dxa"/>
              <w:end w:w="80" w:type="dxa"/>
            </w:tcMar>
            <w:vAlign w:val="center"/>
            <w:shd w:fill="F5F7F9"/>
          </w:tcPr>
          <w:p>
            <w:r>
              <w:rPr>
                <w:sz w:val="15"/>
              </w:rPr>
              <w:t>91.2</w:t>
            </w:r>
          </w:p>
        </w:tc>
        <w:tc>
          <w:tcPr>
            <w:tcW w:type="dxa" w:w="1152"/>
            <w:tcMar>
              <w:top w:w="80" w:type="dxa"/>
              <w:start w:w="80" w:type="dxa"/>
              <w:bottom w:w="80" w:type="dxa"/>
              <w:end w:w="80" w:type="dxa"/>
            </w:tcMar>
            <w:vAlign w:val="center"/>
            <w:shd w:fill="F5F7F9"/>
          </w:tcPr>
          <w:p>
            <w:r>
              <w:rPr>
                <w:sz w:val="15"/>
              </w:rPr>
              <w:t>98.6</w:t>
            </w:r>
          </w:p>
        </w:tc>
        <w:tc>
          <w:tcPr>
            <w:tcW w:type="dxa" w:w="1152"/>
            <w:tcMar>
              <w:top w:w="80" w:type="dxa"/>
              <w:start w:w="80" w:type="dxa"/>
              <w:bottom w:w="80" w:type="dxa"/>
              <w:end w:w="80" w:type="dxa"/>
            </w:tcMar>
            <w:vAlign w:val="center"/>
            <w:shd w:fill="F5F7F9"/>
          </w:tcPr>
          <w:p>
            <w:r>
              <w:rPr>
                <w:sz w:val="15"/>
              </w:rPr>
              <w:t>99.3</w:t>
            </w:r>
          </w:p>
        </w:tc>
      </w:tr>
      <w:tr>
        <w:tc>
          <w:tcPr>
            <w:tcW w:type="dxa" w:w="648"/>
            <w:tcMar>
              <w:top w:w="80" w:type="dxa"/>
              <w:start w:w="80" w:type="dxa"/>
              <w:bottom w:w="80" w:type="dxa"/>
              <w:end w:w="80" w:type="dxa"/>
            </w:tcMar>
            <w:vAlign w:val="center"/>
          </w:tcPr>
          <w:p>
            <w:r>
              <w:rPr>
                <w:sz w:val="15"/>
              </w:rPr>
              <w:t>6</w:t>
            </w:r>
          </w:p>
        </w:tc>
        <w:tc>
          <w:tcPr>
            <w:tcW w:type="dxa" w:w="2016"/>
            <w:tcMar>
              <w:top w:w="80" w:type="dxa"/>
              <w:start w:w="80" w:type="dxa"/>
              <w:bottom w:w="80" w:type="dxa"/>
              <w:end w:w="80" w:type="dxa"/>
            </w:tcMar>
            <w:vAlign w:val="center"/>
          </w:tcPr>
          <w:p>
            <w:r>
              <w:rPr>
                <w:sz w:val="15"/>
              </w:rPr>
              <w:t>Casey</w:t>
            </w:r>
          </w:p>
        </w:tc>
        <w:tc>
          <w:tcPr>
            <w:tcW w:type="dxa" w:w="1728"/>
            <w:tcMar>
              <w:top w:w="80" w:type="dxa"/>
              <w:start w:w="80" w:type="dxa"/>
              <w:bottom w:w="80" w:type="dxa"/>
              <w:end w:w="80" w:type="dxa"/>
            </w:tcMar>
            <w:vAlign w:val="center"/>
          </w:tcPr>
          <w:p>
            <w:r>
              <w:rPr>
                <w:sz w:val="15"/>
              </w:rPr>
              <w:t>Victoria</w:t>
            </w:r>
          </w:p>
        </w:tc>
        <w:tc>
          <w:tcPr>
            <w:tcW w:type="dxa" w:w="1008"/>
            <w:tcMar>
              <w:top w:w="80" w:type="dxa"/>
              <w:start w:w="80" w:type="dxa"/>
              <w:bottom w:w="80" w:type="dxa"/>
              <w:end w:w="80" w:type="dxa"/>
            </w:tcMar>
            <w:vAlign w:val="center"/>
          </w:tcPr>
          <w:p>
            <w:r>
              <w:rPr>
                <w:sz w:val="15"/>
              </w:rPr>
              <w:t>96.39</w:t>
            </w:r>
          </w:p>
        </w:tc>
        <w:tc>
          <w:tcPr>
            <w:tcW w:type="dxa" w:w="1152"/>
            <w:tcMar>
              <w:top w:w="80" w:type="dxa"/>
              <w:start w:w="80" w:type="dxa"/>
              <w:bottom w:w="80" w:type="dxa"/>
              <w:end w:w="80" w:type="dxa"/>
            </w:tcMar>
            <w:vAlign w:val="center"/>
          </w:tcPr>
          <w:p>
            <w:r>
              <w:rPr>
                <w:sz w:val="15"/>
              </w:rPr>
              <w:t>98.9</w:t>
            </w:r>
          </w:p>
        </w:tc>
        <w:tc>
          <w:tcPr>
            <w:tcW w:type="dxa" w:w="1152"/>
            <w:tcMar>
              <w:top w:w="80" w:type="dxa"/>
              <w:start w:w="80" w:type="dxa"/>
              <w:bottom w:w="80" w:type="dxa"/>
              <w:end w:w="80" w:type="dxa"/>
            </w:tcMar>
            <w:vAlign w:val="center"/>
          </w:tcPr>
          <w:p>
            <w:r>
              <w:rPr>
                <w:sz w:val="15"/>
              </w:rPr>
              <w:t>92.9</w:t>
            </w:r>
          </w:p>
        </w:tc>
        <w:tc>
          <w:tcPr>
            <w:tcW w:type="dxa" w:w="1152"/>
            <w:tcMar>
              <w:top w:w="80" w:type="dxa"/>
              <w:start w:w="80" w:type="dxa"/>
              <w:bottom w:w="80" w:type="dxa"/>
              <w:end w:w="80" w:type="dxa"/>
            </w:tcMar>
            <w:vAlign w:val="center"/>
          </w:tcPr>
          <w:p>
            <w:r>
              <w:rPr>
                <w:sz w:val="15"/>
              </w:rPr>
              <w:t>97.4</w:t>
            </w:r>
          </w:p>
        </w:tc>
      </w:tr>
      <w:tr>
        <w:tc>
          <w:tcPr>
            <w:tcW w:type="dxa" w:w="648"/>
            <w:tcMar>
              <w:top w:w="80" w:type="dxa"/>
              <w:start w:w="80" w:type="dxa"/>
              <w:bottom w:w="80" w:type="dxa"/>
              <w:end w:w="80" w:type="dxa"/>
            </w:tcMar>
            <w:vAlign w:val="center"/>
            <w:shd w:fill="F5F7F9"/>
          </w:tcPr>
          <w:p>
            <w:r>
              <w:rPr>
                <w:sz w:val="15"/>
              </w:rPr>
              <w:t>7</w:t>
            </w:r>
          </w:p>
        </w:tc>
        <w:tc>
          <w:tcPr>
            <w:tcW w:type="dxa" w:w="2016"/>
            <w:tcMar>
              <w:top w:w="80" w:type="dxa"/>
              <w:start w:w="80" w:type="dxa"/>
              <w:bottom w:w="80" w:type="dxa"/>
              <w:end w:w="80" w:type="dxa"/>
            </w:tcMar>
            <w:vAlign w:val="center"/>
            <w:shd w:fill="F5F7F9"/>
          </w:tcPr>
          <w:p>
            <w:r>
              <w:rPr>
                <w:sz w:val="15"/>
              </w:rPr>
              <w:t>Logan</w:t>
            </w:r>
          </w:p>
        </w:tc>
        <w:tc>
          <w:tcPr>
            <w:tcW w:type="dxa" w:w="1728"/>
            <w:tcMar>
              <w:top w:w="80" w:type="dxa"/>
              <w:start w:w="80" w:type="dxa"/>
              <w:bottom w:w="80" w:type="dxa"/>
              <w:end w:w="80" w:type="dxa"/>
            </w:tcMar>
            <w:vAlign w:val="center"/>
            <w:shd w:fill="F5F7F9"/>
          </w:tcPr>
          <w:p>
            <w:r>
              <w:rPr>
                <w:sz w:val="15"/>
              </w:rPr>
              <w:t>Queensland</w:t>
            </w:r>
          </w:p>
        </w:tc>
        <w:tc>
          <w:tcPr>
            <w:tcW w:type="dxa" w:w="1008"/>
            <w:tcMar>
              <w:top w:w="80" w:type="dxa"/>
              <w:start w:w="80" w:type="dxa"/>
              <w:bottom w:w="80" w:type="dxa"/>
              <w:end w:w="80" w:type="dxa"/>
            </w:tcMar>
            <w:vAlign w:val="center"/>
            <w:shd w:fill="F5F7F9"/>
          </w:tcPr>
          <w:p>
            <w:r>
              <w:rPr>
                <w:sz w:val="15"/>
              </w:rPr>
              <w:t>95.89</w:t>
            </w:r>
          </w:p>
        </w:tc>
        <w:tc>
          <w:tcPr>
            <w:tcW w:type="dxa" w:w="1152"/>
            <w:tcMar>
              <w:top w:w="80" w:type="dxa"/>
              <w:start w:w="80" w:type="dxa"/>
              <w:bottom w:w="80" w:type="dxa"/>
              <w:end w:w="80" w:type="dxa"/>
            </w:tcMar>
            <w:vAlign w:val="center"/>
            <w:shd w:fill="F5F7F9"/>
          </w:tcPr>
          <w:p>
            <w:r>
              <w:rPr>
                <w:sz w:val="15"/>
              </w:rPr>
              <w:t>98.6</w:t>
            </w:r>
          </w:p>
        </w:tc>
        <w:tc>
          <w:tcPr>
            <w:tcW w:type="dxa" w:w="1152"/>
            <w:tcMar>
              <w:top w:w="80" w:type="dxa"/>
              <w:start w:w="80" w:type="dxa"/>
              <w:bottom w:w="80" w:type="dxa"/>
              <w:end w:w="80" w:type="dxa"/>
            </w:tcMar>
            <w:vAlign w:val="center"/>
            <w:shd w:fill="F5F7F9"/>
          </w:tcPr>
          <w:p>
            <w:r>
              <w:rPr>
                <w:sz w:val="15"/>
              </w:rPr>
              <w:t>92.6</w:t>
            </w:r>
          </w:p>
        </w:tc>
        <w:tc>
          <w:tcPr>
            <w:tcW w:type="dxa" w:w="1152"/>
            <w:tcMar>
              <w:top w:w="80" w:type="dxa"/>
              <w:start w:w="80" w:type="dxa"/>
              <w:bottom w:w="80" w:type="dxa"/>
              <w:end w:w="80" w:type="dxa"/>
            </w:tcMar>
            <w:vAlign w:val="center"/>
            <w:shd w:fill="F5F7F9"/>
          </w:tcPr>
          <w:p>
            <w:r>
              <w:rPr>
                <w:sz w:val="15"/>
              </w:rPr>
              <w:t>96.4</w:t>
            </w:r>
          </w:p>
        </w:tc>
      </w:tr>
      <w:tr>
        <w:tc>
          <w:tcPr>
            <w:tcW w:type="dxa" w:w="648"/>
            <w:tcMar>
              <w:top w:w="80" w:type="dxa"/>
              <w:start w:w="80" w:type="dxa"/>
              <w:bottom w:w="80" w:type="dxa"/>
              <w:end w:w="80" w:type="dxa"/>
            </w:tcMar>
            <w:vAlign w:val="center"/>
          </w:tcPr>
          <w:p>
            <w:r>
              <w:rPr>
                <w:sz w:val="15"/>
              </w:rPr>
              <w:t>8</w:t>
            </w:r>
          </w:p>
        </w:tc>
        <w:tc>
          <w:tcPr>
            <w:tcW w:type="dxa" w:w="2016"/>
            <w:tcMar>
              <w:top w:w="80" w:type="dxa"/>
              <w:start w:w="80" w:type="dxa"/>
              <w:bottom w:w="80" w:type="dxa"/>
              <w:end w:w="80" w:type="dxa"/>
            </w:tcMar>
            <w:vAlign w:val="center"/>
          </w:tcPr>
          <w:p>
            <w:r>
              <w:rPr>
                <w:sz w:val="15"/>
              </w:rPr>
              <w:t>Hume</w:t>
            </w:r>
          </w:p>
        </w:tc>
        <w:tc>
          <w:tcPr>
            <w:tcW w:type="dxa" w:w="1728"/>
            <w:tcMar>
              <w:top w:w="80" w:type="dxa"/>
              <w:start w:w="80" w:type="dxa"/>
              <w:bottom w:w="80" w:type="dxa"/>
              <w:end w:w="80" w:type="dxa"/>
            </w:tcMar>
            <w:vAlign w:val="center"/>
          </w:tcPr>
          <w:p>
            <w:r>
              <w:rPr>
                <w:sz w:val="15"/>
              </w:rPr>
              <w:t>Victoria</w:t>
            </w:r>
          </w:p>
        </w:tc>
        <w:tc>
          <w:tcPr>
            <w:tcW w:type="dxa" w:w="1008"/>
            <w:tcMar>
              <w:top w:w="80" w:type="dxa"/>
              <w:start w:w="80" w:type="dxa"/>
              <w:bottom w:w="80" w:type="dxa"/>
              <w:end w:w="80" w:type="dxa"/>
            </w:tcMar>
            <w:vAlign w:val="center"/>
          </w:tcPr>
          <w:p>
            <w:r>
              <w:rPr>
                <w:sz w:val="15"/>
              </w:rPr>
              <w:t>95.57</w:t>
            </w:r>
          </w:p>
        </w:tc>
        <w:tc>
          <w:tcPr>
            <w:tcW w:type="dxa" w:w="1152"/>
            <w:tcMar>
              <w:top w:w="80" w:type="dxa"/>
              <w:start w:w="80" w:type="dxa"/>
              <w:bottom w:w="80" w:type="dxa"/>
              <w:end w:w="80" w:type="dxa"/>
            </w:tcMar>
            <w:vAlign w:val="center"/>
          </w:tcPr>
          <w:p>
            <w:r>
              <w:rPr>
                <w:sz w:val="15"/>
              </w:rPr>
              <w:t>97.0</w:t>
            </w:r>
          </w:p>
        </w:tc>
        <w:tc>
          <w:tcPr>
            <w:tcW w:type="dxa" w:w="1152"/>
            <w:tcMar>
              <w:top w:w="80" w:type="dxa"/>
              <w:start w:w="80" w:type="dxa"/>
              <w:bottom w:w="80" w:type="dxa"/>
              <w:end w:w="80" w:type="dxa"/>
            </w:tcMar>
            <w:vAlign w:val="center"/>
          </w:tcPr>
          <w:p>
            <w:r>
              <w:rPr>
                <w:sz w:val="15"/>
              </w:rPr>
              <w:t>92.1</w:t>
            </w:r>
          </w:p>
        </w:tc>
        <w:tc>
          <w:tcPr>
            <w:tcW w:type="dxa" w:w="1152"/>
            <w:tcMar>
              <w:top w:w="80" w:type="dxa"/>
              <w:start w:w="80" w:type="dxa"/>
              <w:bottom w:w="80" w:type="dxa"/>
              <w:end w:w="80" w:type="dxa"/>
            </w:tcMar>
            <w:vAlign w:val="center"/>
          </w:tcPr>
          <w:p>
            <w:r>
              <w:rPr>
                <w:sz w:val="15"/>
              </w:rPr>
              <w:t>97.7</w:t>
            </w:r>
          </w:p>
        </w:tc>
      </w:tr>
      <w:tr>
        <w:tc>
          <w:tcPr>
            <w:tcW w:type="dxa" w:w="648"/>
            <w:tcMar>
              <w:top w:w="80" w:type="dxa"/>
              <w:start w:w="80" w:type="dxa"/>
              <w:bottom w:w="80" w:type="dxa"/>
              <w:end w:w="80" w:type="dxa"/>
            </w:tcMar>
            <w:vAlign w:val="center"/>
            <w:shd w:fill="F5F7F9"/>
          </w:tcPr>
          <w:p>
            <w:r>
              <w:rPr>
                <w:sz w:val="15"/>
              </w:rPr>
              <w:t>9</w:t>
            </w:r>
          </w:p>
        </w:tc>
        <w:tc>
          <w:tcPr>
            <w:tcW w:type="dxa" w:w="2016"/>
            <w:tcMar>
              <w:top w:w="80" w:type="dxa"/>
              <w:start w:w="80" w:type="dxa"/>
              <w:bottom w:w="80" w:type="dxa"/>
              <w:end w:w="80" w:type="dxa"/>
            </w:tcMar>
            <w:vAlign w:val="center"/>
            <w:shd w:fill="F5F7F9"/>
          </w:tcPr>
          <w:p>
            <w:r>
              <w:rPr>
                <w:sz w:val="15"/>
              </w:rPr>
              <w:t>The Hills</w:t>
            </w:r>
          </w:p>
        </w:tc>
        <w:tc>
          <w:tcPr>
            <w:tcW w:type="dxa" w:w="1728"/>
            <w:tcMar>
              <w:top w:w="80" w:type="dxa"/>
              <w:start w:w="80" w:type="dxa"/>
              <w:bottom w:w="80" w:type="dxa"/>
              <w:end w:w="80" w:type="dxa"/>
            </w:tcMar>
            <w:vAlign w:val="center"/>
            <w:shd w:fill="F5F7F9"/>
          </w:tcPr>
          <w:p>
            <w:r>
              <w:rPr>
                <w:sz w:val="15"/>
              </w:rPr>
              <w:t>New South Wales</w:t>
            </w:r>
          </w:p>
        </w:tc>
        <w:tc>
          <w:tcPr>
            <w:tcW w:type="dxa" w:w="1008"/>
            <w:tcMar>
              <w:top w:w="80" w:type="dxa"/>
              <w:start w:w="80" w:type="dxa"/>
              <w:bottom w:w="80" w:type="dxa"/>
              <w:end w:w="80" w:type="dxa"/>
            </w:tcMar>
            <w:vAlign w:val="center"/>
            <w:shd w:fill="F5F7F9"/>
          </w:tcPr>
          <w:p>
            <w:r>
              <w:rPr>
                <w:sz w:val="15"/>
              </w:rPr>
              <w:t>95.48</w:t>
            </w:r>
          </w:p>
        </w:tc>
        <w:tc>
          <w:tcPr>
            <w:tcW w:type="dxa" w:w="1152"/>
            <w:tcMar>
              <w:top w:w="80" w:type="dxa"/>
              <w:start w:w="80" w:type="dxa"/>
              <w:bottom w:w="80" w:type="dxa"/>
              <w:end w:w="80" w:type="dxa"/>
            </w:tcMar>
            <w:vAlign w:val="center"/>
            <w:shd w:fill="F5F7F9"/>
          </w:tcPr>
          <w:p>
            <w:r>
              <w:rPr>
                <w:sz w:val="15"/>
              </w:rPr>
              <w:t>94.8</w:t>
            </w:r>
          </w:p>
        </w:tc>
        <w:tc>
          <w:tcPr>
            <w:tcW w:type="dxa" w:w="1152"/>
            <w:tcMar>
              <w:top w:w="80" w:type="dxa"/>
              <w:start w:w="80" w:type="dxa"/>
              <w:bottom w:w="80" w:type="dxa"/>
              <w:end w:w="80" w:type="dxa"/>
            </w:tcMar>
            <w:vAlign w:val="center"/>
            <w:shd w:fill="F5F7F9"/>
          </w:tcPr>
          <w:p>
            <w:r>
              <w:rPr>
                <w:sz w:val="15"/>
              </w:rPr>
              <w:t>94.0</w:t>
            </w:r>
          </w:p>
        </w:tc>
        <w:tc>
          <w:tcPr>
            <w:tcW w:type="dxa" w:w="1152"/>
            <w:tcMar>
              <w:top w:w="80" w:type="dxa"/>
              <w:start w:w="80" w:type="dxa"/>
              <w:bottom w:w="80" w:type="dxa"/>
              <w:end w:w="80" w:type="dxa"/>
            </w:tcMar>
            <w:vAlign w:val="center"/>
            <w:shd w:fill="F5F7F9"/>
          </w:tcPr>
          <w:p>
            <w:r>
              <w:rPr>
                <w:sz w:val="15"/>
              </w:rPr>
              <w:t>97.7</w:t>
            </w:r>
          </w:p>
        </w:tc>
      </w:tr>
      <w:tr>
        <w:tc>
          <w:tcPr>
            <w:tcW w:type="dxa" w:w="648"/>
            <w:tcMar>
              <w:top w:w="80" w:type="dxa"/>
              <w:start w:w="80" w:type="dxa"/>
              <w:bottom w:w="80" w:type="dxa"/>
              <w:end w:w="80" w:type="dxa"/>
            </w:tcMar>
            <w:vAlign w:val="center"/>
          </w:tcPr>
          <w:p>
            <w:r>
              <w:rPr>
                <w:sz w:val="15"/>
              </w:rPr>
              <w:t>10</w:t>
            </w:r>
          </w:p>
        </w:tc>
        <w:tc>
          <w:tcPr>
            <w:tcW w:type="dxa" w:w="2016"/>
            <w:tcMar>
              <w:top w:w="80" w:type="dxa"/>
              <w:start w:w="80" w:type="dxa"/>
              <w:bottom w:w="80" w:type="dxa"/>
              <w:end w:w="80" w:type="dxa"/>
            </w:tcMar>
            <w:vAlign w:val="center"/>
          </w:tcPr>
          <w:p>
            <w:r>
              <w:rPr>
                <w:sz w:val="15"/>
              </w:rPr>
              <w:t>Armadale</w:t>
            </w:r>
          </w:p>
        </w:tc>
        <w:tc>
          <w:tcPr>
            <w:tcW w:type="dxa" w:w="1728"/>
            <w:tcMar>
              <w:top w:w="80" w:type="dxa"/>
              <w:start w:w="80" w:type="dxa"/>
              <w:bottom w:w="80" w:type="dxa"/>
              <w:end w:w="80" w:type="dxa"/>
            </w:tcMar>
            <w:vAlign w:val="center"/>
          </w:tcPr>
          <w:p>
            <w:r>
              <w:rPr>
                <w:sz w:val="15"/>
              </w:rPr>
              <w:t>Western Australia</w:t>
            </w:r>
          </w:p>
        </w:tc>
        <w:tc>
          <w:tcPr>
            <w:tcW w:type="dxa" w:w="1008"/>
            <w:tcMar>
              <w:top w:w="80" w:type="dxa"/>
              <w:start w:w="80" w:type="dxa"/>
              <w:bottom w:w="80" w:type="dxa"/>
              <w:end w:w="80" w:type="dxa"/>
            </w:tcMar>
            <w:vAlign w:val="center"/>
          </w:tcPr>
          <w:p>
            <w:r>
              <w:rPr>
                <w:sz w:val="15"/>
              </w:rPr>
              <w:t>93.65</w:t>
            </w:r>
          </w:p>
        </w:tc>
        <w:tc>
          <w:tcPr>
            <w:tcW w:type="dxa" w:w="1152"/>
            <w:tcMar>
              <w:top w:w="80" w:type="dxa"/>
              <w:start w:w="80" w:type="dxa"/>
              <w:bottom w:w="80" w:type="dxa"/>
              <w:end w:w="80" w:type="dxa"/>
            </w:tcMar>
            <w:vAlign w:val="center"/>
          </w:tcPr>
          <w:p>
            <w:r>
              <w:rPr>
                <w:sz w:val="15"/>
              </w:rPr>
              <w:t>84.9</w:t>
            </w:r>
          </w:p>
        </w:tc>
        <w:tc>
          <w:tcPr>
            <w:tcW w:type="dxa" w:w="1152"/>
            <w:tcMar>
              <w:top w:w="80" w:type="dxa"/>
              <w:start w:w="80" w:type="dxa"/>
              <w:bottom w:w="80" w:type="dxa"/>
              <w:end w:w="80" w:type="dxa"/>
            </w:tcMar>
            <w:vAlign w:val="center"/>
          </w:tcPr>
          <w:p>
            <w:r>
              <w:rPr>
                <w:sz w:val="15"/>
              </w:rPr>
              <w:t>98.1</w:t>
            </w:r>
          </w:p>
        </w:tc>
        <w:tc>
          <w:tcPr>
            <w:tcW w:type="dxa" w:w="1152"/>
            <w:tcMar>
              <w:top w:w="80" w:type="dxa"/>
              <w:start w:w="80" w:type="dxa"/>
              <w:bottom w:w="80" w:type="dxa"/>
              <w:end w:w="80" w:type="dxa"/>
            </w:tcMar>
            <w:vAlign w:val="center"/>
          </w:tcPr>
          <w:p>
            <w:r>
              <w:rPr>
                <w:sz w:val="15"/>
              </w:rPr>
              <w:t>97.9</w:t>
            </w:r>
          </w:p>
        </w:tc>
      </w:tr>
      <w:tr>
        <w:tc>
          <w:tcPr>
            <w:tcW w:type="dxa" w:w="648"/>
            <w:tcMar>
              <w:top w:w="80" w:type="dxa"/>
              <w:start w:w="80" w:type="dxa"/>
              <w:bottom w:w="80" w:type="dxa"/>
              <w:end w:w="80" w:type="dxa"/>
            </w:tcMar>
            <w:vAlign w:val="center"/>
            <w:shd w:fill="F5F7F9"/>
          </w:tcPr>
          <w:p>
            <w:r>
              <w:rPr>
                <w:sz w:val="15"/>
              </w:rPr>
              <w:t>11</w:t>
            </w:r>
          </w:p>
        </w:tc>
        <w:tc>
          <w:tcPr>
            <w:tcW w:type="dxa" w:w="2016"/>
            <w:tcMar>
              <w:top w:w="80" w:type="dxa"/>
              <w:start w:w="80" w:type="dxa"/>
              <w:bottom w:w="80" w:type="dxa"/>
              <w:end w:w="80" w:type="dxa"/>
            </w:tcMar>
            <w:vAlign w:val="center"/>
            <w:shd w:fill="F5F7F9"/>
          </w:tcPr>
          <w:p>
            <w:r>
              <w:rPr>
                <w:sz w:val="15"/>
              </w:rPr>
              <w:t>Liverpool</w:t>
            </w:r>
          </w:p>
        </w:tc>
        <w:tc>
          <w:tcPr>
            <w:tcW w:type="dxa" w:w="1728"/>
            <w:tcMar>
              <w:top w:w="80" w:type="dxa"/>
              <w:start w:w="80" w:type="dxa"/>
              <w:bottom w:w="80" w:type="dxa"/>
              <w:end w:w="80" w:type="dxa"/>
            </w:tcMar>
            <w:vAlign w:val="center"/>
            <w:shd w:fill="F5F7F9"/>
          </w:tcPr>
          <w:p>
            <w:r>
              <w:rPr>
                <w:sz w:val="15"/>
              </w:rPr>
              <w:t>New South Wales</w:t>
            </w:r>
          </w:p>
        </w:tc>
        <w:tc>
          <w:tcPr>
            <w:tcW w:type="dxa" w:w="1008"/>
            <w:tcMar>
              <w:top w:w="80" w:type="dxa"/>
              <w:start w:w="80" w:type="dxa"/>
              <w:bottom w:w="80" w:type="dxa"/>
              <w:end w:w="80" w:type="dxa"/>
            </w:tcMar>
            <w:vAlign w:val="center"/>
            <w:shd w:fill="F5F7F9"/>
          </w:tcPr>
          <w:p>
            <w:r>
              <w:rPr>
                <w:sz w:val="15"/>
              </w:rPr>
              <w:t>93.06</w:t>
            </w:r>
          </w:p>
        </w:tc>
        <w:tc>
          <w:tcPr>
            <w:tcW w:type="dxa" w:w="1152"/>
            <w:tcMar>
              <w:top w:w="80" w:type="dxa"/>
              <w:start w:w="80" w:type="dxa"/>
              <w:bottom w:w="80" w:type="dxa"/>
              <w:end w:w="80" w:type="dxa"/>
            </w:tcMar>
            <w:vAlign w:val="center"/>
            <w:shd w:fill="F5F7F9"/>
          </w:tcPr>
          <w:p>
            <w:r>
              <w:rPr>
                <w:sz w:val="15"/>
              </w:rPr>
              <w:t>96.4</w:t>
            </w:r>
          </w:p>
        </w:tc>
        <w:tc>
          <w:tcPr>
            <w:tcW w:type="dxa" w:w="1152"/>
            <w:tcMar>
              <w:top w:w="80" w:type="dxa"/>
              <w:start w:w="80" w:type="dxa"/>
              <w:bottom w:w="80" w:type="dxa"/>
              <w:end w:w="80" w:type="dxa"/>
            </w:tcMar>
            <w:vAlign w:val="center"/>
            <w:shd w:fill="F5F7F9"/>
          </w:tcPr>
          <w:p>
            <w:r>
              <w:rPr>
                <w:sz w:val="15"/>
              </w:rPr>
              <w:t>90.4</w:t>
            </w:r>
          </w:p>
        </w:tc>
        <w:tc>
          <w:tcPr>
            <w:tcW w:type="dxa" w:w="1152"/>
            <w:tcMar>
              <w:top w:w="80" w:type="dxa"/>
              <w:start w:w="80" w:type="dxa"/>
              <w:bottom w:w="80" w:type="dxa"/>
              <w:end w:w="80" w:type="dxa"/>
            </w:tcMar>
            <w:vAlign w:val="center"/>
            <w:shd w:fill="F5F7F9"/>
          </w:tcPr>
          <w:p>
            <w:r>
              <w:rPr>
                <w:sz w:val="15"/>
              </w:rPr>
              <w:t>92.3</w:t>
            </w:r>
          </w:p>
        </w:tc>
      </w:tr>
      <w:tr>
        <w:tc>
          <w:tcPr>
            <w:tcW w:type="dxa" w:w="648"/>
            <w:tcMar>
              <w:top w:w="80" w:type="dxa"/>
              <w:start w:w="80" w:type="dxa"/>
              <w:bottom w:w="80" w:type="dxa"/>
              <w:end w:w="80" w:type="dxa"/>
            </w:tcMar>
            <w:vAlign w:val="center"/>
          </w:tcPr>
          <w:p>
            <w:r>
              <w:rPr>
                <w:sz w:val="15"/>
              </w:rPr>
              <w:t>12</w:t>
            </w:r>
          </w:p>
        </w:tc>
        <w:tc>
          <w:tcPr>
            <w:tcW w:type="dxa" w:w="2016"/>
            <w:tcMar>
              <w:top w:w="80" w:type="dxa"/>
              <w:start w:w="80" w:type="dxa"/>
              <w:bottom w:w="80" w:type="dxa"/>
              <w:end w:w="80" w:type="dxa"/>
            </w:tcMar>
            <w:vAlign w:val="center"/>
          </w:tcPr>
          <w:p>
            <w:r>
              <w:rPr>
                <w:sz w:val="15"/>
              </w:rPr>
              <w:t>Campbelltown (NSW)</w:t>
            </w:r>
          </w:p>
        </w:tc>
        <w:tc>
          <w:tcPr>
            <w:tcW w:type="dxa" w:w="1728"/>
            <w:tcMar>
              <w:top w:w="80" w:type="dxa"/>
              <w:start w:w="80" w:type="dxa"/>
              <w:bottom w:w="80" w:type="dxa"/>
              <w:end w:w="80" w:type="dxa"/>
            </w:tcMar>
            <w:vAlign w:val="center"/>
          </w:tcPr>
          <w:p>
            <w:r>
              <w:rPr>
                <w:sz w:val="15"/>
              </w:rPr>
              <w:t>New South Wales</w:t>
            </w:r>
          </w:p>
        </w:tc>
        <w:tc>
          <w:tcPr>
            <w:tcW w:type="dxa" w:w="1008"/>
            <w:tcMar>
              <w:top w:w="80" w:type="dxa"/>
              <w:start w:w="80" w:type="dxa"/>
              <w:bottom w:w="80" w:type="dxa"/>
              <w:end w:w="80" w:type="dxa"/>
            </w:tcMar>
            <w:vAlign w:val="center"/>
          </w:tcPr>
          <w:p>
            <w:r>
              <w:rPr>
                <w:sz w:val="15"/>
              </w:rPr>
              <w:t>92.88</w:t>
            </w:r>
          </w:p>
        </w:tc>
        <w:tc>
          <w:tcPr>
            <w:tcW w:type="dxa" w:w="1152"/>
            <w:tcMar>
              <w:top w:w="80" w:type="dxa"/>
              <w:start w:w="80" w:type="dxa"/>
              <w:bottom w:w="80" w:type="dxa"/>
              <w:end w:w="80" w:type="dxa"/>
            </w:tcMar>
            <w:vAlign w:val="center"/>
          </w:tcPr>
          <w:p>
            <w:r>
              <w:rPr>
                <w:sz w:val="15"/>
              </w:rPr>
              <w:t>93.2</w:t>
            </w:r>
          </w:p>
        </w:tc>
        <w:tc>
          <w:tcPr>
            <w:tcW w:type="dxa" w:w="1152"/>
            <w:tcMar>
              <w:top w:w="80" w:type="dxa"/>
              <w:start w:w="80" w:type="dxa"/>
              <w:bottom w:w="80" w:type="dxa"/>
              <w:end w:w="80" w:type="dxa"/>
            </w:tcMar>
            <w:vAlign w:val="center"/>
          </w:tcPr>
          <w:p>
            <w:r>
              <w:rPr>
                <w:sz w:val="15"/>
              </w:rPr>
              <w:t>91.2</w:t>
            </w:r>
          </w:p>
        </w:tc>
        <w:tc>
          <w:tcPr>
            <w:tcW w:type="dxa" w:w="1152"/>
            <w:tcMar>
              <w:top w:w="80" w:type="dxa"/>
              <w:start w:w="80" w:type="dxa"/>
              <w:bottom w:w="80" w:type="dxa"/>
              <w:end w:w="80" w:type="dxa"/>
            </w:tcMar>
            <w:vAlign w:val="center"/>
          </w:tcPr>
          <w:p>
            <w:r>
              <w:rPr>
                <w:sz w:val="15"/>
              </w:rPr>
              <w:t>94.2</w:t>
            </w:r>
          </w:p>
        </w:tc>
      </w:tr>
      <w:tr>
        <w:tc>
          <w:tcPr>
            <w:tcW w:type="dxa" w:w="648"/>
            <w:tcMar>
              <w:top w:w="80" w:type="dxa"/>
              <w:start w:w="80" w:type="dxa"/>
              <w:bottom w:w="80" w:type="dxa"/>
              <w:end w:w="80" w:type="dxa"/>
            </w:tcMar>
            <w:vAlign w:val="center"/>
            <w:shd w:fill="F5F7F9"/>
          </w:tcPr>
          <w:p>
            <w:r>
              <w:rPr>
                <w:sz w:val="15"/>
              </w:rPr>
              <w:t>13</w:t>
            </w:r>
          </w:p>
        </w:tc>
        <w:tc>
          <w:tcPr>
            <w:tcW w:type="dxa" w:w="2016"/>
            <w:tcMar>
              <w:top w:w="80" w:type="dxa"/>
              <w:start w:w="80" w:type="dxa"/>
              <w:bottom w:w="80" w:type="dxa"/>
              <w:end w:w="80" w:type="dxa"/>
            </w:tcMar>
            <w:vAlign w:val="center"/>
            <w:shd w:fill="F5F7F9"/>
          </w:tcPr>
          <w:p>
            <w:r>
              <w:rPr>
                <w:sz w:val="15"/>
              </w:rPr>
              <w:t>Whittlesea</w:t>
            </w:r>
          </w:p>
        </w:tc>
        <w:tc>
          <w:tcPr>
            <w:tcW w:type="dxa" w:w="1728"/>
            <w:tcMar>
              <w:top w:w="80" w:type="dxa"/>
              <w:start w:w="80" w:type="dxa"/>
              <w:bottom w:w="80" w:type="dxa"/>
              <w:end w:w="80" w:type="dxa"/>
            </w:tcMar>
            <w:vAlign w:val="center"/>
            <w:shd w:fill="F5F7F9"/>
          </w:tcPr>
          <w:p>
            <w:r>
              <w:rPr>
                <w:sz w:val="15"/>
              </w:rPr>
              <w:t>Victoria</w:t>
            </w:r>
          </w:p>
        </w:tc>
        <w:tc>
          <w:tcPr>
            <w:tcW w:type="dxa" w:w="1008"/>
            <w:tcMar>
              <w:top w:w="80" w:type="dxa"/>
              <w:start w:w="80" w:type="dxa"/>
              <w:bottom w:w="80" w:type="dxa"/>
              <w:end w:w="80" w:type="dxa"/>
            </w:tcMar>
            <w:vAlign w:val="center"/>
            <w:shd w:fill="F5F7F9"/>
          </w:tcPr>
          <w:p>
            <w:r>
              <w:rPr>
                <w:sz w:val="15"/>
              </w:rPr>
              <w:t>92.28</w:t>
            </w:r>
          </w:p>
        </w:tc>
        <w:tc>
          <w:tcPr>
            <w:tcW w:type="dxa" w:w="1152"/>
            <w:tcMar>
              <w:top w:w="80" w:type="dxa"/>
              <w:start w:w="80" w:type="dxa"/>
              <w:bottom w:w="80" w:type="dxa"/>
              <w:end w:w="80" w:type="dxa"/>
            </w:tcMar>
            <w:vAlign w:val="center"/>
            <w:shd w:fill="F5F7F9"/>
          </w:tcPr>
          <w:p>
            <w:r>
              <w:rPr>
                <w:sz w:val="15"/>
              </w:rPr>
              <w:t>95.9</w:t>
            </w:r>
          </w:p>
        </w:tc>
        <w:tc>
          <w:tcPr>
            <w:tcW w:type="dxa" w:w="1152"/>
            <w:tcMar>
              <w:top w:w="80" w:type="dxa"/>
              <w:start w:w="80" w:type="dxa"/>
              <w:bottom w:w="80" w:type="dxa"/>
              <w:end w:w="80" w:type="dxa"/>
            </w:tcMar>
            <w:vAlign w:val="center"/>
            <w:shd w:fill="F5F7F9"/>
          </w:tcPr>
          <w:p>
            <w:r>
              <w:rPr>
                <w:sz w:val="15"/>
              </w:rPr>
              <w:t>84.9</w:t>
            </w:r>
          </w:p>
        </w:tc>
        <w:tc>
          <w:tcPr>
            <w:tcW w:type="dxa" w:w="1152"/>
            <w:tcMar>
              <w:top w:w="80" w:type="dxa"/>
              <w:start w:w="80" w:type="dxa"/>
              <w:bottom w:w="80" w:type="dxa"/>
              <w:end w:w="80" w:type="dxa"/>
            </w:tcMar>
            <w:vAlign w:val="center"/>
            <w:shd w:fill="F5F7F9"/>
          </w:tcPr>
          <w:p>
            <w:r>
              <w:rPr>
                <w:sz w:val="15"/>
              </w:rPr>
              <w:t>96.0</w:t>
            </w:r>
          </w:p>
        </w:tc>
      </w:tr>
      <w:tr>
        <w:tc>
          <w:tcPr>
            <w:tcW w:type="dxa" w:w="648"/>
            <w:tcMar>
              <w:top w:w="80" w:type="dxa"/>
              <w:start w:w="80" w:type="dxa"/>
              <w:bottom w:w="80" w:type="dxa"/>
              <w:end w:w="80" w:type="dxa"/>
            </w:tcMar>
            <w:vAlign w:val="center"/>
          </w:tcPr>
          <w:p>
            <w:r>
              <w:rPr>
                <w:sz w:val="15"/>
              </w:rPr>
              <w:t>14</w:t>
            </w:r>
          </w:p>
        </w:tc>
        <w:tc>
          <w:tcPr>
            <w:tcW w:type="dxa" w:w="2016"/>
            <w:tcMar>
              <w:top w:w="80" w:type="dxa"/>
              <w:start w:w="80" w:type="dxa"/>
              <w:bottom w:w="80" w:type="dxa"/>
              <w:end w:w="80" w:type="dxa"/>
            </w:tcMar>
            <w:vAlign w:val="center"/>
          </w:tcPr>
          <w:p>
            <w:r>
              <w:rPr>
                <w:sz w:val="15"/>
              </w:rPr>
              <w:t>Swan</w:t>
            </w:r>
          </w:p>
        </w:tc>
        <w:tc>
          <w:tcPr>
            <w:tcW w:type="dxa" w:w="1728"/>
            <w:tcMar>
              <w:top w:w="80" w:type="dxa"/>
              <w:start w:w="80" w:type="dxa"/>
              <w:bottom w:w="80" w:type="dxa"/>
              <w:end w:w="80" w:type="dxa"/>
            </w:tcMar>
            <w:vAlign w:val="center"/>
          </w:tcPr>
          <w:p>
            <w:r>
              <w:rPr>
                <w:sz w:val="15"/>
              </w:rPr>
              <w:t>Western Australia</w:t>
            </w:r>
          </w:p>
        </w:tc>
        <w:tc>
          <w:tcPr>
            <w:tcW w:type="dxa" w:w="1008"/>
            <w:tcMar>
              <w:top w:w="80" w:type="dxa"/>
              <w:start w:w="80" w:type="dxa"/>
              <w:bottom w:w="80" w:type="dxa"/>
              <w:end w:w="80" w:type="dxa"/>
            </w:tcMar>
            <w:vAlign w:val="center"/>
          </w:tcPr>
          <w:p>
            <w:r>
              <w:rPr>
                <w:sz w:val="15"/>
              </w:rPr>
              <w:t>91.92</w:t>
            </w:r>
          </w:p>
        </w:tc>
        <w:tc>
          <w:tcPr>
            <w:tcW w:type="dxa" w:w="1152"/>
            <w:tcMar>
              <w:top w:w="80" w:type="dxa"/>
              <w:start w:w="80" w:type="dxa"/>
              <w:bottom w:w="80" w:type="dxa"/>
              <w:end w:w="80" w:type="dxa"/>
            </w:tcMar>
            <w:vAlign w:val="center"/>
          </w:tcPr>
          <w:p>
            <w:r>
              <w:rPr>
                <w:sz w:val="15"/>
              </w:rPr>
              <w:t>92.1</w:t>
            </w:r>
          </w:p>
        </w:tc>
        <w:tc>
          <w:tcPr>
            <w:tcW w:type="dxa" w:w="1152"/>
            <w:tcMar>
              <w:top w:w="80" w:type="dxa"/>
              <w:start w:w="80" w:type="dxa"/>
              <w:bottom w:w="80" w:type="dxa"/>
              <w:end w:w="80" w:type="dxa"/>
            </w:tcMar>
            <w:vAlign w:val="center"/>
          </w:tcPr>
          <w:p>
            <w:r>
              <w:rPr>
                <w:sz w:val="15"/>
              </w:rPr>
              <w:t>86.3</w:t>
            </w:r>
          </w:p>
        </w:tc>
        <w:tc>
          <w:tcPr>
            <w:tcW w:type="dxa" w:w="1152"/>
            <w:tcMar>
              <w:top w:w="80" w:type="dxa"/>
              <w:start w:w="80" w:type="dxa"/>
              <w:bottom w:w="80" w:type="dxa"/>
              <w:end w:w="80" w:type="dxa"/>
            </w:tcMar>
            <w:vAlign w:val="center"/>
          </w:tcPr>
          <w:p>
            <w:r>
              <w:rPr>
                <w:sz w:val="15"/>
              </w:rPr>
              <w:t>97.4</w:t>
            </w:r>
          </w:p>
        </w:tc>
      </w:tr>
      <w:tr>
        <w:tc>
          <w:tcPr>
            <w:tcW w:type="dxa" w:w="648"/>
            <w:tcMar>
              <w:top w:w="80" w:type="dxa"/>
              <w:start w:w="80" w:type="dxa"/>
              <w:bottom w:w="80" w:type="dxa"/>
              <w:end w:w="80" w:type="dxa"/>
            </w:tcMar>
            <w:vAlign w:val="center"/>
            <w:shd w:fill="F5F7F9"/>
          </w:tcPr>
          <w:p>
            <w:r>
              <w:rPr>
                <w:sz w:val="15"/>
              </w:rPr>
              <w:t>15</w:t>
            </w:r>
          </w:p>
        </w:tc>
        <w:tc>
          <w:tcPr>
            <w:tcW w:type="dxa" w:w="2016"/>
            <w:tcMar>
              <w:top w:w="80" w:type="dxa"/>
              <w:start w:w="80" w:type="dxa"/>
              <w:bottom w:w="80" w:type="dxa"/>
              <w:end w:w="80" w:type="dxa"/>
            </w:tcMar>
            <w:vAlign w:val="center"/>
            <w:shd w:fill="F5F7F9"/>
          </w:tcPr>
          <w:p>
            <w:r>
              <w:rPr>
                <w:sz w:val="15"/>
              </w:rPr>
              <w:t>Wanneroo</w:t>
            </w:r>
          </w:p>
        </w:tc>
        <w:tc>
          <w:tcPr>
            <w:tcW w:type="dxa" w:w="1728"/>
            <w:tcMar>
              <w:top w:w="80" w:type="dxa"/>
              <w:start w:w="80" w:type="dxa"/>
              <w:bottom w:w="80" w:type="dxa"/>
              <w:end w:w="80" w:type="dxa"/>
            </w:tcMar>
            <w:vAlign w:val="center"/>
            <w:shd w:fill="F5F7F9"/>
          </w:tcPr>
          <w:p>
            <w:r>
              <w:rPr>
                <w:sz w:val="15"/>
              </w:rPr>
              <w:t>Western Australia</w:t>
            </w:r>
          </w:p>
        </w:tc>
        <w:tc>
          <w:tcPr>
            <w:tcW w:type="dxa" w:w="1008"/>
            <w:tcMar>
              <w:top w:w="80" w:type="dxa"/>
              <w:start w:w="80" w:type="dxa"/>
              <w:bottom w:w="80" w:type="dxa"/>
              <w:end w:w="80" w:type="dxa"/>
            </w:tcMar>
            <w:vAlign w:val="center"/>
            <w:shd w:fill="F5F7F9"/>
          </w:tcPr>
          <w:p>
            <w:r>
              <w:rPr>
                <w:sz w:val="15"/>
              </w:rPr>
              <w:t>91.87</w:t>
            </w:r>
          </w:p>
        </w:tc>
        <w:tc>
          <w:tcPr>
            <w:tcW w:type="dxa" w:w="1152"/>
            <w:tcMar>
              <w:top w:w="80" w:type="dxa"/>
              <w:start w:w="80" w:type="dxa"/>
              <w:bottom w:w="80" w:type="dxa"/>
              <w:end w:w="80" w:type="dxa"/>
            </w:tcMar>
            <w:vAlign w:val="center"/>
            <w:shd w:fill="F5F7F9"/>
          </w:tcPr>
          <w:p>
            <w:r>
              <w:rPr>
                <w:sz w:val="15"/>
              </w:rPr>
              <w:t>95.6</w:t>
            </w:r>
          </w:p>
        </w:tc>
        <w:tc>
          <w:tcPr>
            <w:tcW w:type="dxa" w:w="1152"/>
            <w:tcMar>
              <w:top w:w="80" w:type="dxa"/>
              <w:start w:w="80" w:type="dxa"/>
              <w:bottom w:w="80" w:type="dxa"/>
              <w:end w:w="80" w:type="dxa"/>
            </w:tcMar>
            <w:vAlign w:val="center"/>
            <w:shd w:fill="F5F7F9"/>
          </w:tcPr>
          <w:p>
            <w:r>
              <w:rPr>
                <w:sz w:val="15"/>
              </w:rPr>
              <w:t>89.0</w:t>
            </w:r>
          </w:p>
        </w:tc>
        <w:tc>
          <w:tcPr>
            <w:tcW w:type="dxa" w:w="1152"/>
            <w:tcMar>
              <w:top w:w="80" w:type="dxa"/>
              <w:start w:w="80" w:type="dxa"/>
              <w:bottom w:w="80" w:type="dxa"/>
              <w:end w:w="80" w:type="dxa"/>
            </w:tcMar>
            <w:vAlign w:val="center"/>
            <w:shd w:fill="F5F7F9"/>
          </w:tcPr>
          <w:p>
            <w:r>
              <w:rPr>
                <w:sz w:val="15"/>
              </w:rPr>
              <w:t>91.0</w:t>
            </w:r>
          </w:p>
        </w:tc>
      </w:tr>
      <w:tr>
        <w:tc>
          <w:tcPr>
            <w:tcW w:type="dxa" w:w="648"/>
            <w:tcMar>
              <w:top w:w="80" w:type="dxa"/>
              <w:start w:w="80" w:type="dxa"/>
              <w:bottom w:w="80" w:type="dxa"/>
              <w:end w:w="80" w:type="dxa"/>
            </w:tcMar>
            <w:vAlign w:val="center"/>
          </w:tcPr>
          <w:p>
            <w:r>
              <w:rPr>
                <w:sz w:val="15"/>
              </w:rPr>
              <w:t>16</w:t>
            </w:r>
          </w:p>
        </w:tc>
        <w:tc>
          <w:tcPr>
            <w:tcW w:type="dxa" w:w="2016"/>
            <w:tcMar>
              <w:top w:w="80" w:type="dxa"/>
              <w:start w:w="80" w:type="dxa"/>
              <w:bottom w:w="80" w:type="dxa"/>
              <w:end w:w="80" w:type="dxa"/>
            </w:tcMar>
            <w:vAlign w:val="center"/>
          </w:tcPr>
          <w:p>
            <w:r>
              <w:rPr>
                <w:sz w:val="15"/>
              </w:rPr>
              <w:t>Playford</w:t>
            </w:r>
          </w:p>
        </w:tc>
        <w:tc>
          <w:tcPr>
            <w:tcW w:type="dxa" w:w="1728"/>
            <w:tcMar>
              <w:top w:w="80" w:type="dxa"/>
              <w:start w:w="80" w:type="dxa"/>
              <w:bottom w:w="80" w:type="dxa"/>
              <w:end w:w="80" w:type="dxa"/>
            </w:tcMar>
            <w:vAlign w:val="center"/>
          </w:tcPr>
          <w:p>
            <w:r>
              <w:rPr>
                <w:sz w:val="15"/>
              </w:rPr>
              <w:t>South Australia</w:t>
            </w:r>
          </w:p>
        </w:tc>
        <w:tc>
          <w:tcPr>
            <w:tcW w:type="dxa" w:w="1008"/>
            <w:tcMar>
              <w:top w:w="80" w:type="dxa"/>
              <w:start w:w="80" w:type="dxa"/>
              <w:bottom w:w="80" w:type="dxa"/>
              <w:end w:w="80" w:type="dxa"/>
            </w:tcMar>
            <w:vAlign w:val="center"/>
          </w:tcPr>
          <w:p>
            <w:r>
              <w:rPr>
                <w:sz w:val="15"/>
              </w:rPr>
              <w:t>91.55</w:t>
            </w:r>
          </w:p>
        </w:tc>
        <w:tc>
          <w:tcPr>
            <w:tcW w:type="dxa" w:w="1152"/>
            <w:tcMar>
              <w:top w:w="80" w:type="dxa"/>
              <w:start w:w="80" w:type="dxa"/>
              <w:bottom w:w="80" w:type="dxa"/>
              <w:end w:w="80" w:type="dxa"/>
            </w:tcMar>
            <w:vAlign w:val="center"/>
          </w:tcPr>
          <w:p>
            <w:r>
              <w:rPr>
                <w:sz w:val="15"/>
              </w:rPr>
              <w:t>84.1</w:t>
            </w:r>
          </w:p>
        </w:tc>
        <w:tc>
          <w:tcPr>
            <w:tcW w:type="dxa" w:w="1152"/>
            <w:tcMar>
              <w:top w:w="80" w:type="dxa"/>
              <w:start w:w="80" w:type="dxa"/>
              <w:bottom w:w="80" w:type="dxa"/>
              <w:end w:w="80" w:type="dxa"/>
            </w:tcMar>
            <w:vAlign w:val="center"/>
          </w:tcPr>
          <w:p>
            <w:r>
              <w:rPr>
                <w:sz w:val="15"/>
              </w:rPr>
              <w:t>95.3</w:t>
            </w:r>
          </w:p>
        </w:tc>
        <w:tc>
          <w:tcPr>
            <w:tcW w:type="dxa" w:w="1152"/>
            <w:tcMar>
              <w:top w:w="80" w:type="dxa"/>
              <w:start w:w="80" w:type="dxa"/>
              <w:bottom w:w="80" w:type="dxa"/>
              <w:end w:w="80" w:type="dxa"/>
            </w:tcMar>
            <w:vAlign w:val="center"/>
          </w:tcPr>
          <w:p>
            <w:r>
              <w:rPr>
                <w:sz w:val="15"/>
              </w:rPr>
              <w:t>95.2</w:t>
            </w:r>
          </w:p>
        </w:tc>
      </w:tr>
      <w:tr>
        <w:tc>
          <w:tcPr>
            <w:tcW w:type="dxa" w:w="648"/>
            <w:tcMar>
              <w:top w:w="80" w:type="dxa"/>
              <w:start w:w="80" w:type="dxa"/>
              <w:bottom w:w="80" w:type="dxa"/>
              <w:end w:w="80" w:type="dxa"/>
            </w:tcMar>
            <w:vAlign w:val="center"/>
            <w:shd w:fill="F5F7F9"/>
          </w:tcPr>
          <w:p>
            <w:r>
              <w:rPr>
                <w:sz w:val="15"/>
              </w:rPr>
              <w:t>17</w:t>
            </w:r>
          </w:p>
        </w:tc>
        <w:tc>
          <w:tcPr>
            <w:tcW w:type="dxa" w:w="2016"/>
            <w:tcMar>
              <w:top w:w="80" w:type="dxa"/>
              <w:start w:w="80" w:type="dxa"/>
              <w:bottom w:w="80" w:type="dxa"/>
              <w:end w:w="80" w:type="dxa"/>
            </w:tcMar>
            <w:vAlign w:val="center"/>
            <w:shd w:fill="F5F7F9"/>
          </w:tcPr>
          <w:p>
            <w:r>
              <w:rPr>
                <w:sz w:val="15"/>
              </w:rPr>
              <w:t>Cardinia</w:t>
            </w:r>
          </w:p>
        </w:tc>
        <w:tc>
          <w:tcPr>
            <w:tcW w:type="dxa" w:w="1728"/>
            <w:tcMar>
              <w:top w:w="80" w:type="dxa"/>
              <w:start w:w="80" w:type="dxa"/>
              <w:bottom w:w="80" w:type="dxa"/>
              <w:end w:w="80" w:type="dxa"/>
            </w:tcMar>
            <w:vAlign w:val="center"/>
            <w:shd w:fill="F5F7F9"/>
          </w:tcPr>
          <w:p>
            <w:r>
              <w:rPr>
                <w:sz w:val="15"/>
              </w:rPr>
              <w:t>Victoria</w:t>
            </w:r>
          </w:p>
        </w:tc>
        <w:tc>
          <w:tcPr>
            <w:tcW w:type="dxa" w:w="1008"/>
            <w:tcMar>
              <w:top w:w="80" w:type="dxa"/>
              <w:start w:w="80" w:type="dxa"/>
              <w:bottom w:w="80" w:type="dxa"/>
              <w:end w:w="80" w:type="dxa"/>
            </w:tcMar>
            <w:vAlign w:val="center"/>
            <w:shd w:fill="F5F7F9"/>
          </w:tcPr>
          <w:p>
            <w:r>
              <w:rPr>
                <w:sz w:val="15"/>
              </w:rPr>
              <w:t>91.51</w:t>
            </w:r>
          </w:p>
        </w:tc>
        <w:tc>
          <w:tcPr>
            <w:tcW w:type="dxa" w:w="1152"/>
            <w:tcMar>
              <w:top w:w="80" w:type="dxa"/>
              <w:start w:w="80" w:type="dxa"/>
              <w:bottom w:w="80" w:type="dxa"/>
              <w:end w:w="80" w:type="dxa"/>
            </w:tcMar>
            <w:vAlign w:val="center"/>
            <w:shd w:fill="F5F7F9"/>
          </w:tcPr>
          <w:p>
            <w:r>
              <w:rPr>
                <w:sz w:val="15"/>
              </w:rPr>
              <w:t>87.4</w:t>
            </w:r>
          </w:p>
        </w:tc>
        <w:tc>
          <w:tcPr>
            <w:tcW w:type="dxa" w:w="1152"/>
            <w:tcMar>
              <w:top w:w="80" w:type="dxa"/>
              <w:start w:w="80" w:type="dxa"/>
              <w:bottom w:w="80" w:type="dxa"/>
              <w:end w:w="80" w:type="dxa"/>
            </w:tcMar>
            <w:vAlign w:val="center"/>
            <w:shd w:fill="F5F7F9"/>
          </w:tcPr>
          <w:p>
            <w:r>
              <w:rPr>
                <w:sz w:val="15"/>
              </w:rPr>
              <w:t>91.8</w:t>
            </w:r>
          </w:p>
        </w:tc>
        <w:tc>
          <w:tcPr>
            <w:tcW w:type="dxa" w:w="1152"/>
            <w:tcMar>
              <w:top w:w="80" w:type="dxa"/>
              <w:start w:w="80" w:type="dxa"/>
              <w:bottom w:w="80" w:type="dxa"/>
              <w:end w:w="80" w:type="dxa"/>
            </w:tcMar>
            <w:vAlign w:val="center"/>
            <w:shd w:fill="F5F7F9"/>
          </w:tcPr>
          <w:p>
            <w:r>
              <w:rPr>
                <w:sz w:val="15"/>
              </w:rPr>
              <w:t>95.3</w:t>
            </w:r>
          </w:p>
        </w:tc>
      </w:tr>
      <w:tr>
        <w:tc>
          <w:tcPr>
            <w:tcW w:type="dxa" w:w="648"/>
            <w:tcMar>
              <w:top w:w="80" w:type="dxa"/>
              <w:start w:w="80" w:type="dxa"/>
              <w:bottom w:w="80" w:type="dxa"/>
              <w:end w:w="80" w:type="dxa"/>
            </w:tcMar>
            <w:vAlign w:val="center"/>
          </w:tcPr>
          <w:p>
            <w:r>
              <w:rPr>
                <w:sz w:val="15"/>
              </w:rPr>
              <w:t>18</w:t>
            </w:r>
          </w:p>
        </w:tc>
        <w:tc>
          <w:tcPr>
            <w:tcW w:type="dxa" w:w="2016"/>
            <w:tcMar>
              <w:top w:w="80" w:type="dxa"/>
              <w:start w:w="80" w:type="dxa"/>
              <w:bottom w:w="80" w:type="dxa"/>
              <w:end w:w="80" w:type="dxa"/>
            </w:tcMar>
            <w:vAlign w:val="center"/>
          </w:tcPr>
          <w:p>
            <w:r>
              <w:rPr>
                <w:sz w:val="15"/>
              </w:rPr>
              <w:t>Rockingham</w:t>
            </w:r>
          </w:p>
        </w:tc>
        <w:tc>
          <w:tcPr>
            <w:tcW w:type="dxa" w:w="1728"/>
            <w:tcMar>
              <w:top w:w="80" w:type="dxa"/>
              <w:start w:w="80" w:type="dxa"/>
              <w:bottom w:w="80" w:type="dxa"/>
              <w:end w:w="80" w:type="dxa"/>
            </w:tcMar>
            <w:vAlign w:val="center"/>
          </w:tcPr>
          <w:p>
            <w:r>
              <w:rPr>
                <w:sz w:val="15"/>
              </w:rPr>
              <w:t>Western Australia</w:t>
            </w:r>
          </w:p>
        </w:tc>
        <w:tc>
          <w:tcPr>
            <w:tcW w:type="dxa" w:w="1008"/>
            <w:tcMar>
              <w:top w:w="80" w:type="dxa"/>
              <w:start w:w="80" w:type="dxa"/>
              <w:bottom w:w="80" w:type="dxa"/>
              <w:end w:w="80" w:type="dxa"/>
            </w:tcMar>
            <w:vAlign w:val="center"/>
          </w:tcPr>
          <w:p>
            <w:r>
              <w:rPr>
                <w:sz w:val="15"/>
              </w:rPr>
              <w:t>88.72</w:t>
            </w:r>
          </w:p>
        </w:tc>
        <w:tc>
          <w:tcPr>
            <w:tcW w:type="dxa" w:w="1152"/>
            <w:tcMar>
              <w:top w:w="80" w:type="dxa"/>
              <w:start w:w="80" w:type="dxa"/>
              <w:bottom w:w="80" w:type="dxa"/>
              <w:end w:w="80" w:type="dxa"/>
            </w:tcMar>
            <w:vAlign w:val="center"/>
          </w:tcPr>
          <w:p>
            <w:r>
              <w:rPr>
                <w:sz w:val="15"/>
              </w:rPr>
              <w:t>90.1</w:t>
            </w:r>
          </w:p>
        </w:tc>
        <w:tc>
          <w:tcPr>
            <w:tcW w:type="dxa" w:w="1152"/>
            <w:tcMar>
              <w:top w:w="80" w:type="dxa"/>
              <w:start w:w="80" w:type="dxa"/>
              <w:bottom w:w="80" w:type="dxa"/>
              <w:end w:w="80" w:type="dxa"/>
            </w:tcMar>
            <w:vAlign w:val="center"/>
          </w:tcPr>
          <w:p>
            <w:r>
              <w:rPr>
                <w:sz w:val="15"/>
              </w:rPr>
              <w:t>87.9</w:t>
            </w:r>
          </w:p>
        </w:tc>
        <w:tc>
          <w:tcPr>
            <w:tcW w:type="dxa" w:w="1152"/>
            <w:tcMar>
              <w:top w:w="80" w:type="dxa"/>
              <w:start w:w="80" w:type="dxa"/>
              <w:bottom w:w="80" w:type="dxa"/>
              <w:end w:w="80" w:type="dxa"/>
            </w:tcMar>
            <w:vAlign w:val="center"/>
          </w:tcPr>
          <w:p>
            <w:r>
              <w:rPr>
                <w:sz w:val="15"/>
              </w:rPr>
              <w:t>88.1</w:t>
            </w:r>
          </w:p>
        </w:tc>
      </w:tr>
      <w:tr>
        <w:tc>
          <w:tcPr>
            <w:tcW w:type="dxa" w:w="648"/>
            <w:tcMar>
              <w:top w:w="80" w:type="dxa"/>
              <w:start w:w="80" w:type="dxa"/>
              <w:bottom w:w="80" w:type="dxa"/>
              <w:end w:w="80" w:type="dxa"/>
            </w:tcMar>
            <w:vAlign w:val="center"/>
            <w:shd w:fill="F5F7F9"/>
          </w:tcPr>
          <w:p>
            <w:r>
              <w:rPr>
                <w:sz w:val="15"/>
              </w:rPr>
              <w:t>19</w:t>
            </w:r>
          </w:p>
        </w:tc>
        <w:tc>
          <w:tcPr>
            <w:tcW w:type="dxa" w:w="2016"/>
            <w:tcMar>
              <w:top w:w="80" w:type="dxa"/>
              <w:start w:w="80" w:type="dxa"/>
              <w:bottom w:w="80" w:type="dxa"/>
              <w:end w:w="80" w:type="dxa"/>
            </w:tcMar>
            <w:vAlign w:val="center"/>
            <w:shd w:fill="F5F7F9"/>
          </w:tcPr>
          <w:p>
            <w:r>
              <w:rPr>
                <w:sz w:val="15"/>
              </w:rPr>
              <w:t>Gosnells</w:t>
            </w:r>
          </w:p>
        </w:tc>
        <w:tc>
          <w:tcPr>
            <w:tcW w:type="dxa" w:w="1728"/>
            <w:tcMar>
              <w:top w:w="80" w:type="dxa"/>
              <w:start w:w="80" w:type="dxa"/>
              <w:bottom w:w="80" w:type="dxa"/>
              <w:end w:w="80" w:type="dxa"/>
            </w:tcMar>
            <w:vAlign w:val="center"/>
            <w:shd w:fill="F5F7F9"/>
          </w:tcPr>
          <w:p>
            <w:r>
              <w:rPr>
                <w:sz w:val="15"/>
              </w:rPr>
              <w:t>Western Australia</w:t>
            </w:r>
          </w:p>
        </w:tc>
        <w:tc>
          <w:tcPr>
            <w:tcW w:type="dxa" w:w="1008"/>
            <w:tcMar>
              <w:top w:w="80" w:type="dxa"/>
              <w:start w:w="80" w:type="dxa"/>
              <w:bottom w:w="80" w:type="dxa"/>
              <w:end w:w="80" w:type="dxa"/>
            </w:tcMar>
            <w:vAlign w:val="center"/>
            <w:shd w:fill="F5F7F9"/>
          </w:tcPr>
          <w:p>
            <w:r>
              <w:rPr>
                <w:sz w:val="15"/>
              </w:rPr>
              <w:t>87.67</w:t>
            </w:r>
          </w:p>
        </w:tc>
        <w:tc>
          <w:tcPr>
            <w:tcW w:type="dxa" w:w="1152"/>
            <w:tcMar>
              <w:top w:w="80" w:type="dxa"/>
              <w:start w:w="80" w:type="dxa"/>
              <w:bottom w:w="80" w:type="dxa"/>
              <w:end w:w="80" w:type="dxa"/>
            </w:tcMar>
            <w:vAlign w:val="center"/>
            <w:shd w:fill="F5F7F9"/>
          </w:tcPr>
          <w:p>
            <w:r>
              <w:rPr>
                <w:sz w:val="15"/>
              </w:rPr>
              <w:t>88.2</w:t>
            </w:r>
          </w:p>
        </w:tc>
        <w:tc>
          <w:tcPr>
            <w:tcW w:type="dxa" w:w="1152"/>
            <w:tcMar>
              <w:top w:w="80" w:type="dxa"/>
              <w:start w:w="80" w:type="dxa"/>
              <w:bottom w:w="80" w:type="dxa"/>
              <w:end w:w="80" w:type="dxa"/>
            </w:tcMar>
            <w:vAlign w:val="center"/>
            <w:shd w:fill="F5F7F9"/>
          </w:tcPr>
          <w:p>
            <w:r>
              <w:rPr>
                <w:sz w:val="15"/>
              </w:rPr>
              <w:t>82.5</w:t>
            </w:r>
          </w:p>
        </w:tc>
        <w:tc>
          <w:tcPr>
            <w:tcW w:type="dxa" w:w="1152"/>
            <w:tcMar>
              <w:top w:w="80" w:type="dxa"/>
              <w:start w:w="80" w:type="dxa"/>
              <w:bottom w:w="80" w:type="dxa"/>
              <w:end w:w="80" w:type="dxa"/>
            </w:tcMar>
            <w:vAlign w:val="center"/>
            <w:shd w:fill="F5F7F9"/>
          </w:tcPr>
          <w:p>
            <w:r>
              <w:rPr>
                <w:sz w:val="15"/>
              </w:rPr>
              <w:t>92.3</w:t>
            </w:r>
          </w:p>
        </w:tc>
      </w:tr>
      <w:tr>
        <w:tc>
          <w:tcPr>
            <w:tcW w:type="dxa" w:w="648"/>
            <w:tcMar>
              <w:top w:w="80" w:type="dxa"/>
              <w:start w:w="80" w:type="dxa"/>
              <w:bottom w:w="80" w:type="dxa"/>
              <w:end w:w="80" w:type="dxa"/>
            </w:tcMar>
            <w:vAlign w:val="center"/>
          </w:tcPr>
          <w:p>
            <w:r>
              <w:rPr>
                <w:sz w:val="15"/>
              </w:rPr>
              <w:t>20</w:t>
            </w:r>
          </w:p>
        </w:tc>
        <w:tc>
          <w:tcPr>
            <w:tcW w:type="dxa" w:w="2016"/>
            <w:tcMar>
              <w:top w:w="80" w:type="dxa"/>
              <w:start w:w="80" w:type="dxa"/>
              <w:bottom w:w="80" w:type="dxa"/>
              <w:end w:w="80" w:type="dxa"/>
            </w:tcMar>
            <w:vAlign w:val="center"/>
          </w:tcPr>
          <w:p>
            <w:r>
              <w:rPr>
                <w:sz w:val="15"/>
              </w:rPr>
              <w:t>Maitland</w:t>
            </w:r>
          </w:p>
        </w:tc>
        <w:tc>
          <w:tcPr>
            <w:tcW w:type="dxa" w:w="1728"/>
            <w:tcMar>
              <w:top w:w="80" w:type="dxa"/>
              <w:start w:w="80" w:type="dxa"/>
              <w:bottom w:w="80" w:type="dxa"/>
              <w:end w:w="80" w:type="dxa"/>
            </w:tcMar>
            <w:vAlign w:val="center"/>
          </w:tcPr>
          <w:p>
            <w:r>
              <w:rPr>
                <w:sz w:val="15"/>
              </w:rPr>
              <w:t>New South Wales</w:t>
            </w:r>
          </w:p>
        </w:tc>
        <w:tc>
          <w:tcPr>
            <w:tcW w:type="dxa" w:w="1008"/>
            <w:tcMar>
              <w:top w:w="80" w:type="dxa"/>
              <w:start w:w="80" w:type="dxa"/>
              <w:bottom w:w="80" w:type="dxa"/>
              <w:end w:w="80" w:type="dxa"/>
            </w:tcMar>
            <w:vAlign w:val="center"/>
          </w:tcPr>
          <w:p>
            <w:r>
              <w:rPr>
                <w:sz w:val="15"/>
              </w:rPr>
              <w:t>86.99</w:t>
            </w:r>
          </w:p>
        </w:tc>
        <w:tc>
          <w:tcPr>
            <w:tcW w:type="dxa" w:w="1152"/>
            <w:tcMar>
              <w:top w:w="80" w:type="dxa"/>
              <w:start w:w="80" w:type="dxa"/>
              <w:bottom w:w="80" w:type="dxa"/>
              <w:end w:w="80" w:type="dxa"/>
            </w:tcMar>
            <w:vAlign w:val="center"/>
          </w:tcPr>
          <w:p>
            <w:r>
              <w:rPr>
                <w:sz w:val="15"/>
              </w:rPr>
              <w:t>80.8</w:t>
            </w:r>
          </w:p>
        </w:tc>
        <w:tc>
          <w:tcPr>
            <w:tcW w:type="dxa" w:w="1152"/>
            <w:tcMar>
              <w:top w:w="80" w:type="dxa"/>
              <w:start w:w="80" w:type="dxa"/>
              <w:bottom w:w="80" w:type="dxa"/>
              <w:end w:w="80" w:type="dxa"/>
            </w:tcMar>
            <w:vAlign w:val="center"/>
          </w:tcPr>
          <w:p>
            <w:r>
              <w:rPr>
                <w:sz w:val="15"/>
              </w:rPr>
              <w:t>87.7</w:t>
            </w:r>
          </w:p>
        </w:tc>
        <w:tc>
          <w:tcPr>
            <w:tcW w:type="dxa" w:w="1152"/>
            <w:tcMar>
              <w:top w:w="80" w:type="dxa"/>
              <w:start w:w="80" w:type="dxa"/>
              <w:bottom w:w="80" w:type="dxa"/>
              <w:end w:w="80" w:type="dxa"/>
            </w:tcMar>
            <w:vAlign w:val="center"/>
          </w:tcPr>
          <w:p>
            <w:r>
              <w:rPr>
                <w:sz w:val="15"/>
              </w:rPr>
              <w:t>92.5</w:t>
            </w:r>
          </w:p>
        </w:tc>
      </w:tr>
    </w:tbl>
    <w:p>
      <w:pPr>
        <w:spacing w:after="40"/>
      </w:pPr>
    </w:p>
    <w:p>
      <w:pPr>
        <w:pStyle w:val="Heading1"/>
      </w:pPr>
      <w:r>
        <w:t>Appendix B. Model Specification</w:t>
      </w:r>
    </w:p>
    <w:p>
      <w:pPr>
        <w:pStyle w:val="ListBullet"/>
      </w:pPr>
      <w:r>
        <w:t>Eligibility: valid age data, current total population &gt;= 5,000, 2019 5-14 population &gt;= 500, residual unincorporated records excluded except ACT.</w:t>
      </w:r>
    </w:p>
    <w:p>
      <w:pPr>
        <w:pStyle w:val="ListBullet"/>
      </w:pPr>
      <w:r>
        <w:t>Normalisation: average-rank percentile scores among eligible LGAs.</w:t>
      </w:r>
    </w:p>
    <w:p>
      <w:pPr>
        <w:pStyle w:val="ListBullet"/>
      </w:pPr>
      <w:r>
        <w:t>Market Size = percentile of AGE_5_14_2024.</w:t>
      </w:r>
    </w:p>
    <w:p>
      <w:pPr>
        <w:pStyle w:val="ListBullet"/>
      </w:pPr>
      <w:r>
        <w:t>Youth Concentration = percentile of AGE_5_14_SHARE_TOTAL_PCT.</w:t>
      </w:r>
    </w:p>
    <w:p>
      <w:pPr>
        <w:pStyle w:val="ListBullet"/>
      </w:pPr>
      <w:r>
        <w:t>Growth Momentum = average of percentiles for AGE_5_14_CHANGE_5Y and AGE_5_14_GROWTH_5Y_PCT.</w:t>
      </w:r>
    </w:p>
    <w:p>
      <w:pPr>
        <w:pStyle w:val="ListBullet"/>
      </w:pPr>
      <w:r>
        <w:t>Balanced Opportunity Potential = equal average of Market Size, Youth Concentration and Growth Momentum.</w:t>
      </w:r>
    </w:p>
    <w:p>
      <w:pPr>
        <w:pStyle w:val="ListBullet"/>
      </w:pPr>
      <w:r>
        <w:t>SEIFA is contextual only. Cultural strategic alignment and System Readiness are excluded from Model V1 because those layers were not fully integrated.</w:t>
      </w:r>
    </w:p>
    <w:p>
      <w:pPr>
        <w:pStyle w:val="Heading1"/>
      </w:pPr>
      <w:r>
        <w:t>Appendix C. Validation and Limitations Register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18324A"/>
            <w:tcMar>
              <w:top w:w="80" w:type="dxa"/>
              <w:start w:w="80" w:type="dxa"/>
              <w:bottom w:w="80" w:type="dxa"/>
              <w:end w:w="80" w:type="dxa"/>
            </w:tcMar>
          </w:tcPr>
          <w:p>
            <w:pPr>
              <w:jc w:val="center"/>
            </w:pPr>
            <w:r>
              <w:rPr>
                <w:b/>
                <w:color w:val="FFFFFF"/>
                <w:sz w:val="14"/>
              </w:rPr>
              <w:t>Severity</w:t>
            </w:r>
          </w:p>
        </w:tc>
        <w:tc>
          <w:tcPr>
            <w:tcW w:type="dxa" w:w="2304"/>
            <w:shd w:fill="18324A"/>
            <w:tcMar>
              <w:top w:w="80" w:type="dxa"/>
              <w:start w:w="80" w:type="dxa"/>
              <w:bottom w:w="80" w:type="dxa"/>
              <w:end w:w="80" w:type="dxa"/>
            </w:tcMar>
          </w:tcPr>
          <w:p>
            <w:pPr>
              <w:jc w:val="center"/>
            </w:pPr>
            <w:r>
              <w:rPr>
                <w:b/>
                <w:color w:val="FFFFFF"/>
                <w:sz w:val="14"/>
              </w:rPr>
              <w:t>Limitation</w:t>
            </w:r>
          </w:p>
        </w:tc>
        <w:tc>
          <w:tcPr>
            <w:tcW w:type="dxa" w:w="3744"/>
            <w:shd w:fill="18324A"/>
            <w:tcMar>
              <w:top w:w="80" w:type="dxa"/>
              <w:start w:w="80" w:type="dxa"/>
              <w:bottom w:w="80" w:type="dxa"/>
              <w:end w:w="80" w:type="dxa"/>
            </w:tcMar>
          </w:tcPr>
          <w:p>
            <w:pPr>
              <w:jc w:val="center"/>
            </w:pPr>
            <w:r>
              <w:rPr>
                <w:b/>
                <w:color w:val="FFFFFF"/>
                <w:sz w:val="14"/>
              </w:rPr>
              <w:t>Risk</w:t>
            </w:r>
          </w:p>
        </w:tc>
        <w:tc>
          <w:tcPr>
            <w:tcW w:type="dxa" w:w="3312"/>
            <w:shd w:fill="18324A"/>
            <w:tcMar>
              <w:top w:w="80" w:type="dxa"/>
              <w:start w:w="80" w:type="dxa"/>
              <w:bottom w:w="80" w:type="dxa"/>
              <w:end w:w="80" w:type="dxa"/>
            </w:tcMar>
          </w:tcPr>
          <w:p>
            <w:pPr>
              <w:jc w:val="center"/>
            </w:pPr>
            <w:r>
              <w:rPr>
                <w:b/>
                <w:color w:val="FFFFFF"/>
                <w:sz w:val="14"/>
              </w:rPr>
              <w:t>Mitigation</w:t>
            </w:r>
          </w:p>
        </w:tc>
      </w:tr>
      <w:tr>
        <w:tc>
          <w:tcPr>
            <w:tcW w:type="dxa" w:w="1152"/>
            <w:tcMar>
              <w:top w:w="80" w:type="dxa"/>
              <w:start w:w="80" w:type="dxa"/>
              <w:bottom w:w="80" w:type="dxa"/>
              <w:end w:w="80" w:type="dxa"/>
            </w:tcMar>
            <w:vAlign w:val="center"/>
            <w:shd w:fill="F5F7F9"/>
          </w:tcPr>
          <w:p>
            <w:r>
              <w:rPr>
                <w:sz w:val="14"/>
              </w:rPr>
              <w:t>Critical</w:t>
            </w:r>
          </w:p>
        </w:tc>
        <w:tc>
          <w:tcPr>
            <w:tcW w:type="dxa" w:w="2304"/>
            <w:tcMar>
              <w:top w:w="80" w:type="dxa"/>
              <w:start w:w="80" w:type="dxa"/>
              <w:bottom w:w="80" w:type="dxa"/>
              <w:end w:w="80" w:type="dxa"/>
            </w:tcMar>
            <w:vAlign w:val="center"/>
            <w:shd w:fill="F5F7F9"/>
          </w:tcPr>
          <w:p>
            <w:r>
              <w:rPr>
                <w:sz w:val="14"/>
              </w:rPr>
              <w:t>Outcome-data gap</w:t>
            </w:r>
          </w:p>
        </w:tc>
        <w:tc>
          <w:tcPr>
            <w:tcW w:type="dxa" w:w="3744"/>
            <w:tcMar>
              <w:top w:w="80" w:type="dxa"/>
              <w:start w:w="80" w:type="dxa"/>
              <w:bottom w:w="80" w:type="dxa"/>
              <w:end w:w="80" w:type="dxa"/>
            </w:tcMar>
            <w:vAlign w:val="center"/>
            <w:shd w:fill="F5F7F9"/>
          </w:tcPr>
          <w:p>
            <w:r>
              <w:rPr>
                <w:sz w:val="14"/>
              </w:rPr>
              <w:t>Cannot validate whether high scores lead to more cricket registrations.</w:t>
            </w:r>
          </w:p>
        </w:tc>
        <w:tc>
          <w:tcPr>
            <w:tcW w:type="dxa" w:w="3312"/>
            <w:tcMar>
              <w:top w:w="80" w:type="dxa"/>
              <w:start w:w="80" w:type="dxa"/>
              <w:bottom w:w="80" w:type="dxa"/>
              <w:end w:w="80" w:type="dxa"/>
            </w:tcMar>
            <w:vAlign w:val="center"/>
            <w:shd w:fill="F5F7F9"/>
          </w:tcPr>
          <w:p>
            <w:r>
              <w:rPr>
                <w:sz w:val="14"/>
              </w:rPr>
              <w:t>Use CA/PlayHQ new registrations, retention and conversion by geography.</w:t>
            </w:r>
          </w:p>
        </w:tc>
      </w:tr>
      <w:tr>
        <w:tc>
          <w:tcPr>
            <w:tcW w:type="dxa" w:w="1152"/>
            <w:tcMar>
              <w:top w:w="80" w:type="dxa"/>
              <w:start w:w="80" w:type="dxa"/>
              <w:bottom w:w="80" w:type="dxa"/>
              <w:end w:w="80" w:type="dxa"/>
            </w:tcMar>
            <w:vAlign w:val="center"/>
          </w:tcPr>
          <w:p>
            <w:r>
              <w:rPr>
                <w:sz w:val="14"/>
              </w:rPr>
              <w:t>Critical</w:t>
            </w:r>
          </w:p>
        </w:tc>
        <w:tc>
          <w:tcPr>
            <w:tcW w:type="dxa" w:w="2304"/>
            <w:tcMar>
              <w:top w:w="80" w:type="dxa"/>
              <w:start w:w="80" w:type="dxa"/>
              <w:bottom w:w="80" w:type="dxa"/>
              <w:end w:w="80" w:type="dxa"/>
            </w:tcMar>
            <w:vAlign w:val="center"/>
          </w:tcPr>
          <w:p>
            <w:r>
              <w:rPr>
                <w:sz w:val="14"/>
              </w:rPr>
              <w:t>Readiness-data gap</w:t>
            </w:r>
          </w:p>
        </w:tc>
        <w:tc>
          <w:tcPr>
            <w:tcW w:type="dxa" w:w="3744"/>
            <w:tcMar>
              <w:top w:w="80" w:type="dxa"/>
              <w:start w:w="80" w:type="dxa"/>
              <w:bottom w:w="80" w:type="dxa"/>
              <w:end w:w="80" w:type="dxa"/>
            </w:tcMar>
            <w:vAlign w:val="center"/>
          </w:tcPr>
          <w:p>
            <w:r>
              <w:rPr>
                <w:sz w:val="14"/>
              </w:rPr>
              <w:t>Cannot calculate formal System Readiness or final Phase 6 strategic quadrant.</w:t>
            </w:r>
          </w:p>
        </w:tc>
        <w:tc>
          <w:tcPr>
            <w:tcW w:type="dxa" w:w="3312"/>
            <w:tcMar>
              <w:top w:w="80" w:type="dxa"/>
              <w:start w:w="80" w:type="dxa"/>
              <w:bottom w:w="80" w:type="dxa"/>
              <w:end w:w="80" w:type="dxa"/>
            </w:tcMar>
            <w:vAlign w:val="center"/>
          </w:tcPr>
          <w:p>
            <w:r>
              <w:rPr>
                <w:sz w:val="14"/>
              </w:rPr>
              <w:t>Integrate clubs, programs, fields, hours, utilisation, waitlists and volunteer capacity.</w:t>
            </w:r>
          </w:p>
        </w:tc>
      </w:tr>
      <w:tr>
        <w:tc>
          <w:tcPr>
            <w:tcW w:type="dxa" w:w="1152"/>
            <w:tcMar>
              <w:top w:w="80" w:type="dxa"/>
              <w:start w:w="80" w:type="dxa"/>
              <w:bottom w:w="80" w:type="dxa"/>
              <w:end w:w="80" w:type="dxa"/>
            </w:tcMar>
            <w:vAlign w:val="center"/>
            <w:shd w:fill="F5F7F9"/>
          </w:tcPr>
          <w:p>
            <w:r>
              <w:rPr>
                <w:sz w:val="14"/>
              </w:rPr>
              <w:t>High</w:t>
            </w:r>
          </w:p>
        </w:tc>
        <w:tc>
          <w:tcPr>
            <w:tcW w:type="dxa" w:w="2304"/>
            <w:tcMar>
              <w:top w:w="80" w:type="dxa"/>
              <w:start w:w="80" w:type="dxa"/>
              <w:bottom w:w="80" w:type="dxa"/>
              <w:end w:w="80" w:type="dxa"/>
            </w:tcMar>
            <w:vAlign w:val="center"/>
            <w:shd w:fill="F5F7F9"/>
          </w:tcPr>
          <w:p>
            <w:r>
              <w:rPr>
                <w:sz w:val="14"/>
              </w:rPr>
              <w:t>Age-band mismatch</w:t>
            </w:r>
          </w:p>
        </w:tc>
        <w:tc>
          <w:tcPr>
            <w:tcW w:type="dxa" w:w="3744"/>
            <w:tcMar>
              <w:top w:w="80" w:type="dxa"/>
              <w:start w:w="80" w:type="dxa"/>
              <w:bottom w:w="80" w:type="dxa"/>
              <w:end w:w="80" w:type="dxa"/>
            </w:tcMar>
            <w:vAlign w:val="center"/>
            <w:shd w:fill="F5F7F9"/>
          </w:tcPr>
          <w:p>
            <w:r>
              <w:rPr>
                <w:sz w:val="14"/>
              </w:rPr>
              <w:t>Junior market is an approximation of the strategic target cohort.</w:t>
            </w:r>
          </w:p>
        </w:tc>
        <w:tc>
          <w:tcPr>
            <w:tcW w:type="dxa" w:w="3312"/>
            <w:tcMar>
              <w:top w:w="80" w:type="dxa"/>
              <w:start w:w="80" w:type="dxa"/>
              <w:bottom w:w="80" w:type="dxa"/>
              <w:end w:w="80" w:type="dxa"/>
            </w:tcMar>
            <w:vAlign w:val="center"/>
            <w:shd w:fill="F5F7F9"/>
          </w:tcPr>
          <w:p>
            <w:r>
              <w:rPr>
                <w:sz w:val="14"/>
              </w:rPr>
              <w:t>Use exact-age internal registration/ABS TableBuilder where feasible; sensitivity-test 5–12 vs 5–14.</w:t>
            </w:r>
          </w:p>
        </w:tc>
      </w:tr>
      <w:tr>
        <w:tc>
          <w:tcPr>
            <w:tcW w:type="dxa" w:w="1152"/>
            <w:tcMar>
              <w:top w:w="80" w:type="dxa"/>
              <w:start w:w="80" w:type="dxa"/>
              <w:bottom w:w="80" w:type="dxa"/>
              <w:end w:w="80" w:type="dxa"/>
            </w:tcMar>
            <w:vAlign w:val="center"/>
          </w:tcPr>
          <w:p>
            <w:r>
              <w:rPr>
                <w:sz w:val="14"/>
              </w:rPr>
              <w:t>High</w:t>
            </w:r>
          </w:p>
        </w:tc>
        <w:tc>
          <w:tcPr>
            <w:tcW w:type="dxa" w:w="2304"/>
            <w:tcMar>
              <w:top w:w="80" w:type="dxa"/>
              <w:start w:w="80" w:type="dxa"/>
              <w:bottom w:w="80" w:type="dxa"/>
              <w:end w:w="80" w:type="dxa"/>
            </w:tcMar>
            <w:vAlign w:val="center"/>
          </w:tcPr>
          <w:p>
            <w:r>
              <w:rPr>
                <w:sz w:val="14"/>
              </w:rPr>
              <w:t>Cultural strategic-alignment gap</w:t>
            </w:r>
          </w:p>
        </w:tc>
        <w:tc>
          <w:tcPr>
            <w:tcW w:type="dxa" w:w="3744"/>
            <w:tcMar>
              <w:top w:w="80" w:type="dxa"/>
              <w:start w:w="80" w:type="dxa"/>
              <w:bottom w:w="80" w:type="dxa"/>
              <w:end w:w="80" w:type="dxa"/>
            </w:tcMar>
            <w:vAlign w:val="center"/>
          </w:tcPr>
          <w:p>
            <w:r>
              <w:rPr>
                <w:sz w:val="14"/>
              </w:rPr>
              <w:t>Model omits one explicit CA strategic-priority dimension.</w:t>
            </w:r>
          </w:p>
        </w:tc>
        <w:tc>
          <w:tcPr>
            <w:tcW w:type="dxa" w:w="3312"/>
            <w:tcMar>
              <w:top w:w="80" w:type="dxa"/>
              <w:start w:w="80" w:type="dxa"/>
              <w:bottom w:w="80" w:type="dxa"/>
              <w:end w:w="80" w:type="dxa"/>
            </w:tcMar>
            <w:vAlign w:val="center"/>
          </w:tcPr>
          <w:p>
            <w:r>
              <w:rPr>
                <w:sz w:val="14"/>
              </w:rPr>
              <w:t>Add responsibly defined Census/registration measures; keep demographic identity separate from assumed cricket demand.</w:t>
            </w:r>
          </w:p>
        </w:tc>
      </w:tr>
      <w:tr>
        <w:tc>
          <w:tcPr>
            <w:tcW w:type="dxa" w:w="1152"/>
            <w:tcMar>
              <w:top w:w="80" w:type="dxa"/>
              <w:start w:w="80" w:type="dxa"/>
              <w:bottom w:w="80" w:type="dxa"/>
              <w:end w:w="80" w:type="dxa"/>
            </w:tcMar>
            <w:vAlign w:val="center"/>
            <w:shd w:fill="F5F7F9"/>
          </w:tcPr>
          <w:p>
            <w:r>
              <w:rPr>
                <w:sz w:val="14"/>
              </w:rPr>
              <w:t>Moderate</w:t>
            </w:r>
          </w:p>
        </w:tc>
        <w:tc>
          <w:tcPr>
            <w:tcW w:type="dxa" w:w="2304"/>
            <w:tcMar>
              <w:top w:w="80" w:type="dxa"/>
              <w:start w:w="80" w:type="dxa"/>
              <w:bottom w:w="80" w:type="dxa"/>
              <w:end w:w="80" w:type="dxa"/>
            </w:tcMar>
            <w:vAlign w:val="center"/>
            <w:shd w:fill="F5F7F9"/>
          </w:tcPr>
          <w:p>
            <w:r>
              <w:rPr>
                <w:sz w:val="14"/>
              </w:rPr>
              <w:t>Temporal misalignment</w:t>
            </w:r>
          </w:p>
        </w:tc>
        <w:tc>
          <w:tcPr>
            <w:tcW w:type="dxa" w:w="3744"/>
            <w:tcMar>
              <w:top w:w="80" w:type="dxa"/>
              <w:start w:w="80" w:type="dxa"/>
              <w:bottom w:w="80" w:type="dxa"/>
              <w:end w:w="80" w:type="dxa"/>
            </w:tcMar>
            <w:vAlign w:val="center"/>
            <w:shd w:fill="F5F7F9"/>
          </w:tcPr>
          <w:p>
            <w:r>
              <w:rPr>
                <w:sz w:val="14"/>
              </w:rPr>
              <w:t>Scores combine best-available data from different reference years.</w:t>
            </w:r>
          </w:p>
        </w:tc>
        <w:tc>
          <w:tcPr>
            <w:tcW w:type="dxa" w:w="3312"/>
            <w:tcMar>
              <w:top w:w="80" w:type="dxa"/>
              <w:start w:w="80" w:type="dxa"/>
              <w:bottom w:w="80" w:type="dxa"/>
              <w:end w:w="80" w:type="dxa"/>
            </w:tcMar>
            <w:vAlign w:val="center"/>
            <w:shd w:fill="F5F7F9"/>
          </w:tcPr>
          <w:p>
            <w:r>
              <w:rPr>
                <w:sz w:val="14"/>
              </w:rPr>
              <w:t>Retain year metadata; refresh annually; avoid calling the dataset '2026 data'.</w:t>
            </w:r>
          </w:p>
        </w:tc>
      </w:tr>
      <w:tr>
        <w:tc>
          <w:tcPr>
            <w:tcW w:type="dxa" w:w="1152"/>
            <w:tcMar>
              <w:top w:w="80" w:type="dxa"/>
              <w:start w:w="80" w:type="dxa"/>
              <w:bottom w:w="80" w:type="dxa"/>
              <w:end w:w="80" w:type="dxa"/>
            </w:tcMar>
            <w:vAlign w:val="center"/>
          </w:tcPr>
          <w:p>
            <w:r>
              <w:rPr>
                <w:sz w:val="14"/>
              </w:rPr>
              <w:t>Moderate</w:t>
            </w:r>
          </w:p>
        </w:tc>
        <w:tc>
          <w:tcPr>
            <w:tcW w:type="dxa" w:w="2304"/>
            <w:tcMar>
              <w:top w:w="80" w:type="dxa"/>
              <w:start w:w="80" w:type="dxa"/>
              <w:bottom w:w="80" w:type="dxa"/>
              <w:end w:w="80" w:type="dxa"/>
            </w:tcMar>
            <w:vAlign w:val="center"/>
          </w:tcPr>
          <w:p>
            <w:r>
              <w:rPr>
                <w:sz w:val="14"/>
              </w:rPr>
              <w:t>LGA boundary change</w:t>
            </w:r>
          </w:p>
        </w:tc>
        <w:tc>
          <w:tcPr>
            <w:tcW w:type="dxa" w:w="3744"/>
            <w:tcMar>
              <w:top w:w="80" w:type="dxa"/>
              <w:start w:w="80" w:type="dxa"/>
              <w:bottom w:w="80" w:type="dxa"/>
              <w:end w:w="80" w:type="dxa"/>
            </w:tcMar>
            <w:vAlign w:val="center"/>
          </w:tcPr>
          <w:p>
            <w:r>
              <w:rPr>
                <w:sz w:val="14"/>
              </w:rPr>
              <w:t>Some records cannot be compared perfectly through time.</w:t>
            </w:r>
          </w:p>
        </w:tc>
        <w:tc>
          <w:tcPr>
            <w:tcW w:type="dxa" w:w="3312"/>
            <w:tcMar>
              <w:top w:w="80" w:type="dxa"/>
              <w:start w:w="80" w:type="dxa"/>
              <w:bottom w:w="80" w:type="dxa"/>
              <w:end w:w="80" w:type="dxa"/>
            </w:tcMar>
            <w:vAlign w:val="center"/>
          </w:tcPr>
          <w:p>
            <w:r>
              <w:rPr>
                <w:sz w:val="14"/>
              </w:rPr>
              <w:t>Use ABS correspondences and current boundary standards; flag changed areas.</w:t>
            </w:r>
          </w:p>
        </w:tc>
      </w:tr>
      <w:tr>
        <w:tc>
          <w:tcPr>
            <w:tcW w:type="dxa" w:w="1152"/>
            <w:tcMar>
              <w:top w:w="80" w:type="dxa"/>
              <w:start w:w="80" w:type="dxa"/>
              <w:bottom w:w="80" w:type="dxa"/>
              <w:end w:w="80" w:type="dxa"/>
            </w:tcMar>
            <w:vAlign w:val="center"/>
            <w:shd w:fill="F5F7F9"/>
          </w:tcPr>
          <w:p>
            <w:r>
              <w:rPr>
                <w:sz w:val="14"/>
              </w:rPr>
              <w:t>High</w:t>
            </w:r>
          </w:p>
        </w:tc>
        <w:tc>
          <w:tcPr>
            <w:tcW w:type="dxa" w:w="2304"/>
            <w:tcMar>
              <w:top w:w="80" w:type="dxa"/>
              <w:start w:w="80" w:type="dxa"/>
              <w:bottom w:w="80" w:type="dxa"/>
              <w:end w:w="80" w:type="dxa"/>
            </w:tcMar>
            <w:vAlign w:val="center"/>
            <w:shd w:fill="F5F7F9"/>
          </w:tcPr>
          <w:p>
            <w:r>
              <w:rPr>
                <w:sz w:val="14"/>
              </w:rPr>
              <w:t>LGA as market proxy</w:t>
            </w:r>
          </w:p>
        </w:tc>
        <w:tc>
          <w:tcPr>
            <w:tcW w:type="dxa" w:w="3744"/>
            <w:tcMar>
              <w:top w:w="80" w:type="dxa"/>
              <w:start w:w="80" w:type="dxa"/>
              <w:bottom w:w="80" w:type="dxa"/>
              <w:end w:w="80" w:type="dxa"/>
            </w:tcMar>
            <w:vAlign w:val="center"/>
            <w:shd w:fill="F5F7F9"/>
          </w:tcPr>
          <w:p>
            <w:r>
              <w:rPr>
                <w:sz w:val="14"/>
              </w:rPr>
              <w:t>LGA may not equal true club/program catchment.</w:t>
            </w:r>
          </w:p>
        </w:tc>
        <w:tc>
          <w:tcPr>
            <w:tcW w:type="dxa" w:w="3312"/>
            <w:tcMar>
              <w:top w:w="80" w:type="dxa"/>
              <w:start w:w="80" w:type="dxa"/>
              <w:bottom w:w="80" w:type="dxa"/>
              <w:end w:w="80" w:type="dxa"/>
            </w:tcMar>
            <w:vAlign w:val="center"/>
            <w:shd w:fill="F5F7F9"/>
          </w:tcPr>
          <w:p>
            <w:r>
              <w:rPr>
                <w:sz w:val="14"/>
              </w:rPr>
              <w:t>Use SA2/postcode and drive-time/club-catchment analysis with internal data.</w:t>
            </w:r>
          </w:p>
        </w:tc>
      </w:tr>
      <w:tr>
        <w:tc>
          <w:tcPr>
            <w:tcW w:type="dxa" w:w="1152"/>
            <w:tcMar>
              <w:top w:w="80" w:type="dxa"/>
              <w:start w:w="80" w:type="dxa"/>
              <w:bottom w:w="80" w:type="dxa"/>
              <w:end w:w="80" w:type="dxa"/>
            </w:tcMar>
            <w:vAlign w:val="center"/>
          </w:tcPr>
          <w:p>
            <w:r>
              <w:rPr>
                <w:sz w:val="14"/>
              </w:rPr>
              <w:t>Moderate</w:t>
            </w:r>
          </w:p>
        </w:tc>
        <w:tc>
          <w:tcPr>
            <w:tcW w:type="dxa" w:w="2304"/>
            <w:tcMar>
              <w:top w:w="80" w:type="dxa"/>
              <w:start w:w="80" w:type="dxa"/>
              <w:bottom w:w="80" w:type="dxa"/>
              <w:end w:w="80" w:type="dxa"/>
            </w:tcMar>
            <w:vAlign w:val="center"/>
          </w:tcPr>
          <w:p>
            <w:r>
              <w:rPr>
                <w:sz w:val="14"/>
              </w:rPr>
              <w:t>Urban-scale bias</w:t>
            </w:r>
          </w:p>
        </w:tc>
        <w:tc>
          <w:tcPr>
            <w:tcW w:type="dxa" w:w="3744"/>
            <w:tcMar>
              <w:top w:w="80" w:type="dxa"/>
              <w:start w:w="80" w:type="dxa"/>
              <w:bottom w:w="80" w:type="dxa"/>
              <w:end w:w="80" w:type="dxa"/>
            </w:tcMar>
            <w:vAlign w:val="center"/>
          </w:tcPr>
          <w:p>
            <w:r>
              <w:rPr>
                <w:sz w:val="14"/>
              </w:rPr>
              <w:t>National model may understate small but locally important regional opportunities.</w:t>
            </w:r>
          </w:p>
        </w:tc>
        <w:tc>
          <w:tcPr>
            <w:tcW w:type="dxa" w:w="3312"/>
            <w:tcMar>
              <w:top w:w="80" w:type="dxa"/>
              <w:start w:w="80" w:type="dxa"/>
              <w:bottom w:w="80" w:type="dxa"/>
              <w:end w:w="80" w:type="dxa"/>
            </w:tcMar>
            <w:vAlign w:val="center"/>
          </w:tcPr>
          <w:p>
            <w:r>
              <w:rPr>
                <w:sz w:val="14"/>
              </w:rPr>
              <w:t>Use peer-group/remoteness benchmarking alongside national percentiles.</w:t>
            </w:r>
          </w:p>
        </w:tc>
      </w:tr>
      <w:tr>
        <w:tc>
          <w:tcPr>
            <w:tcW w:type="dxa" w:w="1152"/>
            <w:tcMar>
              <w:top w:w="80" w:type="dxa"/>
              <w:start w:w="80" w:type="dxa"/>
              <w:bottom w:w="80" w:type="dxa"/>
              <w:end w:w="80" w:type="dxa"/>
            </w:tcMar>
            <w:vAlign w:val="center"/>
            <w:shd w:fill="F5F7F9"/>
          </w:tcPr>
          <w:p>
            <w:r>
              <w:rPr>
                <w:sz w:val="14"/>
              </w:rPr>
              <w:t>Moderate</w:t>
            </w:r>
          </w:p>
        </w:tc>
        <w:tc>
          <w:tcPr>
            <w:tcW w:type="dxa" w:w="2304"/>
            <w:tcMar>
              <w:top w:w="80" w:type="dxa"/>
              <w:start w:w="80" w:type="dxa"/>
              <w:bottom w:w="80" w:type="dxa"/>
              <w:end w:w="80" w:type="dxa"/>
            </w:tcMar>
            <w:vAlign w:val="center"/>
            <w:shd w:fill="F5F7F9"/>
          </w:tcPr>
          <w:p>
            <w:r>
              <w:rPr>
                <w:sz w:val="14"/>
              </w:rPr>
              <w:t>Small-base volatility</w:t>
            </w:r>
          </w:p>
        </w:tc>
        <w:tc>
          <w:tcPr>
            <w:tcW w:type="dxa" w:w="3744"/>
            <w:tcMar>
              <w:top w:w="80" w:type="dxa"/>
              <w:start w:w="80" w:type="dxa"/>
              <w:bottom w:w="80" w:type="dxa"/>
              <w:end w:w="80" w:type="dxa"/>
            </w:tcMar>
            <w:vAlign w:val="center"/>
            <w:shd w:fill="F5F7F9"/>
          </w:tcPr>
          <w:p>
            <w:r>
              <w:rPr>
                <w:sz w:val="14"/>
              </w:rPr>
              <w:t>Growth-rate rankings can overstate tiny markets.</w:t>
            </w:r>
          </w:p>
        </w:tc>
        <w:tc>
          <w:tcPr>
            <w:tcW w:type="dxa" w:w="3312"/>
            <w:tcMar>
              <w:top w:w="80" w:type="dxa"/>
              <w:start w:w="80" w:type="dxa"/>
              <w:bottom w:w="80" w:type="dxa"/>
              <w:end w:w="80" w:type="dxa"/>
            </w:tcMar>
            <w:vAlign w:val="center"/>
            <w:shd w:fill="F5F7F9"/>
          </w:tcPr>
          <w:p>
            <w:r>
              <w:rPr>
                <w:sz w:val="14"/>
              </w:rPr>
              <w:t>Retain minimum-size guardrails and pair rates with absolute change.</w:t>
            </w:r>
          </w:p>
        </w:tc>
      </w:tr>
      <w:tr>
        <w:tc>
          <w:tcPr>
            <w:tcW w:type="dxa" w:w="1152"/>
            <w:tcMar>
              <w:top w:w="80" w:type="dxa"/>
              <w:start w:w="80" w:type="dxa"/>
              <w:bottom w:w="80" w:type="dxa"/>
              <w:end w:w="80" w:type="dxa"/>
            </w:tcMar>
            <w:vAlign w:val="center"/>
          </w:tcPr>
          <w:p>
            <w:r>
              <w:rPr>
                <w:sz w:val="14"/>
              </w:rPr>
              <w:t>Moderate</w:t>
            </w:r>
          </w:p>
        </w:tc>
        <w:tc>
          <w:tcPr>
            <w:tcW w:type="dxa" w:w="2304"/>
            <w:tcMar>
              <w:top w:w="80" w:type="dxa"/>
              <w:start w:w="80" w:type="dxa"/>
              <w:bottom w:w="80" w:type="dxa"/>
              <w:end w:w="80" w:type="dxa"/>
            </w:tcMar>
            <w:vAlign w:val="center"/>
          </w:tcPr>
          <w:p>
            <w:r>
              <w:rPr>
                <w:sz w:val="14"/>
              </w:rPr>
              <w:t>Percentile-score relativity</w:t>
            </w:r>
          </w:p>
        </w:tc>
        <w:tc>
          <w:tcPr>
            <w:tcW w:type="dxa" w:w="3744"/>
            <w:tcMar>
              <w:top w:w="80" w:type="dxa"/>
              <w:start w:w="80" w:type="dxa"/>
              <w:bottom w:w="80" w:type="dxa"/>
              <w:end w:w="80" w:type="dxa"/>
            </w:tcMar>
            <w:vAlign w:val="center"/>
          </w:tcPr>
          <w:p>
            <w:r>
              <w:rPr>
                <w:sz w:val="14"/>
              </w:rPr>
              <w:t>A score of 95 does not mean 95% demand or 95% probability.</w:t>
            </w:r>
          </w:p>
        </w:tc>
        <w:tc>
          <w:tcPr>
            <w:tcW w:type="dxa" w:w="3312"/>
            <w:tcMar>
              <w:top w:w="80" w:type="dxa"/>
              <w:start w:w="80" w:type="dxa"/>
              <w:bottom w:w="80" w:type="dxa"/>
              <w:end w:w="80" w:type="dxa"/>
            </w:tcMar>
            <w:vAlign w:val="center"/>
          </w:tcPr>
          <w:p>
            <w:r>
              <w:rPr>
                <w:sz w:val="14"/>
              </w:rPr>
              <w:t>Label clearly as relative percentile-based Opportunity Potential.</w:t>
            </w:r>
          </w:p>
        </w:tc>
      </w:tr>
      <w:tr>
        <w:tc>
          <w:tcPr>
            <w:tcW w:type="dxa" w:w="1152"/>
            <w:tcMar>
              <w:top w:w="80" w:type="dxa"/>
              <w:start w:w="80" w:type="dxa"/>
              <w:bottom w:w="80" w:type="dxa"/>
              <w:end w:w="80" w:type="dxa"/>
            </w:tcMar>
            <w:vAlign w:val="center"/>
            <w:shd w:fill="F5F7F9"/>
          </w:tcPr>
          <w:p>
            <w:r>
              <w:rPr>
                <w:sz w:val="14"/>
              </w:rPr>
              <w:t>Moderate</w:t>
            </w:r>
          </w:p>
        </w:tc>
        <w:tc>
          <w:tcPr>
            <w:tcW w:type="dxa" w:w="2304"/>
            <w:tcMar>
              <w:top w:w="80" w:type="dxa"/>
              <w:start w:w="80" w:type="dxa"/>
              <w:bottom w:w="80" w:type="dxa"/>
              <w:end w:w="80" w:type="dxa"/>
            </w:tcMar>
            <w:vAlign w:val="center"/>
            <w:shd w:fill="F5F7F9"/>
          </w:tcPr>
          <w:p>
            <w:r>
              <w:rPr>
                <w:sz w:val="14"/>
              </w:rPr>
              <w:t>Equal-weight assumption</w:t>
            </w:r>
          </w:p>
        </w:tc>
        <w:tc>
          <w:tcPr>
            <w:tcW w:type="dxa" w:w="3744"/>
            <w:tcMar>
              <w:top w:w="80" w:type="dxa"/>
              <w:start w:w="80" w:type="dxa"/>
              <w:bottom w:w="80" w:type="dxa"/>
              <w:end w:w="80" w:type="dxa"/>
            </w:tcMar>
            <w:vAlign w:val="center"/>
            <w:shd w:fill="F5F7F9"/>
          </w:tcPr>
          <w:p>
            <w:r>
              <w:rPr>
                <w:sz w:val="14"/>
              </w:rPr>
              <w:t>Balanced model is defensible but not uniquely 'correct'.</w:t>
            </w:r>
          </w:p>
        </w:tc>
        <w:tc>
          <w:tcPr>
            <w:tcW w:type="dxa" w:w="3312"/>
            <w:tcMar>
              <w:top w:w="80" w:type="dxa"/>
              <w:start w:w="80" w:type="dxa"/>
              <w:bottom w:w="80" w:type="dxa"/>
              <w:end w:w="80" w:type="dxa"/>
            </w:tcMar>
            <w:vAlign w:val="center"/>
            <w:shd w:fill="F5F7F9"/>
          </w:tcPr>
          <w:p>
            <w:r>
              <w:rPr>
                <w:sz w:val="14"/>
              </w:rPr>
              <w:t>Retain scenario analysis; calibrate weights only when outcome data exists.</w:t>
            </w:r>
          </w:p>
        </w:tc>
      </w:tr>
      <w:tr>
        <w:tc>
          <w:tcPr>
            <w:tcW w:type="dxa" w:w="1152"/>
            <w:tcMar>
              <w:top w:w="80" w:type="dxa"/>
              <w:start w:w="80" w:type="dxa"/>
              <w:bottom w:w="80" w:type="dxa"/>
              <w:end w:w="80" w:type="dxa"/>
            </w:tcMar>
            <w:vAlign w:val="center"/>
          </w:tcPr>
          <w:p>
            <w:r>
              <w:rPr>
                <w:sz w:val="14"/>
              </w:rPr>
              <w:t>Moderate</w:t>
            </w:r>
          </w:p>
        </w:tc>
        <w:tc>
          <w:tcPr>
            <w:tcW w:type="dxa" w:w="2304"/>
            <w:tcMar>
              <w:top w:w="80" w:type="dxa"/>
              <w:start w:w="80" w:type="dxa"/>
              <w:bottom w:w="80" w:type="dxa"/>
              <w:end w:w="80" w:type="dxa"/>
            </w:tcMar>
            <w:vAlign w:val="center"/>
          </w:tcPr>
          <w:p>
            <w:r>
              <w:rPr>
                <w:sz w:val="14"/>
              </w:rPr>
              <w:t>Case-study selection bias</w:t>
            </w:r>
          </w:p>
        </w:tc>
        <w:tc>
          <w:tcPr>
            <w:tcW w:type="dxa" w:w="3744"/>
            <w:tcMar>
              <w:top w:w="80" w:type="dxa"/>
              <w:start w:w="80" w:type="dxa"/>
              <w:bottom w:w="80" w:type="dxa"/>
              <w:end w:w="80" w:type="dxa"/>
            </w:tcMar>
            <w:vAlign w:val="center"/>
          </w:tcPr>
          <w:p>
            <w:r>
              <w:rPr>
                <w:sz w:val="14"/>
              </w:rPr>
              <w:t>External validation can overrepresent confirming cases.</w:t>
            </w:r>
          </w:p>
        </w:tc>
        <w:tc>
          <w:tcPr>
            <w:tcW w:type="dxa" w:w="3312"/>
            <w:tcMar>
              <w:top w:w="80" w:type="dxa"/>
              <w:start w:w="80" w:type="dxa"/>
              <w:bottom w:w="80" w:type="dxa"/>
              <w:end w:w="80" w:type="dxa"/>
            </w:tcMar>
            <w:vAlign w:val="center"/>
          </w:tcPr>
          <w:p>
            <w:r>
              <w:rPr>
                <w:sz w:val="14"/>
              </w:rPr>
              <w:t>Test lower-ranked and contradictory cases in future validation.</w:t>
            </w:r>
          </w:p>
        </w:tc>
      </w:tr>
      <w:tr>
        <w:tc>
          <w:tcPr>
            <w:tcW w:type="dxa" w:w="1152"/>
            <w:tcMar>
              <w:top w:w="80" w:type="dxa"/>
              <w:start w:w="80" w:type="dxa"/>
              <w:bottom w:w="80" w:type="dxa"/>
              <w:end w:w="80" w:type="dxa"/>
            </w:tcMar>
            <w:vAlign w:val="center"/>
            <w:shd w:fill="F5F7F9"/>
          </w:tcPr>
          <w:p>
            <w:r>
              <w:rPr>
                <w:sz w:val="14"/>
              </w:rPr>
              <w:t>High</w:t>
            </w:r>
          </w:p>
        </w:tc>
        <w:tc>
          <w:tcPr>
            <w:tcW w:type="dxa" w:w="2304"/>
            <w:tcMar>
              <w:top w:w="80" w:type="dxa"/>
              <w:start w:w="80" w:type="dxa"/>
              <w:bottom w:w="80" w:type="dxa"/>
              <w:end w:w="80" w:type="dxa"/>
            </w:tcMar>
            <w:vAlign w:val="center"/>
            <w:shd w:fill="F5F7F9"/>
          </w:tcPr>
          <w:p>
            <w:r>
              <w:rPr>
                <w:sz w:val="14"/>
              </w:rPr>
              <w:t>Infrastructure evidence inconsistency</w:t>
            </w:r>
          </w:p>
        </w:tc>
        <w:tc>
          <w:tcPr>
            <w:tcW w:type="dxa" w:w="3744"/>
            <w:tcMar>
              <w:top w:w="80" w:type="dxa"/>
              <w:start w:w="80" w:type="dxa"/>
              <w:bottom w:w="80" w:type="dxa"/>
              <w:end w:w="80" w:type="dxa"/>
            </w:tcMar>
            <w:vAlign w:val="center"/>
            <w:shd w:fill="F5F7F9"/>
          </w:tcPr>
          <w:p>
            <w:r>
              <w:rPr>
                <w:sz w:val="14"/>
              </w:rPr>
              <w:t>Qualitative readiness comparisons are not nationally standardised.</w:t>
            </w:r>
          </w:p>
        </w:tc>
        <w:tc>
          <w:tcPr>
            <w:tcW w:type="dxa" w:w="3312"/>
            <w:tcMar>
              <w:top w:w="80" w:type="dxa"/>
              <w:start w:w="80" w:type="dxa"/>
              <w:bottom w:w="80" w:type="dxa"/>
              <w:end w:w="80" w:type="dxa"/>
            </w:tcMar>
            <w:vAlign w:val="center"/>
            <w:shd w:fill="F5F7F9"/>
          </w:tcPr>
          <w:p>
            <w:r>
              <w:rPr>
                <w:sz w:val="14"/>
              </w:rPr>
              <w:t>Create consistent national facility schema and data-sharing process.</w:t>
            </w:r>
          </w:p>
        </w:tc>
      </w:tr>
      <w:tr>
        <w:tc>
          <w:tcPr>
            <w:tcW w:type="dxa" w:w="1152"/>
            <w:tcMar>
              <w:top w:w="80" w:type="dxa"/>
              <w:start w:w="80" w:type="dxa"/>
              <w:bottom w:w="80" w:type="dxa"/>
              <w:end w:w="80" w:type="dxa"/>
            </w:tcMar>
            <w:vAlign w:val="center"/>
          </w:tcPr>
          <w:p>
            <w:r>
              <w:rPr>
                <w:sz w:val="14"/>
              </w:rPr>
              <w:t>Critical</w:t>
            </w:r>
          </w:p>
        </w:tc>
        <w:tc>
          <w:tcPr>
            <w:tcW w:type="dxa" w:w="2304"/>
            <w:tcMar>
              <w:top w:w="80" w:type="dxa"/>
              <w:start w:w="80" w:type="dxa"/>
              <w:bottom w:w="80" w:type="dxa"/>
              <w:end w:w="80" w:type="dxa"/>
            </w:tcMar>
            <w:vAlign w:val="center"/>
          </w:tcPr>
          <w:p>
            <w:r>
              <w:rPr>
                <w:sz w:val="14"/>
              </w:rPr>
              <w:t>Demand vs demographic opportunity</w:t>
            </w:r>
          </w:p>
        </w:tc>
        <w:tc>
          <w:tcPr>
            <w:tcW w:type="dxa" w:w="3744"/>
            <w:tcMar>
              <w:top w:w="80" w:type="dxa"/>
              <w:start w:w="80" w:type="dxa"/>
              <w:bottom w:w="80" w:type="dxa"/>
              <w:end w:w="80" w:type="dxa"/>
            </w:tcMar>
            <w:vAlign w:val="center"/>
          </w:tcPr>
          <w:p>
            <w:r>
              <w:rPr>
                <w:sz w:val="14"/>
              </w:rPr>
              <w:t>Risk of overclaiming 'untapped demand', especially for cultural groups.</w:t>
            </w:r>
          </w:p>
        </w:tc>
        <w:tc>
          <w:tcPr>
            <w:tcW w:type="dxa" w:w="3312"/>
            <w:tcMar>
              <w:top w:w="80" w:type="dxa"/>
              <w:start w:w="80" w:type="dxa"/>
              <w:bottom w:w="80" w:type="dxa"/>
              <w:end w:w="80" w:type="dxa"/>
            </w:tcMar>
            <w:vAlign w:val="center"/>
          </w:tcPr>
          <w:p>
            <w:r>
              <w:rPr>
                <w:sz w:val="14"/>
              </w:rPr>
              <w:t>Use direct behaviour/registration evidence and participant research.</w:t>
            </w:r>
          </w:p>
        </w:tc>
      </w:tr>
      <w:tr>
        <w:tc>
          <w:tcPr>
            <w:tcW w:type="dxa" w:w="1152"/>
            <w:tcMar>
              <w:top w:w="80" w:type="dxa"/>
              <w:start w:w="80" w:type="dxa"/>
              <w:bottom w:w="80" w:type="dxa"/>
              <w:end w:w="80" w:type="dxa"/>
            </w:tcMar>
            <w:vAlign w:val="center"/>
            <w:shd w:fill="F5F7F9"/>
          </w:tcPr>
          <w:p>
            <w:r>
              <w:rPr>
                <w:sz w:val="14"/>
              </w:rPr>
              <w:t>Critical</w:t>
            </w:r>
          </w:p>
        </w:tc>
        <w:tc>
          <w:tcPr>
            <w:tcW w:type="dxa" w:w="2304"/>
            <w:tcMar>
              <w:top w:w="80" w:type="dxa"/>
              <w:start w:w="80" w:type="dxa"/>
              <w:bottom w:w="80" w:type="dxa"/>
              <w:end w:w="80" w:type="dxa"/>
            </w:tcMar>
            <w:vAlign w:val="center"/>
            <w:shd w:fill="F5F7F9"/>
          </w:tcPr>
          <w:p>
            <w:r>
              <w:rPr>
                <w:sz w:val="14"/>
              </w:rPr>
              <w:t>Causal inference</w:t>
            </w:r>
          </w:p>
        </w:tc>
        <w:tc>
          <w:tcPr>
            <w:tcW w:type="dxa" w:w="3744"/>
            <w:tcMar>
              <w:top w:w="80" w:type="dxa"/>
              <w:start w:w="80" w:type="dxa"/>
              <w:bottom w:w="80" w:type="dxa"/>
              <w:end w:w="80" w:type="dxa"/>
            </w:tcMar>
            <w:vAlign w:val="center"/>
            <w:shd w:fill="F5F7F9"/>
          </w:tcPr>
          <w:p>
            <w:r>
              <w:rPr>
                <w:sz w:val="14"/>
              </w:rPr>
              <w:t>Cannot claim demographic growth causes cricket participation growth.</w:t>
            </w:r>
          </w:p>
        </w:tc>
        <w:tc>
          <w:tcPr>
            <w:tcW w:type="dxa" w:w="3312"/>
            <w:tcMar>
              <w:top w:w="80" w:type="dxa"/>
              <w:start w:w="80" w:type="dxa"/>
              <w:bottom w:w="80" w:type="dxa"/>
              <w:end w:w="80" w:type="dxa"/>
            </w:tcMar>
            <w:vAlign w:val="center"/>
            <w:shd w:fill="F5F7F9"/>
          </w:tcPr>
          <w:p>
            <w:r>
              <w:rPr>
                <w:sz w:val="14"/>
              </w:rPr>
              <w:t>Use experimental/quasi-experimental program evaluation for causal claims.</w:t>
            </w:r>
          </w:p>
        </w:tc>
      </w:tr>
      <w:tr>
        <w:tc>
          <w:tcPr>
            <w:tcW w:type="dxa" w:w="1152"/>
            <w:tcMar>
              <w:top w:w="80" w:type="dxa"/>
              <w:start w:w="80" w:type="dxa"/>
              <w:bottom w:w="80" w:type="dxa"/>
              <w:end w:w="80" w:type="dxa"/>
            </w:tcMar>
            <w:vAlign w:val="center"/>
          </w:tcPr>
          <w:p>
            <w:r>
              <w:rPr>
                <w:sz w:val="14"/>
              </w:rPr>
              <w:t>Moderate</w:t>
            </w:r>
          </w:p>
        </w:tc>
        <w:tc>
          <w:tcPr>
            <w:tcW w:type="dxa" w:w="2304"/>
            <w:tcMar>
              <w:top w:w="80" w:type="dxa"/>
              <w:start w:w="80" w:type="dxa"/>
              <w:bottom w:w="80" w:type="dxa"/>
              <w:end w:w="80" w:type="dxa"/>
            </w:tcMar>
            <w:vAlign w:val="center"/>
          </w:tcPr>
          <w:p>
            <w:r>
              <w:rPr>
                <w:sz w:val="14"/>
              </w:rPr>
              <w:t>Pandemic-period effects</w:t>
            </w:r>
          </w:p>
        </w:tc>
        <w:tc>
          <w:tcPr>
            <w:tcW w:type="dxa" w:w="3744"/>
            <w:tcMar>
              <w:top w:w="80" w:type="dxa"/>
              <w:start w:w="80" w:type="dxa"/>
              <w:bottom w:w="80" w:type="dxa"/>
              <w:end w:w="80" w:type="dxa"/>
            </w:tcMar>
            <w:vAlign w:val="center"/>
          </w:tcPr>
          <w:p>
            <w:r>
              <w:rPr>
                <w:sz w:val="14"/>
              </w:rPr>
              <w:t>Some five-year changes may reflect unusual demographic movements.</w:t>
            </w:r>
          </w:p>
        </w:tc>
        <w:tc>
          <w:tcPr>
            <w:tcW w:type="dxa" w:w="3312"/>
            <w:tcMar>
              <w:top w:w="80" w:type="dxa"/>
              <w:start w:w="80" w:type="dxa"/>
              <w:bottom w:w="80" w:type="dxa"/>
              <w:end w:w="80" w:type="dxa"/>
            </w:tcMar>
            <w:vAlign w:val="center"/>
          </w:tcPr>
          <w:p>
            <w:r>
              <w:rPr>
                <w:sz w:val="14"/>
              </w:rPr>
              <w:t>Compare multiple windows when later releases allow.</w:t>
            </w:r>
          </w:p>
        </w:tc>
      </w:tr>
      <w:tr>
        <w:tc>
          <w:tcPr>
            <w:tcW w:type="dxa" w:w="1152"/>
            <w:tcMar>
              <w:top w:w="80" w:type="dxa"/>
              <w:start w:w="80" w:type="dxa"/>
              <w:bottom w:w="80" w:type="dxa"/>
              <w:end w:w="80" w:type="dxa"/>
            </w:tcMar>
            <w:vAlign w:val="center"/>
            <w:shd w:fill="F5F7F9"/>
          </w:tcPr>
          <w:p>
            <w:r>
              <w:rPr>
                <w:sz w:val="14"/>
              </w:rPr>
              <w:t>Moderate</w:t>
            </w:r>
          </w:p>
        </w:tc>
        <w:tc>
          <w:tcPr>
            <w:tcW w:type="dxa" w:w="2304"/>
            <w:tcMar>
              <w:top w:w="80" w:type="dxa"/>
              <w:start w:w="80" w:type="dxa"/>
              <w:bottom w:w="80" w:type="dxa"/>
              <w:end w:w="80" w:type="dxa"/>
            </w:tcMar>
            <w:vAlign w:val="center"/>
            <w:shd w:fill="F5F7F9"/>
          </w:tcPr>
          <w:p>
            <w:r>
              <w:rPr>
                <w:sz w:val="14"/>
              </w:rPr>
              <w:t>Unincorporated/remote coverage</w:t>
            </w:r>
          </w:p>
        </w:tc>
        <w:tc>
          <w:tcPr>
            <w:tcW w:type="dxa" w:w="3744"/>
            <w:tcMar>
              <w:top w:w="80" w:type="dxa"/>
              <w:start w:w="80" w:type="dxa"/>
              <w:bottom w:w="80" w:type="dxa"/>
              <w:end w:w="80" w:type="dxa"/>
            </w:tcMar>
            <w:vAlign w:val="center"/>
            <w:shd w:fill="F5F7F9"/>
          </w:tcPr>
          <w:p>
            <w:r>
              <w:rPr>
                <w:sz w:val="14"/>
              </w:rPr>
              <w:t>Model is not a complete remote-community prioritisation framework.</w:t>
            </w:r>
          </w:p>
        </w:tc>
        <w:tc>
          <w:tcPr>
            <w:tcW w:type="dxa" w:w="3312"/>
            <w:tcMar>
              <w:top w:w="80" w:type="dxa"/>
              <w:start w:w="80" w:type="dxa"/>
              <w:bottom w:w="80" w:type="dxa"/>
              <w:end w:w="80" w:type="dxa"/>
            </w:tcMar>
            <w:vAlign w:val="center"/>
            <w:shd w:fill="F5F7F9"/>
          </w:tcPr>
          <w:p>
            <w:r>
              <w:rPr>
                <w:sz w:val="14"/>
              </w:rPr>
              <w:t>Create separate remote/First Nations/community-specific approach rather than forcing national LGA ranking.</w:t>
            </w:r>
          </w:p>
        </w:tc>
      </w:tr>
    </w:tbl>
    <w:p>
      <w:pPr>
        <w:spacing w:after="40"/>
      </w:pPr>
    </w:p>
    <w:p>
      <w:pPr>
        <w:pStyle w:val="Heading1"/>
      </w:pPr>
      <w:r>
        <w:t>Appendix D. Selected Sources</w:t>
      </w:r>
    </w:p>
    <w:p>
      <w:pPr>
        <w:spacing w:after="60"/>
      </w:pPr>
      <w:r>
        <w:rPr>
          <w:b/>
        </w:rPr>
        <w:t xml:space="preserve">Cricket Australia. </w:t>
      </w:r>
      <w:r>
        <w:t xml:space="preserve">Australian Cricket Strategy 2022-2027 / Governing the Game. </w:t>
      </w:r>
      <w:r>
        <w:rPr>
          <w:color w:val="1F6F78"/>
          <w:sz w:val="17"/>
        </w:rPr>
        <w:t>https://www.cricket.com.au/governing-the-game/ca-strategy</w:t>
      </w:r>
    </w:p>
    <w:p>
      <w:pPr>
        <w:spacing w:after="60"/>
      </w:pPr>
      <w:r>
        <w:rPr>
          <w:b/>
        </w:rPr>
        <w:t xml:space="preserve">Cricket Australia. </w:t>
      </w:r>
      <w:r>
        <w:t xml:space="preserve">Women and Girls Action Plan 2024-2034. </w:t>
      </w:r>
      <w:r>
        <w:rPr>
          <w:color w:val="1F6F78"/>
          <w:sz w:val="17"/>
        </w:rPr>
        <w:t>https://www.cricket.com.au/social-impact-and-sustainability/women-and-girls</w:t>
      </w:r>
    </w:p>
    <w:p>
      <w:pPr>
        <w:spacing w:after="60"/>
      </w:pPr>
      <w:r>
        <w:rPr>
          <w:b/>
        </w:rPr>
        <w:t xml:space="preserve">Cricket Australia. </w:t>
      </w:r>
      <w:r>
        <w:t xml:space="preserve">Multicultural Action Plan / Diversity and Inclusion. </w:t>
      </w:r>
      <w:r>
        <w:rPr>
          <w:color w:val="1F6F78"/>
          <w:sz w:val="17"/>
        </w:rPr>
        <w:t>https://www.cricket.com.au/social-impact-and-sustainability/diversity-and-inclusion/multicultural</w:t>
      </w:r>
    </w:p>
    <w:p>
      <w:pPr>
        <w:spacing w:after="60"/>
      </w:pPr>
      <w:r>
        <w:rPr>
          <w:b/>
        </w:rPr>
        <w:t xml:space="preserve">Australian Bureau of Statistics. </w:t>
      </w:r>
      <w:r>
        <w:t xml:space="preserve">Regional Population, 2024-25. </w:t>
      </w:r>
      <w:r>
        <w:rPr>
          <w:color w:val="1F6F78"/>
          <w:sz w:val="17"/>
        </w:rPr>
        <w:t>https://www.abs.gov.au/statistics/people/population/regional-population/latest-release</w:t>
      </w:r>
    </w:p>
    <w:p>
      <w:pPr>
        <w:spacing w:after="60"/>
      </w:pPr>
      <w:r>
        <w:rPr>
          <w:b/>
        </w:rPr>
        <w:t xml:space="preserve">Australian Bureau of Statistics. </w:t>
      </w:r>
      <w:r>
        <w:t xml:space="preserve">Regional Population by Age and Sex. </w:t>
      </w:r>
      <w:r>
        <w:rPr>
          <w:color w:val="1F6F78"/>
          <w:sz w:val="17"/>
        </w:rPr>
        <w:t>https://www.abs.gov.au/statistics/people/population/regional-population-age-and-sex/latest-release</w:t>
      </w:r>
    </w:p>
    <w:p>
      <w:pPr>
        <w:spacing w:after="60"/>
      </w:pPr>
      <w:r>
        <w:rPr>
          <w:b/>
        </w:rPr>
        <w:t xml:space="preserve">Australian Bureau of Statistics. </w:t>
      </w:r>
      <w:r>
        <w:t xml:space="preserve">Socio-Economic Indexes for Areas (SEIFA), 2021. </w:t>
      </w:r>
      <w:r>
        <w:rPr>
          <w:color w:val="1F6F78"/>
          <w:sz w:val="17"/>
        </w:rPr>
        <w:t>https://www.abs.gov.au/statistics/people/people-and-communities/socio-economic-indexes-areas-seifa-australia/latest-release</w:t>
      </w:r>
    </w:p>
    <w:p>
      <w:pPr>
        <w:spacing w:after="60"/>
      </w:pPr>
      <w:r>
        <w:rPr>
          <w:b/>
        </w:rPr>
        <w:t xml:space="preserve">Australian Sports Commission. </w:t>
      </w:r>
      <w:r>
        <w:t xml:space="preserve">AusPlay results and data tables. </w:t>
      </w:r>
      <w:r>
        <w:rPr>
          <w:color w:val="1F6F78"/>
          <w:sz w:val="17"/>
        </w:rPr>
        <w:t>https://www.ausport.gov.au/clearinghouse/research/ausplay/results</w:t>
      </w:r>
    </w:p>
    <w:p>
      <w:pPr>
        <w:spacing w:after="60"/>
      </w:pPr>
      <w:r>
        <w:rPr>
          <w:b/>
        </w:rPr>
        <w:t xml:space="preserve">Cricket Australia. </w:t>
      </w:r>
      <w:r>
        <w:t xml:space="preserve">2022-23 Australian Cricket Census. </w:t>
      </w:r>
      <w:r>
        <w:rPr>
          <w:color w:val="1F6F78"/>
          <w:sz w:val="17"/>
        </w:rPr>
        <w:t>https://www.cricket.com.au/news/3646243/cricket-census-reveals-cricket-participation-continues-to-grow</w:t>
      </w:r>
    </w:p>
    <w:p>
      <w:pPr>
        <w:spacing w:after="60"/>
      </w:pPr>
      <w:r>
        <w:rPr>
          <w:b/>
        </w:rPr>
        <w:t xml:space="preserve">Cricket Victoria. </w:t>
      </w:r>
      <w:r>
        <w:t xml:space="preserve">Wyndham cricket participation +8% YoY; women/girls +18%. </w:t>
      </w:r>
      <w:r>
        <w:rPr>
          <w:color w:val="1F6F78"/>
          <w:sz w:val="17"/>
        </w:rPr>
        <w:t>https://www.cricketvictoria.com.au/news/news/cricket-victoria-welcomes-new-state-government-investment-in-community-access-to-school-sporting-grounds/</w:t>
      </w:r>
    </w:p>
    <w:p>
      <w:pPr>
        <w:spacing w:after="60"/>
      </w:pPr>
      <w:r>
        <w:rPr>
          <w:b/>
        </w:rPr>
        <w:t xml:space="preserve">Wyndham City. </w:t>
      </w:r>
      <w:r>
        <w:t xml:space="preserve">Lighting at Truganina/Tarneit to increase carrying capacity. </w:t>
      </w:r>
      <w:r>
        <w:rPr>
          <w:color w:val="1F6F78"/>
          <w:sz w:val="17"/>
        </w:rPr>
        <w:t>https://www.wyndham.vic.gov.au/sites/default/files/2025-07/Quarterly%20Community%20Report%20-%20Quarter%201%20%28Jul%20Aug%20Sept%29%202024.25.pdf</w:t>
      </w:r>
    </w:p>
    <w:p>
      <w:pPr>
        <w:spacing w:after="60"/>
      </w:pPr>
      <w:r>
        <w:rPr>
          <w:b/>
        </w:rPr>
        <w:t xml:space="preserve">Blacktown City Council. </w:t>
      </w:r>
      <w:r>
        <w:t xml:space="preserve">Year-round cricket requests cannot be met due to field shortage. </w:t>
      </w:r>
      <w:r>
        <w:rPr>
          <w:color w:val="1F6F78"/>
          <w:sz w:val="17"/>
        </w:rPr>
        <w:t>https://www.blacktown.nsw.gov.au/News-Media/Infrastructure-must-be-priority-in-rezoning-Sydney%E2%80%99s-north-west</w:t>
      </w:r>
    </w:p>
    <w:p>
      <w:pPr>
        <w:spacing w:after="60"/>
      </w:pPr>
      <w:r>
        <w:rPr>
          <w:b/>
        </w:rPr>
        <w:t xml:space="preserve">Cricket NSW. </w:t>
      </w:r>
      <w:r>
        <w:t xml:space="preserve">Blacktown association won Junior Initiative award. </w:t>
      </w:r>
      <w:r>
        <w:rPr>
          <w:color w:val="1F6F78"/>
          <w:sz w:val="17"/>
        </w:rPr>
        <w:t>https://www.cricketnsw.com.au/news/4437876/202526-nsw-community-cricket-awards-announced</w:t>
      </w:r>
    </w:p>
    <w:p>
      <w:pPr>
        <w:spacing w:after="60"/>
      </w:pPr>
      <w:r>
        <w:rPr>
          <w:b/>
        </w:rPr>
        <w:t xml:space="preserve">Ipswich City Council. </w:t>
      </w:r>
      <w:r>
        <w:t xml:space="preserve">New South Ripley sports oval seeking cricket/AFL users. </w:t>
      </w:r>
      <w:r>
        <w:rPr>
          <w:color w:val="1F6F78"/>
          <w:sz w:val="17"/>
        </w:rPr>
        <w:t>https://www.ipswich.qld.gov.au/News-Articles-Folder/2026/Brand-new-South-Ripley-sports-oval-looks-for-clubs-to-call-it-home</w:t>
      </w:r>
    </w:p>
    <w:p>
      <w:pPr>
        <w:spacing w:after="60"/>
      </w:pPr>
      <w:r>
        <w:rPr>
          <w:b/>
        </w:rPr>
        <w:t xml:space="preserve">Queensland Cricket. </w:t>
      </w:r>
      <w:r>
        <w:t xml:space="preserve">Strollers &gt;110 juniors/Blasters; new Springfield grounds. </w:t>
      </w:r>
      <w:r>
        <w:rPr>
          <w:color w:val="1F6F78"/>
          <w:sz w:val="17"/>
        </w:rPr>
        <w:t>https://www.qldcricket.com.au/news/3943341/south-east-queensland-volunteer-of-the-year</w:t>
      </w:r>
    </w:p>
    <w:p>
      <w:pPr>
        <w:spacing w:after="60"/>
      </w:pPr>
      <w:r>
        <w:rPr>
          <w:b/>
        </w:rPr>
        <w:t xml:space="preserve">WA Cricket. </w:t>
      </w:r>
      <w:r>
        <w:t xml:space="preserve">Gwynne Park Pavilion upgrade incl. four all-gender changerooms. </w:t>
      </w:r>
      <w:r>
        <w:rPr>
          <w:color w:val="1F6F78"/>
          <w:sz w:val="17"/>
        </w:rPr>
        <w:t>https://www.wacricket.com.au/news/3790282/infrastructure-upgrades-providing-equal-facilities-for-all</w:t>
      </w:r>
    </w:p>
    <w:p>
      <w:pPr>
        <w:spacing w:after="60"/>
      </w:pPr>
      <w:r>
        <w:rPr>
          <w:b/>
        </w:rPr>
        <w:t xml:space="preserve">City of Armadale. </w:t>
      </w:r>
      <w:r>
        <w:t xml:space="preserve">Gwynne Park largest recreation reserve / master-plan context. </w:t>
      </w:r>
      <w:r>
        <w:rPr>
          <w:color w:val="1F6F78"/>
          <w:sz w:val="17"/>
        </w:rPr>
        <w:t>https://my.armadale.wa.gov.au/service/master-plans</w:t>
      </w:r>
    </w:p>
    <w:p>
      <w:pPr>
        <w:spacing w:after="60"/>
      </w:pPr>
      <w:r>
        <w:rPr>
          <w:b/>
        </w:rPr>
        <w:t xml:space="preserve">Maitland City Council. </w:t>
      </w:r>
      <w:r>
        <w:t xml:space="preserve">$10m Chisholm sportsground incl. turf cricket wicket. </w:t>
      </w:r>
      <w:r>
        <w:rPr>
          <w:color w:val="1F6F78"/>
          <w:sz w:val="17"/>
        </w:rPr>
        <w:t>https://www.maitland.nsw.gov.au/news/breaking-ground-work-underway-on-chisholms-first-sportsground</w:t>
      </w:r>
    </w:p>
    <w:p>
      <w:pPr>
        <w:spacing w:after="60"/>
      </w:pPr>
      <w:r>
        <w:rPr>
          <w:b/>
        </w:rPr>
        <w:t xml:space="preserve">Cricket NSW. </w:t>
      </w:r>
      <w:r>
        <w:t xml:space="preserve">All-girls 7–14 winter cricket clinic in Maitland. </w:t>
      </w:r>
      <w:r>
        <w:rPr>
          <w:color w:val="1F6F78"/>
          <w:sz w:val="17"/>
        </w:rPr>
        <w:t>https://www.cricketnsw.com.au/news/4278574/winter-cricket-programs-surge-across-nsw</w:t>
      </w:r>
    </w:p>
    <w:p>
      <w:pPr>
        <w:spacing w:before="360"/>
        <w:jc w:val="center"/>
      </w:pPr>
      <w:r>
        <w:rPr>
          <w:i/>
          <w:color w:val="787878"/>
        </w:rPr>
        <w:t>End of report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Public-data decision-support prototype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Community Cricket Opportunity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6F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color w:val="505F6E"/>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Are Australia's Next Community Cricketers?</dc:title>
  <dc:subject>Community cricket participation opportunity analysis</dc:subject>
  <dc:creator>Md Musa</dc:creator>
  <cp:keywords>cricket, participation, data analytics, Australia, community cricket, Power BI</cp:keywords>
  <dc:description>generated by python-docx</dc:description>
  <cp:lastModifiedBy/>
  <cp:revision>1</cp:revision>
  <dcterms:created xsi:type="dcterms:W3CDTF">2013-12-23T23:15:00Z</dcterms:created>
  <dcterms:modified xsi:type="dcterms:W3CDTF">2013-12-23T23:15:00Z</dcterms:modified>
  <cp:category/>
</cp:coreProperties>
</file>