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562E"/>
          <w:sz w:val="40"/>
        </w:rPr>
        <w:t>CarbonIQ FinTech — GCF Readiness Gap Analysis</w:t>
      </w:r>
    </w:p>
    <w:p>
      <w:r>
        <w:rPr>
          <w:i/>
          <w:color w:val="444444"/>
          <w:sz w:val="20"/>
        </w:rPr>
        <w:t>Against DFCC Bank Post-Accreditation ToR (DAE Support Window)  ·  Mohamed Mushrif  ·  June 2026</w:t>
      </w:r>
    </w:p>
    <w:p>
      <w:pPr>
        <w:pBdr>
          <w:bottom w:val="single" w:sz="6" w:space="1" w:color="1a562e"/>
        </w:pBdr>
        <w:spacing w:after="80"/>
      </w:pPr>
    </w:p>
    <w:p>
      <w:pPr>
        <w:spacing w:before="200" w:after="40"/>
      </w:pPr>
      <w:r>
        <w:rPr>
          <w:b/>
          <w:color w:val="1A562E"/>
          <w:sz w:val="26"/>
        </w:rPr>
        <w:t>Executive Summary</w:t>
      </w:r>
    </w:p>
    <w:p>
      <w:pPr>
        <w:spacing w:after="80"/>
      </w:pPr>
      <w:r>
        <w:rPr>
          <w:sz w:val="20"/>
        </w:rPr>
        <w:t>This report provides an honest, feature-level assessment of whether CarbonIQ FinTech software can address the specific capacity gaps in the DFCC Bank GCF Readiness ToR.</w:t>
      </w:r>
    </w:p>
    <w:p>
      <w:pPr>
        <w:spacing w:after="80"/>
      </w:pPr>
      <w:r>
        <w:rPr>
          <w:sz w:val="20"/>
        </w:rPr>
        <w:t>The direct answer: The software strongly addresses 2 of the 7 policy gaps in Lot 1 (Sustainability Reporting and ESG/Carbon scoring) and all 3 climate investment pipeline gaps in Lot 2. It cannot replace human consulting on GRM, procurement, DE&amp;I, whistle-blowing, or CN/PPF writing. The software's role is as a digital infrastructure layer that operationalises DFCC's policy commitments — turning GCF framework requirements into live, auditable bank systems.</w:t>
      </w:r>
    </w:p>
    <w:p>
      <w:pPr>
        <w:pBdr>
          <w:bottom w:val="single" w:sz="6" w:space="1" w:color="1a562e"/>
        </w:pBdr>
        <w:spacing w:after="80"/>
      </w:pPr>
    </w:p>
    <w:p>
      <w:pPr>
        <w:spacing w:before="120" w:after="40"/>
      </w:pPr>
      <w:r>
        <w:rPr>
          <w:b/>
          <w:color w:val="1A562E"/>
          <w:sz w:val="36"/>
        </w:rPr>
        <w:t>Part 1: Lot 1 — Policy, Regulation &amp; Safeguards</w:t>
      </w:r>
    </w:p>
    <w:p>
      <w:pPr>
        <w:spacing w:before="200" w:after="40"/>
      </w:pPr>
      <w:r>
        <w:rPr>
          <w:b/>
          <w:color w:val="1A562E"/>
          <w:sz w:val="26"/>
        </w:rPr>
        <w:t>Gap 1.1 — Grievance Redress Mechanism (GRM)</w:t>
      </w:r>
    </w:p>
    <w:p>
      <w:pPr>
        <w:spacing w:before="160" w:after="40"/>
      </w:pPr>
      <w:r>
        <w:rPr>
          <w:b/>
          <w:color w:val="1A562E"/>
          <w:sz w:val="22"/>
        </w:rPr>
        <w:t>What GCF requires</w:t>
      </w:r>
    </w:p>
    <w:p>
      <w:pPr>
        <w:pStyle w:val="ListBullet"/>
        <w:spacing w:after="40"/>
      </w:pPr>
      <w:r>
        <w:rPr>
          <w:sz w:val="20"/>
        </w:rPr>
        <w:t>Dedicated GRM unit with public complaints registry</w:t>
      </w:r>
    </w:p>
    <w:p>
      <w:pPr>
        <w:pStyle w:val="ListBullet"/>
        <w:spacing w:after="40"/>
      </w:pPr>
      <w:r>
        <w:rPr>
          <w:sz w:val="20"/>
        </w:rPr>
        <w:t>System functionalities for handling, tracking, and transparency of complaints</w:t>
      </w:r>
    </w:p>
    <w:p>
      <w:pPr>
        <w:pStyle w:val="ListBullet"/>
        <w:spacing w:after="40"/>
      </w:pPr>
      <w:r>
        <w:rPr>
          <w:sz w:val="20"/>
        </w:rPr>
        <w:t>Independent verification of implementation</w:t>
      </w:r>
    </w:p>
    <w:p>
      <w:pPr>
        <w:spacing w:before="160" w:after="40"/>
      </w:pPr>
      <w:r>
        <w:rPr>
          <w:b/>
          <w:color w:val="1A562E"/>
          <w:sz w:val="22"/>
        </w:rPr>
        <w:t>Assessment</w:t>
      </w:r>
    </w:p>
    <w:p>
      <w:pPr>
        <w:spacing w:after="120"/>
      </w:pPr>
      <w:r>
        <w:rPr>
          <w:b/>
          <w:color w:val="C00000"/>
          <w:sz w:val="20"/>
        </w:rPr>
        <w:t xml:space="preserve">NO — Not the software's domain in current form. </w:t>
      </w:r>
      <w:r>
        <w:rPr>
          <w:sz w:val="20"/>
        </w:rPr>
      </w:r>
    </w:p>
    <w:p>
      <w:pPr>
        <w:spacing w:after="80"/>
      </w:pPr>
      <w:r>
        <w:rPr>
          <w:sz w:val="20"/>
        </w:rPr>
        <w:t>CarbonIQ is a carbon finance scoring engine, not a case management system. GRM requires complaint intake, case assignment/escalation workflows, resolution tracking, and a public registry with anonymisation — none of which exist today.</w:t>
      </w:r>
    </w:p>
    <w:p>
      <w:pPr>
        <w:spacing w:before="160" w:after="40"/>
      </w:pPr>
      <w:r>
        <w:rPr>
          <w:b/>
          <w:color w:val="1A562E"/>
          <w:sz w:val="22"/>
        </w:rPr>
        <w:t>What could be built (separate 3–4 month effort)</w:t>
      </w:r>
    </w:p>
    <w:p>
      <w:pPr>
        <w:pStyle w:val="ListBullet"/>
        <w:spacing w:after="40"/>
      </w:pPr>
      <w:r>
        <w:rPr>
          <w:sz w:val="20"/>
        </w:rPr>
        <w:t>GRM complaint registration API and case lifecycle tracking</w:t>
      </w:r>
    </w:p>
    <w:p>
      <w:pPr>
        <w:pStyle w:val="ListBullet"/>
        <w:spacing w:after="40"/>
      </w:pPr>
      <w:r>
        <w:rPr>
          <w:sz w:val="20"/>
        </w:rPr>
        <w:t>Firestore audit trail (the persistence architecture already exists)</w:t>
      </w:r>
    </w:p>
    <w:p>
      <w:pPr>
        <w:pStyle w:val="ListBullet"/>
        <w:spacing w:after="40"/>
      </w:pPr>
      <w:r>
        <w:rPr>
          <w:sz w:val="20"/>
        </w:rPr>
        <w:t>Public-facing complaints dashboard</w:t>
      </w:r>
    </w:p>
    <w:p>
      <w:pPr>
        <w:spacing w:after="80"/>
      </w:pPr>
      <w:r>
        <w:rPr>
          <w:sz w:val="20"/>
        </w:rPr>
        <w:t>IMPORTANT: Do not claim GRM capability without building this module. It is a separate product, not an extension of carbon finance logic.</w:t>
      </w:r>
    </w:p>
    <w:p>
      <w:pPr>
        <w:spacing w:before="200" w:after="40"/>
      </w:pPr>
      <w:r>
        <w:rPr>
          <w:b/>
          <w:color w:val="1A562E"/>
          <w:sz w:val="26"/>
        </w:rPr>
        <w:t>Gap 1.2 — Environmental &amp; Social Management System (ESMS)</w:t>
      </w:r>
    </w:p>
    <w:p>
      <w:pPr>
        <w:spacing w:before="160" w:after="40"/>
      </w:pPr>
      <w:r>
        <w:rPr>
          <w:b/>
          <w:color w:val="1A562E"/>
          <w:sz w:val="22"/>
        </w:rPr>
        <w:t>What GCF requires</w:t>
      </w:r>
    </w:p>
    <w:p>
      <w:pPr>
        <w:pStyle w:val="ListBullet"/>
        <w:spacing w:after="40"/>
      </w:pPr>
      <w:r>
        <w:rPr>
          <w:sz w:val="20"/>
        </w:rPr>
        <w:t>ESMS screening and categorisation (A/B/C or I-1/I-2/I-3 risk classification)</w:t>
      </w:r>
    </w:p>
    <w:p>
      <w:pPr>
        <w:pStyle w:val="ListBullet"/>
        <w:spacing w:after="40"/>
      </w:pPr>
      <w:r>
        <w:rPr>
          <w:sz w:val="20"/>
        </w:rPr>
        <w:t>Monitoring and reporting tools aligned with ADB/World Bank E&amp;S Standards</w:t>
      </w:r>
    </w:p>
    <w:p>
      <w:pPr>
        <w:pStyle w:val="ListBullet"/>
        <w:spacing w:after="40"/>
      </w:pPr>
      <w:r>
        <w:rPr>
          <w:sz w:val="20"/>
        </w:rPr>
        <w:t>Capacity across 6 DFCC departments, 25 staff</w:t>
      </w:r>
    </w:p>
    <w:p>
      <w:pPr>
        <w:spacing w:before="160" w:after="40"/>
      </w:pPr>
      <w:r>
        <w:rPr>
          <w:b/>
          <w:color w:val="1A562E"/>
          <w:sz w:val="22"/>
        </w:rPr>
        <w:t>Assessment</w:t>
      </w:r>
    </w:p>
    <w:p>
      <w:pPr>
        <w:spacing w:after="120"/>
      </w:pPr>
      <w:r>
        <w:rPr>
          <w:b/>
          <w:color w:val="C57B00"/>
          <w:sz w:val="20"/>
        </w:rPr>
        <w:t xml:space="preserve">PARTIAL FIT — with meaningful development. </w:t>
      </w:r>
      <w:r>
        <w:rPr>
          <w:sz w:val="20"/>
        </w:rPr>
      </w:r>
    </w:p>
    <w:p>
      <w:pPr>
        <w:spacing w:after="80"/>
      </w:pPr>
      <w:r>
        <w:rPr>
          <w:sz w:val="20"/>
        </w:rPr>
        <w:t>What already exists: project risk categorisation (CFS 0–100), multi-taxonomy alignment screening, PCAF data quality scoring (proxy for data rigour), audit logging on all assessments, and annual monitoring agent.</w:t>
      </w:r>
    </w:p>
    <w:p>
      <w:pPr>
        <w:spacing w:before="160" w:after="40"/>
      </w:pPr>
      <w:r>
        <w:rPr>
          <w:b/>
          <w:color w:val="1A562E"/>
          <w:sz w:val="22"/>
        </w:rPr>
        <w:t>What does NOT exist but is buildable (3–5 months)</w:t>
      </w:r>
    </w:p>
    <w:p>
      <w:pPr>
        <w:pStyle w:val="ListBullet"/>
        <w:spacing w:after="40"/>
      </w:pPr>
      <w:r>
        <w:rPr>
          <w:sz w:val="20"/>
        </w:rPr>
        <w:t>E&amp;S risk category classifier (A/B/C per GCF ESS) — requires project type, location, biodiversity exposure inputs</w:t>
      </w:r>
    </w:p>
    <w:p>
      <w:pPr>
        <w:pStyle w:val="ListBullet"/>
        <w:spacing w:after="40"/>
      </w:pPr>
      <w:r>
        <w:rPr>
          <w:sz w:val="20"/>
        </w:rPr>
        <w:t>ESMS screening checklist generator — structured questionnaire aligned to GCF Environmental and Social Policy</w:t>
      </w:r>
    </w:p>
    <w:p>
      <w:pPr>
        <w:pStyle w:val="ListBullet"/>
        <w:spacing w:after="40"/>
      </w:pPr>
      <w:r>
        <w:rPr>
          <w:sz w:val="20"/>
        </w:rPr>
        <w:t>E&amp;S monitoring report template — periodic reporting fields per GCF IRMF</w:t>
      </w:r>
    </w:p>
    <w:p>
      <w:pPr>
        <w:spacing w:after="120"/>
      </w:pPr>
      <w:r>
        <w:rPr>
          <w:b/>
          <w:color w:val="C00000"/>
          <w:sz w:val="20"/>
        </w:rPr>
        <w:t xml:space="preserve">CANNOT DO: </w:t>
      </w:r>
      <w:r>
        <w:rPr>
          <w:sz w:val="20"/>
        </w:rPr>
        <w:t>Replace the ESMS policy document, conduct site visits, or train staff. ~60% of this gap is buildable in the existing stack.</w:t>
      </w:r>
    </w:p>
    <w:p>
      <w:pPr>
        <w:spacing w:before="200" w:after="40"/>
      </w:pPr>
      <w:r>
        <w:rPr>
          <w:b/>
          <w:color w:val="1A562E"/>
          <w:sz w:val="26"/>
        </w:rPr>
        <w:t>Gap 1.3 — Procurement Policy &amp; Public Disclosure</w:t>
      </w:r>
    </w:p>
    <w:p>
      <w:pPr>
        <w:spacing w:after="120"/>
      </w:pPr>
      <w:r>
        <w:rPr>
          <w:b/>
          <w:color w:val="C00000"/>
          <w:sz w:val="20"/>
        </w:rPr>
        <w:t xml:space="preserve">NO. </w:t>
      </w:r>
      <w:r>
        <w:rPr>
          <w:sz w:val="20"/>
        </w:rPr>
        <w:t>Procurement management is entirely outside CarbonIQ's domain. This requires a separate procurement portal and institutional process change. Make no claim here.</w:t>
      </w:r>
    </w:p>
    <w:p>
      <w:pPr>
        <w:spacing w:before="200" w:after="40"/>
      </w:pPr>
      <w:r>
        <w:rPr>
          <w:b/>
          <w:color w:val="1A562E"/>
          <w:sz w:val="26"/>
        </w:rPr>
        <w:t>Gap 1.4 — Gender / DE&amp;I</w:t>
      </w:r>
    </w:p>
    <w:p>
      <w:pPr>
        <w:spacing w:after="120"/>
      </w:pPr>
      <w:r>
        <w:rPr>
          <w:b/>
          <w:color w:val="C00000"/>
          <w:sz w:val="20"/>
        </w:rPr>
        <w:t xml:space="preserve">NO — with one minor exception. </w:t>
      </w:r>
      <w:r>
        <w:rPr>
          <w:sz w:val="20"/>
        </w:rPr>
      </w:r>
    </w:p>
    <w:p>
      <w:pPr>
        <w:spacing w:after="80"/>
      </w:pPr>
      <w:r>
        <w:rPr>
          <w:sz w:val="20"/>
        </w:rPr>
        <w:t>The software has no gender integration logic. However, the reporting infrastructure could add gender-disaggregated fields to project records (borrower gender, women-led business flag, community gender profile) in 2–3 weeks — providing a data layer for GAP tracking. Do not lead with this; it is a marginal contribution.</w:t>
      </w:r>
    </w:p>
    <w:p>
      <w:pPr>
        <w:spacing w:before="200" w:after="40"/>
      </w:pPr>
      <w:r>
        <w:rPr>
          <w:b/>
          <w:color w:val="1A562E"/>
          <w:sz w:val="26"/>
        </w:rPr>
        <w:t>Gap 1.5 — ESG Policy Alignment</w:t>
      </w:r>
    </w:p>
    <w:p>
      <w:pPr>
        <w:spacing w:before="160" w:after="40"/>
      </w:pPr>
      <w:r>
        <w:rPr>
          <w:b/>
          <w:color w:val="1A562E"/>
          <w:sz w:val="22"/>
        </w:rPr>
        <w:t>Assessment</w:t>
      </w:r>
    </w:p>
    <w:p>
      <w:pPr>
        <w:spacing w:after="120"/>
      </w:pPr>
      <w:r>
        <w:rPr>
          <w:b/>
          <w:color w:val="1A562E"/>
          <w:sz w:val="20"/>
        </w:rPr>
        <w:t xml:space="preserve">YES — Strongest Lot 1 fit after Sustainability Reporting. </w:t>
      </w:r>
      <w:r>
        <w:rPr>
          <w:sz w:val="20"/>
        </w:rPr>
      </w:r>
    </w:p>
    <w:p>
      <w:pPr>
        <w:spacing w:before="160" w:after="40"/>
      </w:pPr>
      <w:r>
        <w:rPr>
          <w:b/>
          <w:color w:val="1A562E"/>
          <w:sz w:val="22"/>
        </w:rPr>
        <w:t>What already exists (production-ready)</w:t>
      </w:r>
    </w:p>
    <w:p>
      <w:pPr>
        <w:pStyle w:val="ListBullet"/>
        <w:spacing w:after="40"/>
      </w:pPr>
      <w:r>
        <w:rPr>
          <w:sz w:val="20"/>
        </w:rPr>
        <w:t>Carbon Finance Score (CFS 0–100) — environmental performance integrated into loan decisions</w:t>
      </w:r>
    </w:p>
    <w:p>
      <w:pPr>
        <w:pStyle w:val="ListBullet"/>
        <w:spacing w:after="40"/>
      </w:pPr>
      <w:r>
        <w:rPr>
          <w:sz w:val="20"/>
        </w:rPr>
        <w:t>Multi-taxonomy alignment — EU 2024, ASEAN v3, HK 2024 environmental eligibility screening</w:t>
      </w:r>
    </w:p>
    <w:p>
      <w:pPr>
        <w:pStyle w:val="ListBullet"/>
        <w:spacing w:after="40"/>
      </w:pPr>
      <w:r>
        <w:rPr>
          <w:sz w:val="20"/>
        </w:rPr>
        <w:t>SLL covenant design per LMA/APLMA GLP 2021 — governance layer</w:t>
      </w:r>
    </w:p>
    <w:p>
      <w:pPr>
        <w:pStyle w:val="ListBullet"/>
        <w:spacing w:after="40"/>
      </w:pPr>
      <w:r>
        <w:rPr>
          <w:sz w:val="20"/>
        </w:rPr>
        <w:t>PCAF data quality scoring — data rigour layer</w:t>
      </w:r>
    </w:p>
    <w:p>
      <w:pPr>
        <w:pStyle w:val="ListBullet"/>
        <w:spacing w:after="40"/>
      </w:pPr>
      <w:r>
        <w:rPr>
          <w:sz w:val="20"/>
        </w:rPr>
        <w:t>Underwriting agent with live carbon tax rates (MAS, EU ETS, MY, HK)</w:t>
      </w:r>
    </w:p>
    <w:p>
      <w:pPr>
        <w:spacing w:before="160" w:after="40"/>
      </w:pPr>
      <w:r>
        <w:rPr>
          <w:b/>
          <w:color w:val="1A562E"/>
          <w:sz w:val="22"/>
        </w:rPr>
        <w:t>What is missing for full ESG — Social &amp; Governance (2–3 months)</w:t>
      </w:r>
    </w:p>
    <w:p>
      <w:pPr>
        <w:pStyle w:val="ListBullet"/>
        <w:spacing w:after="40"/>
      </w:pPr>
      <w:r>
        <w:rPr>
          <w:sz w:val="20"/>
        </w:rPr>
        <w:t>Social risk indicator module — ILO core labour standards, community displacement flag, IP consultation trigger</w:t>
      </w:r>
    </w:p>
    <w:p>
      <w:pPr>
        <w:pStyle w:val="ListBullet"/>
        <w:spacing w:after="40"/>
      </w:pPr>
      <w:r>
        <w:rPr>
          <w:sz w:val="20"/>
        </w:rPr>
        <w:t>Governance flag layer — links DFCC's whistle-blowing and GRM status to project reviews</w:t>
      </w:r>
    </w:p>
    <w:p>
      <w:pPr>
        <w:spacing w:after="80"/>
      </w:pPr>
      <w:r>
        <w:rPr>
          <w:sz w:val="20"/>
        </w:rPr>
        <w:t>CarbonIQ already delivers the E in ESG with production-grade depth. S and G layers are buildable additions.</w:t>
      </w:r>
    </w:p>
    <w:p>
      <w:pPr>
        <w:spacing w:before="200" w:after="40"/>
      </w:pPr>
      <w:r>
        <w:rPr>
          <w:b/>
          <w:color w:val="1A562E"/>
          <w:sz w:val="26"/>
        </w:rPr>
        <w:t>Gap 1.6 — Whistle-Blowing Policy</w:t>
      </w:r>
    </w:p>
    <w:p>
      <w:pPr>
        <w:spacing w:after="120"/>
      </w:pPr>
      <w:r>
        <w:rPr>
          <w:b/>
          <w:color w:val="C00000"/>
          <w:sz w:val="20"/>
        </w:rPr>
        <w:t xml:space="preserve">NO. </w:t>
      </w:r>
      <w:r>
        <w:rPr>
          <w:sz w:val="20"/>
        </w:rPr>
        <w:t>Policy and HR domain. Software cannot contribute.</w:t>
      </w:r>
    </w:p>
    <w:p>
      <w:pPr>
        <w:spacing w:before="200" w:after="40"/>
      </w:pPr>
      <w:r>
        <w:rPr>
          <w:b/>
          <w:color w:val="1A562E"/>
          <w:sz w:val="26"/>
        </w:rPr>
        <w:t>Gap 1.7 — Sustainability Reporting &amp; Carbon Accounting</w:t>
      </w:r>
    </w:p>
    <w:p>
      <w:pPr>
        <w:spacing w:before="160" w:after="40"/>
      </w:pPr>
      <w:r>
        <w:rPr>
          <w:b/>
          <w:color w:val="1A562E"/>
          <w:sz w:val="22"/>
        </w:rPr>
        <w:t>Assessment</w:t>
      </w:r>
    </w:p>
    <w:p>
      <w:pPr>
        <w:spacing w:after="120"/>
      </w:pPr>
      <w:r>
        <w:rPr>
          <w:b/>
          <w:color w:val="1A562E"/>
          <w:sz w:val="20"/>
        </w:rPr>
        <w:t xml:space="preserve">YES — STRONGEST FIT IN THE ENTIRE TOR. Built and working. </w:t>
      </w:r>
      <w:r>
        <w:rPr>
          <w:sz w:val="20"/>
        </w:rPr>
      </w:r>
    </w:p>
    <w:p>
      <w:pPr>
        <w:spacing w:before="160" w:after="40"/>
      </w:pPr>
      <w:r>
        <w:rPr>
          <w:b/>
          <w:color w:val="1A562E"/>
          <w:sz w:val="22"/>
        </w:rPr>
        <w:t>What already exists in production</w:t>
      </w:r>
    </w:p>
    <w:p>
      <w:pPr>
        <w:pStyle w:val="ListBullet"/>
        <w:spacing w:after="40"/>
      </w:pPr>
      <w:r>
        <w:rPr>
          <w:sz w:val="20"/>
        </w:rPr>
        <w:t>PCAF v2.0 financed emissions — attribution factors, loan-to-value weighting, scope 1/2/3 boundary</w:t>
      </w:r>
    </w:p>
    <w:p>
      <w:pPr>
        <w:pStyle w:val="ListBullet"/>
        <w:spacing w:after="40"/>
      </w:pPr>
      <w:r>
        <w:rPr>
          <w:sz w:val="20"/>
        </w:rPr>
        <w:t>PCAF data quality scores 1–5 (exactly per PCAF v2.0 standard)</w:t>
      </w:r>
    </w:p>
    <w:p>
      <w:pPr>
        <w:pStyle w:val="ListBullet"/>
        <w:spacing w:after="40"/>
      </w:pPr>
      <w:r>
        <w:rPr>
          <w:sz w:val="20"/>
        </w:rPr>
        <w:t>Portfolio carbon risk aggregation — /v1/portfolio aggregates financed emissions across all DFCC assets</w:t>
      </w:r>
    </w:p>
    <w:p>
      <w:pPr>
        <w:pStyle w:val="ListBullet"/>
        <w:spacing w:after="40"/>
      </w:pPr>
      <w:r>
        <w:rPr>
          <w:sz w:val="20"/>
        </w:rPr>
        <w:t>Annual monitoring agent — tracks covenant compliance and carbon reduction year-on-year</w:t>
      </w:r>
    </w:p>
    <w:p>
      <w:pPr>
        <w:pStyle w:val="ListBullet"/>
        <w:spacing w:after="40"/>
      </w:pPr>
      <w:r>
        <w:rPr>
          <w:sz w:val="20"/>
        </w:rPr>
        <w:t>Full Firestore audit trail — every calculation timestamped, methodology documented, GCF-auditable</w:t>
      </w:r>
    </w:p>
    <w:p>
      <w:pPr>
        <w:pStyle w:val="ListBullet"/>
        <w:spacing w:after="40"/>
      </w:pPr>
      <w:r>
        <w:rPr>
          <w:sz w:val="20"/>
        </w:rPr>
        <w:t>PCAF-compliant structured output — /v1/projects/:id/pcaf</w:t>
      </w:r>
    </w:p>
    <w:p>
      <w:pPr>
        <w:spacing w:before="160" w:after="40"/>
      </w:pPr>
      <w:r>
        <w:rPr>
          <w:b/>
          <w:color w:val="1A562E"/>
          <w:sz w:val="22"/>
        </w:rPr>
        <w:t>Mapping to Sri Lanka's mandatory sustainability reporting (2025)</w:t>
      </w:r>
    </w:p>
    <w:p>
      <w:pPr>
        <w:spacing w:after="80"/>
      </w:pPr>
      <w:r>
        <w:rPr>
          <w:sz w:val="20"/>
        </w:rPr>
        <w:t>Sri Lanka follows GRI/ISSB-aligned frameworks. CarbonIQ covers Scope 3 Category 15 (financed emissions) — the hardest and most material disclosure for DFCC as a lending bank. This is what regulators and GCF will focus on first.</w:t>
      </w:r>
    </w:p>
    <w:p>
      <w:pPr>
        <w:spacing w:before="160" w:after="40"/>
      </w:pPr>
      <w:r>
        <w:rPr>
          <w:b/>
          <w:color w:val="1A562E"/>
          <w:sz w:val="22"/>
        </w:rPr>
        <w:t>What is missing (1–2 months)</w:t>
      </w:r>
    </w:p>
    <w:p>
      <w:pPr>
        <w:pStyle w:val="ListBullet"/>
        <w:spacing w:after="40"/>
      </w:pPr>
      <w:r>
        <w:rPr>
          <w:sz w:val="20"/>
        </w:rPr>
        <w:t>GRI 305-3 / ISSB IFRS S2 formatted output (currently PCAF format — needs mapping layer)</w:t>
      </w:r>
    </w:p>
    <w:p>
      <w:pPr>
        <w:pStyle w:val="ListBullet"/>
        <w:spacing w:after="40"/>
      </w:pPr>
      <w:r>
        <w:rPr>
          <w:sz w:val="20"/>
        </w:rPr>
        <w:t>Physical risk and transition risk flags per ISSB S2</w:t>
      </w:r>
    </w:p>
    <w:p>
      <w:pPr>
        <w:pStyle w:val="ListBullet"/>
        <w:spacing w:after="40"/>
      </w:pPr>
      <w:r>
        <w:rPr>
          <w:sz w:val="20"/>
        </w:rPr>
        <w:t>Annual report data export (CSV/PDF) for CBSL regulatory submission</w:t>
      </w:r>
    </w:p>
    <w:p>
      <w:pPr>
        <w:spacing w:after="120"/>
      </w:pPr>
      <w:r>
        <w:rPr>
          <w:b/>
          <w:color w:val="1A562E"/>
          <w:sz w:val="20"/>
        </w:rPr>
        <w:t xml:space="preserve">BOTTOM LINE: </w:t>
      </w:r>
      <w:r>
        <w:rPr>
          <w:sz w:val="20"/>
        </w:rPr>
        <w:t>Mohamed can demonstrate a live system that already calculates DFCC's financed emissions to PCAF v2.0 standard. No other aspect of this ToR has this level of existing capability.</w:t>
      </w:r>
    </w:p>
    <w:p>
      <w:pPr>
        <w:pBdr>
          <w:bottom w:val="single" w:sz="6" w:space="1" w:color="1a562e"/>
        </w:pBdr>
        <w:spacing w:after="80"/>
      </w:pPr>
    </w:p>
    <w:p>
      <w:pPr>
        <w:spacing w:before="120" w:after="40"/>
      </w:pPr>
      <w:r>
        <w:rPr>
          <w:b/>
          <w:color w:val="1A562E"/>
          <w:sz w:val="36"/>
        </w:rPr>
        <w:t>Part 2: Lot 2 — Climate Investment Design &amp; Implementation</w:t>
      </w:r>
    </w:p>
    <w:p>
      <w:pPr>
        <w:spacing w:before="200" w:after="40"/>
      </w:pPr>
      <w:r>
        <w:rPr>
          <w:b/>
          <w:color w:val="1A562E"/>
          <w:sz w:val="26"/>
        </w:rPr>
        <w:t>Gap 2.1 — Taxonomy-Driven Pipeline Screening</w:t>
      </w:r>
    </w:p>
    <w:p>
      <w:pPr>
        <w:spacing w:after="120"/>
      </w:pPr>
      <w:r>
        <w:rPr>
          <w:b/>
          <w:color w:val="1A562E"/>
          <w:sz w:val="20"/>
        </w:rPr>
        <w:t xml:space="preserve">YES — Direct fit. </w:t>
      </w:r>
      <w:r>
        <w:rPr>
          <w:sz w:val="20"/>
        </w:rPr>
      </w:r>
    </w:p>
    <w:p>
      <w:pPr>
        <w:spacing w:before="160" w:after="40"/>
      </w:pPr>
      <w:r>
        <w:rPr>
          <w:b/>
          <w:color w:val="1A562E"/>
          <w:sz w:val="22"/>
        </w:rPr>
        <w:t>What already exists</w:t>
      </w:r>
    </w:p>
    <w:p>
      <w:pPr>
        <w:pStyle w:val="ListBullet"/>
        <w:spacing w:after="40"/>
      </w:pPr>
      <w:r>
        <w:rPr>
          <w:sz w:val="20"/>
        </w:rPr>
        <w:t>Multi-taxonomy screening engine: EU (2024), ASEAN v3, HK (2024) — traffic-light classification</w:t>
      </w:r>
    </w:p>
    <w:p>
      <w:pPr>
        <w:pStyle w:val="ListBullet"/>
        <w:spacing w:after="40"/>
      </w:pPr>
      <w:r>
        <w:rPr>
          <w:sz w:val="20"/>
        </w:rPr>
        <w:t>Green (≤500 kgCO2e/m²) / Transition (≤800 kgCO2e/m²) / Non-eligible classification</w:t>
      </w:r>
    </w:p>
    <w:p>
      <w:pPr>
        <w:pStyle w:val="ListBullet"/>
        <w:spacing w:after="40"/>
      </w:pPr>
      <w:r>
        <w:rPr>
          <w:sz w:val="20"/>
        </w:rPr>
        <w:t>Structured taxonomy alignment report with eligibility rationale</w:t>
      </w:r>
    </w:p>
    <w:p>
      <w:pPr>
        <w:pStyle w:val="ListBullet"/>
        <w:spacing w:after="40"/>
      </w:pPr>
      <w:r>
        <w:rPr>
          <w:sz w:val="20"/>
        </w:rPr>
        <w:t>/v1/taxonomy endpoint — callable from DFCC's loan origination system via REST API</w:t>
      </w:r>
    </w:p>
    <w:p>
      <w:pPr>
        <w:spacing w:before="160" w:after="40"/>
      </w:pPr>
      <w:r>
        <w:rPr>
          <w:b/>
          <w:color w:val="1A562E"/>
          <w:sz w:val="22"/>
        </w:rPr>
        <w:t>What needs adding for Sri Lanka (4–6 weeks — configuration, not new architecture)</w:t>
      </w:r>
    </w:p>
    <w:p>
      <w:pPr>
        <w:pStyle w:val="ListBullet"/>
        <w:spacing w:after="40"/>
      </w:pPr>
      <w:r>
        <w:rPr>
          <w:sz w:val="20"/>
        </w:rPr>
        <w:t>Sri Lanka Sustainable Finance Taxonomy criteria (CBSL Banking Act Direction No. 5 of 2022)</w:t>
      </w:r>
    </w:p>
    <w:p>
      <w:pPr>
        <w:pStyle w:val="ListBullet"/>
        <w:spacing w:after="40"/>
      </w:pPr>
      <w:r>
        <w:rPr>
          <w:sz w:val="20"/>
        </w:rPr>
        <w:t>Priority sectors: renewable energy, green construction, sustainable transport, water management, sustainable agriculture</w:t>
      </w:r>
    </w:p>
    <w:p>
      <w:pPr>
        <w:pStyle w:val="ListBullet"/>
        <w:spacing w:after="40"/>
      </w:pPr>
      <w:r>
        <w:rPr>
          <w:sz w:val="20"/>
        </w:rPr>
        <w:t>CBSL reporting classification fields on all project records</w:t>
      </w:r>
    </w:p>
    <w:p>
      <w:pPr>
        <w:spacing w:after="120"/>
      </w:pPr>
      <w:r>
        <w:rPr>
          <w:b/>
          <w:color w:val="1A562E"/>
          <w:sz w:val="20"/>
        </w:rPr>
        <w:t xml:space="preserve">BOTTOM LINE: </w:t>
      </w:r>
      <w:r>
        <w:rPr>
          <w:sz w:val="20"/>
        </w:rPr>
        <w:t>Adding Sri Lanka's taxonomy is a coding task of 4–6 weeks. The engine is already built.</w:t>
      </w:r>
    </w:p>
    <w:p>
      <w:pPr>
        <w:spacing w:before="200" w:after="40"/>
      </w:pPr>
      <w:r>
        <w:rPr>
          <w:b/>
          <w:color w:val="1A562E"/>
          <w:sz w:val="26"/>
        </w:rPr>
        <w:t>Gap 2.2 — Climate Investment Pipeline Development</w:t>
      </w:r>
    </w:p>
    <w:p>
      <w:pPr>
        <w:spacing w:after="120"/>
      </w:pPr>
      <w:r>
        <w:rPr>
          <w:b/>
          <w:color w:val="1A562E"/>
          <w:sz w:val="20"/>
        </w:rPr>
        <w:t xml:space="preserve">SUBSTANTIAL FIT — core pipeline functions exist. </w:t>
      </w:r>
      <w:r>
        <w:rPr>
          <w:sz w:val="20"/>
        </w:rPr>
      </w:r>
    </w:p>
    <w:p>
      <w:pPr>
        <w:spacing w:before="160" w:after="40"/>
      </w:pPr>
      <w:r>
        <w:rPr>
          <w:b/>
          <w:color w:val="1A562E"/>
          <w:sz w:val="22"/>
        </w:rPr>
        <w:t>What already exists</w:t>
      </w:r>
    </w:p>
    <w:p>
      <w:pPr>
        <w:pStyle w:val="ListBullet"/>
        <w:spacing w:after="40"/>
      </w:pPr>
      <w:r>
        <w:rPr>
          <w:sz w:val="20"/>
        </w:rPr>
        <w:t>Origination agent — loan structuring with live carbon tax rates and green bond pricing</w:t>
      </w:r>
    </w:p>
    <w:p>
      <w:pPr>
        <w:pStyle w:val="ListBullet"/>
        <w:spacing w:after="40"/>
      </w:pPr>
      <w:r>
        <w:rPr>
          <w:sz w:val="20"/>
        </w:rPr>
        <w:t>Screening agent — rapid pre-qualification with preliminary carbon estimates</w:t>
      </w:r>
    </w:p>
    <w:p>
      <w:pPr>
        <w:pStyle w:val="ListBullet"/>
        <w:spacing w:after="40"/>
      </w:pPr>
      <w:r>
        <w:rPr>
          <w:sz w:val="20"/>
        </w:rPr>
        <w:t>Underwriting agent — investment-grade PCAF + taxonomy + covenant analysis</w:t>
      </w:r>
    </w:p>
    <w:p>
      <w:pPr>
        <w:pStyle w:val="ListBullet"/>
        <w:spacing w:after="40"/>
      </w:pPr>
      <w:r>
        <w:rPr>
          <w:sz w:val="20"/>
        </w:rPr>
        <w:t>Borrower coaching agent — raises application completeness by 32% (validated)</w:t>
      </w:r>
    </w:p>
    <w:p>
      <w:pPr>
        <w:pStyle w:val="ListBullet"/>
        <w:spacing w:after="40"/>
      </w:pPr>
      <w:r>
        <w:rPr>
          <w:sz w:val="20"/>
        </w:rPr>
        <w:t>Tiered decision framework — 70–85% auto-decision, 10–20% AI-assisted, 5–10% manual</w:t>
      </w:r>
    </w:p>
    <w:p>
      <w:pPr>
        <w:pStyle w:val="ListBullet"/>
        <w:spacing w:after="40"/>
      </w:pPr>
      <w:r>
        <w:rPr>
          <w:sz w:val="20"/>
        </w:rPr>
        <w:t>Project records — /v1/projects tracks lifecycle from origination</w:t>
      </w:r>
    </w:p>
    <w:p>
      <w:pPr>
        <w:spacing w:before="160" w:after="40"/>
      </w:pPr>
      <w:r>
        <w:rPr>
          <w:b/>
          <w:color w:val="1A562E"/>
          <w:sz w:val="22"/>
        </w:rPr>
        <w:t>What is missing for GCF pipeline (2–3 months)</w:t>
      </w:r>
    </w:p>
    <w:p>
      <w:pPr>
        <w:pStyle w:val="ListBullet"/>
        <w:spacing w:after="40"/>
      </w:pPr>
      <w:r>
        <w:rPr>
          <w:sz w:val="20"/>
        </w:rPr>
        <w:t>GCF climate rationale generator — structured output: theory of change, mitigation/adaptation results, financial additionality narrative</w:t>
      </w:r>
    </w:p>
    <w:p>
      <w:pPr>
        <w:pStyle w:val="ListBullet"/>
        <w:spacing w:after="40"/>
      </w:pPr>
      <w:r>
        <w:rPr>
          <w:sz w:val="20"/>
        </w:rPr>
        <w:t>Co-financing tracker — concessional vs commercial tranche split per project</w:t>
      </w:r>
    </w:p>
    <w:p>
      <w:pPr>
        <w:pStyle w:val="ListBullet"/>
        <w:spacing w:after="40"/>
      </w:pPr>
      <w:r>
        <w:rPr>
          <w:sz w:val="20"/>
        </w:rPr>
        <w:t>Pipeline status workflow — concept → pre-feasibility → CN preparation → PPF → submission</w:t>
      </w:r>
    </w:p>
    <w:p>
      <w:pPr>
        <w:pStyle w:val="ListBullet"/>
        <w:spacing w:after="40"/>
      </w:pPr>
      <w:r>
        <w:rPr>
          <w:sz w:val="20"/>
        </w:rPr>
        <w:t>NDC 3.0 alignment flag — maps each project to Sri Lanka's mitigation/adaptation sectors</w:t>
      </w:r>
    </w:p>
    <w:p>
      <w:pPr>
        <w:spacing w:before="200" w:after="40"/>
      </w:pPr>
      <w:r>
        <w:rPr>
          <w:b/>
          <w:color w:val="1A562E"/>
          <w:sz w:val="26"/>
        </w:rPr>
        <w:t>Gap 2.3 — CN/PPF Preparation Support</w:t>
      </w:r>
    </w:p>
    <w:p>
      <w:pPr>
        <w:spacing w:after="120"/>
      </w:pPr>
      <w:r>
        <w:rPr>
          <w:b/>
          <w:color w:val="C57B00"/>
          <w:sz w:val="20"/>
        </w:rPr>
        <w:t xml:space="preserve">PARTIAL — data support, not document writing. </w:t>
      </w:r>
      <w:r>
        <w:rPr>
          <w:sz w:val="20"/>
        </w:rPr>
      </w:r>
    </w:p>
    <w:p>
      <w:pPr>
        <w:spacing w:before="160" w:after="40"/>
      </w:pPr>
      <w:r>
        <w:rPr>
          <w:b/>
          <w:color w:val="1A562E"/>
          <w:sz w:val="22"/>
        </w:rPr>
        <w:t>What already feeds CN preparation</w:t>
      </w:r>
    </w:p>
    <w:p>
      <w:pPr>
        <w:pStyle w:val="ListBullet"/>
        <w:spacing w:after="40"/>
      </w:pPr>
      <w:r>
        <w:rPr>
          <w:sz w:val="20"/>
        </w:rPr>
        <w:t>Carbon impact quantification — tCO2e avoided, intensity vs baseline</w:t>
      </w:r>
    </w:p>
    <w:p>
      <w:pPr>
        <w:pStyle w:val="ListBullet"/>
        <w:spacing w:after="40"/>
      </w:pPr>
      <w:r>
        <w:rPr>
          <w:sz w:val="20"/>
        </w:rPr>
        <w:t>Taxonomy alignment rationale — AI-written narrative per taxonomy</w:t>
      </w:r>
    </w:p>
    <w:p>
      <w:pPr>
        <w:pStyle w:val="ListBullet"/>
        <w:spacing w:after="40"/>
      </w:pPr>
      <w:r>
        <w:rPr>
          <w:sz w:val="20"/>
        </w:rPr>
        <w:t>PCAF financed emissions — Scope 3 Cat. 15 for financial additionality argument</w:t>
      </w:r>
    </w:p>
    <w:p>
      <w:pPr>
        <w:pStyle w:val="ListBullet"/>
        <w:spacing w:after="40"/>
      </w:pPr>
      <w:r>
        <w:rPr>
          <w:sz w:val="20"/>
        </w:rPr>
        <w:t>Underwriting memo — 8-section structured analysis (maps directly to CN sections)</w:t>
      </w:r>
    </w:p>
    <w:p>
      <w:pPr>
        <w:spacing w:before="160" w:after="40"/>
      </w:pPr>
      <w:r>
        <w:rPr>
          <w:b/>
          <w:color w:val="1A562E"/>
          <w:sz w:val="22"/>
        </w:rPr>
        <w:t>What software CANNOT do</w:t>
      </w:r>
    </w:p>
    <w:p>
      <w:pPr>
        <w:pStyle w:val="ListBullet"/>
        <w:spacing w:after="40"/>
      </w:pPr>
      <w:r>
        <w:rPr>
          <w:sz w:val="20"/>
        </w:rPr>
        <w:t>Write the CN (requires country context, stakeholder input, GCF relationship)</w:t>
      </w:r>
    </w:p>
    <w:p>
      <w:pPr>
        <w:pStyle w:val="ListBullet"/>
        <w:spacing w:after="40"/>
      </w:pPr>
      <w:r>
        <w:rPr>
          <w:sz w:val="20"/>
        </w:rPr>
        <w:t>Prepare PPF budget (financial modeling task)</w:t>
      </w:r>
    </w:p>
    <w:p>
      <w:pPr>
        <w:pStyle w:val="ListBullet"/>
        <w:spacing w:after="40"/>
      </w:pPr>
      <w:r>
        <w:rPr>
          <w:sz w:val="20"/>
        </w:rPr>
        <w:t>GCF template compliance review (requires GCF secretariat knowledge)</w:t>
      </w:r>
    </w:p>
    <w:p>
      <w:pPr>
        <w:spacing w:before="160" w:after="40"/>
      </w:pPr>
      <w:r>
        <w:rPr>
          <w:b/>
          <w:color w:val="1A562E"/>
          <w:sz w:val="22"/>
        </w:rPr>
        <w:t>What is buildable (2–3 months)</w:t>
      </w:r>
    </w:p>
    <w:p>
      <w:pPr>
        <w:pStyle w:val="ListBullet"/>
        <w:spacing w:after="40"/>
      </w:pPr>
      <w:r>
        <w:rPr>
          <w:sz w:val="20"/>
        </w:rPr>
        <w:t>CN data package export — structured PDF with all quantitative inputs a CN writer needs</w:t>
      </w:r>
    </w:p>
    <w:p>
      <w:pPr>
        <w:pStyle w:val="ListBullet"/>
        <w:spacing w:after="40"/>
      </w:pPr>
      <w:r>
        <w:rPr>
          <w:sz w:val="20"/>
        </w:rPr>
        <w:t>CN checklist tool — GCF CN requirements checklist with data availability flags (green/amber/red)</w:t>
      </w:r>
    </w:p>
    <w:p>
      <w:pPr>
        <w:spacing w:after="120"/>
      </w:pPr>
      <w:r>
        <w:rPr>
          <w:b/>
          <w:color w:val="1A562E"/>
          <w:sz w:val="20"/>
        </w:rPr>
        <w:t xml:space="preserve">POSITION AS: </w:t>
      </w:r>
      <w:r>
        <w:rPr>
          <w:sz w:val="20"/>
        </w:rPr>
        <w:t>The evidence engine behind CN preparation, not the CN writer.</w:t>
      </w:r>
    </w:p>
    <w:p>
      <w:pPr>
        <w:spacing w:before="200" w:after="40"/>
      </w:pPr>
      <w:r>
        <w:rPr>
          <w:b/>
          <w:color w:val="1A562E"/>
          <w:sz w:val="26"/>
        </w:rPr>
        <w:t>Gap 2.4 — GCF Project Implementation Monitoring &amp; Reporting</w:t>
      </w:r>
    </w:p>
    <w:p>
      <w:pPr>
        <w:spacing w:after="120"/>
      </w:pPr>
      <w:r>
        <w:rPr>
          <w:b/>
          <w:color w:val="C57B00"/>
          <w:sz w:val="20"/>
        </w:rPr>
        <w:t xml:space="preserve">PARTIAL — monitoring infrastructure exists; GCF-specific reporting does not. </w:t>
      </w:r>
      <w:r>
        <w:rPr>
          <w:sz w:val="20"/>
        </w:rPr>
      </w:r>
    </w:p>
    <w:p>
      <w:pPr>
        <w:spacing w:before="160" w:after="40"/>
      </w:pPr>
      <w:r>
        <w:rPr>
          <w:b/>
          <w:color w:val="1A562E"/>
          <w:sz w:val="22"/>
        </w:rPr>
        <w:t>What already exists</w:t>
      </w:r>
    </w:p>
    <w:p>
      <w:pPr>
        <w:pStyle w:val="ListBullet"/>
        <w:spacing w:after="40"/>
      </w:pPr>
      <w:r>
        <w:rPr>
          <w:sz w:val="20"/>
        </w:rPr>
        <w:t>Annual monitoring agent — EPD coverage, embodied carbon reduction, covenant compliance year-on-year</w:t>
      </w:r>
    </w:p>
    <w:p>
      <w:pPr>
        <w:pStyle w:val="ListBullet"/>
        <w:spacing w:after="40"/>
      </w:pPr>
      <w:r>
        <w:rPr>
          <w:sz w:val="20"/>
        </w:rPr>
        <w:t>Covenant tracking — SLL KPI performance against targets</w:t>
      </w:r>
    </w:p>
    <w:p>
      <w:pPr>
        <w:pStyle w:val="ListBullet"/>
        <w:spacing w:after="40"/>
      </w:pPr>
      <w:r>
        <w:rPr>
          <w:sz w:val="20"/>
        </w:rPr>
        <w:t>Full Firestore audit trail — every agent run logged with timestamps and methodology</w:t>
      </w:r>
    </w:p>
    <w:p>
      <w:pPr>
        <w:spacing w:before="160" w:after="40"/>
      </w:pPr>
      <w:r>
        <w:rPr>
          <w:b/>
          <w:color w:val="1A562E"/>
          <w:sz w:val="22"/>
        </w:rPr>
        <w:t>What is missing (3–4 months)</w:t>
      </w:r>
    </w:p>
    <w:p>
      <w:pPr>
        <w:pStyle w:val="ListBullet"/>
        <w:spacing w:after="40"/>
      </w:pPr>
      <w:r>
        <w:rPr>
          <w:sz w:val="20"/>
        </w:rPr>
        <w:t>GCF IRMF indicator mapping — map monitoring outputs to GCF standard indicators (tCO2e avoided, beneficiaries, resilience indicators)</w:t>
      </w:r>
    </w:p>
    <w:p>
      <w:pPr>
        <w:pStyle w:val="ListBullet"/>
        <w:spacing w:after="40"/>
      </w:pPr>
      <w:r>
        <w:rPr>
          <w:sz w:val="20"/>
        </w:rPr>
        <w:t>Periodic Progress Report (PPR) generator — GCF-format report auto-populated from monitoring data</w:t>
      </w:r>
    </w:p>
    <w:p>
      <w:pPr>
        <w:pStyle w:val="ListBullet"/>
        <w:spacing w:after="40"/>
      </w:pPr>
      <w:r>
        <w:rPr>
          <w:sz w:val="20"/>
        </w:rPr>
        <w:t>Financial management integration — disbursement tracking, tranche milestone verification (requires DFCC core banking integration)</w:t>
      </w:r>
    </w:p>
    <w:p>
      <w:pPr>
        <w:pBdr>
          <w:bottom w:val="single" w:sz="6" w:space="1" w:color="1a562e"/>
        </w:pBdr>
        <w:spacing w:after="80"/>
      </w:pPr>
    </w:p>
    <w:p>
      <w:pPr>
        <w:spacing w:before="120" w:after="40"/>
      </w:pPr>
      <w:r>
        <w:rPr>
          <w:b/>
          <w:color w:val="1A562E"/>
          <w:sz w:val="36"/>
        </w:rPr>
        <w:t>Part 3: Summary — What to Claim, What to Build, What Not to Claim</w:t>
      </w:r>
    </w:p>
    <w:p>
      <w:pPr>
        <w:spacing w:before="200" w:after="40"/>
      </w:pPr>
      <w:r>
        <w:rPr>
          <w:b/>
          <w:color w:val="1A562E"/>
          <w:sz w:val="26"/>
        </w:rPr>
        <w:t>Claim Now — Existing, Production-Ready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a562e"/>
          </w:tcPr>
          <w:p>
            <w:r>
              <w:rPr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3216"/>
            <w:shd w:val="clear" w:color="auto" w:fill="1a562e"/>
          </w:tcPr>
          <w:p>
            <w:r>
              <w:rPr>
                <w:b/>
                <w:color w:val="FFFFFF"/>
                <w:sz w:val="18"/>
              </w:rPr>
              <w:t>Relevant ToR Section</w:t>
            </w:r>
          </w:p>
        </w:tc>
        <w:tc>
          <w:tcPr>
            <w:tcW w:type="dxa" w:w="3216"/>
            <w:shd w:val="clear" w:color="auto" w:fill="1a562e"/>
          </w:tcPr>
          <w:p>
            <w:r>
              <w:rPr>
                <w:b/>
                <w:color w:val="FFFFFF"/>
                <w:sz w:val="18"/>
              </w:rPr>
              <w:t>Endpoint</w:t>
            </w:r>
          </w:p>
        </w:tc>
      </w:tr>
      <w:tr>
        <w:tc>
          <w:tcPr>
            <w:tcW w:type="dxa" w:w="3216"/>
          </w:tcPr>
          <w:p/>
        </w:tc>
        <w:tc>
          <w:tcPr>
            <w:tcW w:type="dxa" w:w="3216"/>
          </w:tcPr>
          <w:p/>
        </w:tc>
        <w:tc>
          <w:tcPr>
            <w:tcW w:type="dxa" w:w="3216"/>
          </w:tcPr>
          <w:p/>
        </w:tc>
      </w:tr>
      <w:tr>
        <w:tc>
          <w:tcPr>
            <w:tcW w:type="dxa" w:w="3216"/>
          </w:tcPr>
          <w:p/>
        </w:tc>
        <w:tc>
          <w:tcPr>
            <w:tcW w:type="dxa" w:w="3216"/>
          </w:tcPr>
          <w:p/>
        </w:tc>
        <w:tc>
          <w:tcPr>
            <w:tcW w:type="dxa" w:w="3216"/>
          </w:tcPr>
          <w:p/>
        </w:tc>
      </w:tr>
      <w:tr>
        <w:tc>
          <w:tcPr>
            <w:tcW w:type="dxa" w:w="3216"/>
          </w:tcPr>
          <w:p/>
        </w:tc>
        <w:tc>
          <w:tcPr>
            <w:tcW w:type="dxa" w:w="3216"/>
          </w:tcPr>
          <w:p/>
        </w:tc>
        <w:tc>
          <w:tcPr>
            <w:tcW w:type="dxa" w:w="3216"/>
          </w:tcPr>
          <w:p/>
        </w:tc>
      </w:tr>
      <w:tr>
        <w:tc>
          <w:tcPr>
            <w:tcW w:type="dxa" w:w="3216"/>
          </w:tcPr>
          <w:p/>
        </w:tc>
        <w:tc>
          <w:tcPr>
            <w:tcW w:type="dxa" w:w="3216"/>
          </w:tcPr>
          <w:p/>
        </w:tc>
        <w:tc>
          <w:tcPr>
            <w:tcW w:type="dxa" w:w="3216"/>
          </w:tcPr>
          <w:p/>
        </w:tc>
      </w:tr>
      <w:tr>
        <w:tc>
          <w:tcPr>
            <w:tcW w:type="dxa" w:w="3216"/>
          </w:tcPr>
          <w:p/>
        </w:tc>
        <w:tc>
          <w:tcPr>
            <w:tcW w:type="dxa" w:w="3216"/>
          </w:tcPr>
          <w:p/>
        </w:tc>
        <w:tc>
          <w:tcPr>
            <w:tcW w:type="dxa" w:w="3216"/>
          </w:tcPr>
          <w:p/>
        </w:tc>
      </w:tr>
      <w:tr>
        <w:tc>
          <w:tcPr>
            <w:tcW w:type="dxa" w:w="3216"/>
          </w:tcPr>
          <w:p/>
        </w:tc>
        <w:tc>
          <w:tcPr>
            <w:tcW w:type="dxa" w:w="3216"/>
          </w:tcPr>
          <w:p/>
        </w:tc>
        <w:tc>
          <w:tcPr>
            <w:tcW w:type="dxa" w:w="3216"/>
          </w:tcPr>
          <w:p/>
        </w:tc>
      </w:tr>
      <w:tr>
        <w:tc>
          <w:tcPr>
            <w:tcW w:type="dxa" w:w="3216"/>
          </w:tcPr>
          <w:p/>
        </w:tc>
        <w:tc>
          <w:tcPr>
            <w:tcW w:type="dxa" w:w="3216"/>
          </w:tcPr>
          <w:p/>
        </w:tc>
        <w:tc>
          <w:tcPr>
            <w:tcW w:type="dxa" w:w="3216"/>
          </w:tcPr>
          <w:p/>
        </w:tc>
      </w:tr>
      <w:tr>
        <w:tc>
          <w:tcPr>
            <w:tcW w:type="dxa" w:w="3216"/>
          </w:tcPr>
          <w:p/>
        </w:tc>
        <w:tc>
          <w:tcPr>
            <w:tcW w:type="dxa" w:w="3216"/>
          </w:tcPr>
          <w:p/>
        </w:tc>
        <w:tc>
          <w:tcPr>
            <w:tcW w:type="dxa" w:w="3216"/>
          </w:tcPr>
          <w:p/>
        </w:tc>
      </w:tr>
      <w:tr>
        <w:tc>
          <w:tcPr>
            <w:tcW w:type="dxa" w:w="3216"/>
          </w:tcPr>
          <w:p>
            <w:r>
              <w:rPr>
                <w:sz w:val="18"/>
              </w:rPr>
              <w:t>PCAF v2.0 financed emissions calculation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Lot 1 — Sustainability Reporting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/v1/projects/:id/pcaf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Portfolio carbon risk aggregation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Lot 1 — Sustainability Reporting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/v1/portfolio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Multi-taxonomy alignment screening (EU/ASEAN/HK)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Lot 2 — Pipeline Screening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/v1/taxonomy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Carbon Finance Scoring for loan decisions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Lot 1 — ESG lending integration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/v1/score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SLL covenant design (LMA/APLMA GLP 2021)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Lot 1 — ESG policy + Lot 2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/v1/covenant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Annual carbon performance monitoring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Lot 2 — Implementation Monitoring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/v1/agent/monitor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Borrower coaching (+32% completion rate)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Lot 2 — Pipeline origination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/v1/agent/coach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Tiered decision framework (70–85% auto)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Lot 2 — Investment structuring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/v1/agent/triage</w:t>
            </w:r>
          </w:p>
        </w:tc>
      </w:tr>
    </w:tbl>
    <w:p/>
    <w:p>
      <w:pPr>
        <w:spacing w:before="200" w:after="40"/>
      </w:pPr>
      <w:r>
        <w:rPr>
          <w:b/>
          <w:color w:val="1A562E"/>
          <w:sz w:val="26"/>
        </w:rPr>
        <w:t>Build to Claim — 3–6 Month Development Roadmap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a562e"/>
          </w:tcPr>
          <w:p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3216"/>
            <w:shd w:val="clear" w:color="auto" w:fill="1a562e"/>
          </w:tcPr>
          <w:p>
            <w:r>
              <w:rPr>
                <w:b/>
                <w:color w:val="FFFFFF"/>
                <w:sz w:val="18"/>
              </w:rPr>
              <w:t>Gap It Addresses</w:t>
            </w:r>
          </w:p>
        </w:tc>
        <w:tc>
          <w:tcPr>
            <w:tcW w:type="dxa" w:w="3216"/>
            <w:shd w:val="clear" w:color="auto" w:fill="1a562e"/>
          </w:tcPr>
          <w:p>
            <w:r>
              <w:rPr>
                <w:b/>
                <w:color w:val="FFFFFF"/>
                <w:sz w:val="18"/>
              </w:rPr>
              <w:t>Effort</w:t>
            </w:r>
          </w:p>
        </w:tc>
      </w:tr>
      <w:tr>
        <w:tc>
          <w:tcPr>
            <w:tcW w:type="dxa" w:w="3216"/>
          </w:tcPr>
          <w:p/>
        </w:tc>
        <w:tc>
          <w:tcPr>
            <w:tcW w:type="dxa" w:w="3216"/>
          </w:tcPr>
          <w:p/>
        </w:tc>
        <w:tc>
          <w:tcPr>
            <w:tcW w:type="dxa" w:w="3216"/>
          </w:tcPr>
          <w:p/>
        </w:tc>
      </w:tr>
      <w:tr>
        <w:tc>
          <w:tcPr>
            <w:tcW w:type="dxa" w:w="3216"/>
          </w:tcPr>
          <w:p/>
        </w:tc>
        <w:tc>
          <w:tcPr>
            <w:tcW w:type="dxa" w:w="3216"/>
          </w:tcPr>
          <w:p/>
        </w:tc>
        <w:tc>
          <w:tcPr>
            <w:tcW w:type="dxa" w:w="3216"/>
          </w:tcPr>
          <w:p/>
        </w:tc>
      </w:tr>
      <w:tr>
        <w:tc>
          <w:tcPr>
            <w:tcW w:type="dxa" w:w="3216"/>
          </w:tcPr>
          <w:p/>
        </w:tc>
        <w:tc>
          <w:tcPr>
            <w:tcW w:type="dxa" w:w="3216"/>
          </w:tcPr>
          <w:p/>
        </w:tc>
        <w:tc>
          <w:tcPr>
            <w:tcW w:type="dxa" w:w="3216"/>
          </w:tcPr>
          <w:p/>
        </w:tc>
      </w:tr>
      <w:tr>
        <w:tc>
          <w:tcPr>
            <w:tcW w:type="dxa" w:w="3216"/>
          </w:tcPr>
          <w:p/>
        </w:tc>
        <w:tc>
          <w:tcPr>
            <w:tcW w:type="dxa" w:w="3216"/>
          </w:tcPr>
          <w:p/>
        </w:tc>
        <w:tc>
          <w:tcPr>
            <w:tcW w:type="dxa" w:w="3216"/>
          </w:tcPr>
          <w:p/>
        </w:tc>
      </w:tr>
      <w:tr>
        <w:tc>
          <w:tcPr>
            <w:tcW w:type="dxa" w:w="3216"/>
          </w:tcPr>
          <w:p/>
        </w:tc>
        <w:tc>
          <w:tcPr>
            <w:tcW w:type="dxa" w:w="3216"/>
          </w:tcPr>
          <w:p/>
        </w:tc>
        <w:tc>
          <w:tcPr>
            <w:tcW w:type="dxa" w:w="3216"/>
          </w:tcPr>
          <w:p/>
        </w:tc>
      </w:tr>
      <w:tr>
        <w:tc>
          <w:tcPr>
            <w:tcW w:type="dxa" w:w="3216"/>
          </w:tcPr>
          <w:p/>
        </w:tc>
        <w:tc>
          <w:tcPr>
            <w:tcW w:type="dxa" w:w="3216"/>
          </w:tcPr>
          <w:p/>
        </w:tc>
        <w:tc>
          <w:tcPr>
            <w:tcW w:type="dxa" w:w="3216"/>
          </w:tcPr>
          <w:p/>
        </w:tc>
      </w:tr>
      <w:tr>
        <w:tc>
          <w:tcPr>
            <w:tcW w:type="dxa" w:w="3216"/>
          </w:tcPr>
          <w:p/>
        </w:tc>
        <w:tc>
          <w:tcPr>
            <w:tcW w:type="dxa" w:w="3216"/>
          </w:tcPr>
          <w:p/>
        </w:tc>
        <w:tc>
          <w:tcPr>
            <w:tcW w:type="dxa" w:w="3216"/>
          </w:tcPr>
          <w:p/>
        </w:tc>
      </w:tr>
      <w:tr>
        <w:tc>
          <w:tcPr>
            <w:tcW w:type="dxa" w:w="3216"/>
          </w:tcPr>
          <w:p/>
        </w:tc>
        <w:tc>
          <w:tcPr>
            <w:tcW w:type="dxa" w:w="3216"/>
          </w:tcPr>
          <w:p/>
        </w:tc>
        <w:tc>
          <w:tcPr>
            <w:tcW w:type="dxa" w:w="3216"/>
          </w:tcPr>
          <w:p/>
        </w:tc>
      </w:tr>
      <w:tr>
        <w:tc>
          <w:tcPr>
            <w:tcW w:type="dxa" w:w="3216"/>
          </w:tcPr>
          <w:p/>
        </w:tc>
        <w:tc>
          <w:tcPr>
            <w:tcW w:type="dxa" w:w="3216"/>
          </w:tcPr>
          <w:p/>
        </w:tc>
        <w:tc>
          <w:tcPr>
            <w:tcW w:type="dxa" w:w="3216"/>
          </w:tcPr>
          <w:p/>
        </w:tc>
      </w:tr>
      <w:tr>
        <w:tc>
          <w:tcPr>
            <w:tcW w:type="dxa" w:w="3216"/>
          </w:tcPr>
          <w:p>
            <w:r>
              <w:rPr>
                <w:sz w:val="18"/>
              </w:rPr>
              <w:t>Sri Lanka Sustainable Finance Taxonomy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Lot 2 — Pipeline screening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4–6 weeks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CBSL Banking Act Direction No. 5 sector classification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Lot 1 &amp; 2 — Regulatory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2–3 weeks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GRI 305-3 / ISSB S2 sustainability report export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Lot 1 — Sustainability Reporting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6–8 weeks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ESMS E&amp;S risk category classifier (A/B/C)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Lot 1 — ESMS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8–10 weeks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GCF IRMF indicator mapping + PPR output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Lot 2 — Implementation Monitoring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8–10 weeks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CN data package export (evidence base)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Lot 2 — CN/PPF Support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4–6 weeks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Pipeline status workflow (concept → CN → PPF)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Lot 2 — Pipeline Development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4–6 weeks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NDC 3.0 sector alignment flag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Lot 2 — Climate rationale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2–3 weeks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Gender metadata + disaggregated portfolio report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Lot 1 — DE&amp;I (minor)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2–3 weeks</w:t>
            </w:r>
          </w:p>
        </w:tc>
      </w:tr>
    </w:tbl>
    <w:p/>
    <w:p>
      <w:pPr>
        <w:spacing w:before="200" w:after="40"/>
      </w:pPr>
      <w:r>
        <w:rPr>
          <w:b/>
          <w:color w:val="1A562E"/>
          <w:sz w:val="26"/>
        </w:rPr>
        <w:t>Do NOT Claim — Human Consulting Required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a562e"/>
          </w:tcPr>
          <w:p>
            <w:r>
              <w:rPr>
                <w:b/>
                <w:color w:val="FFFFFF"/>
                <w:sz w:val="18"/>
              </w:rPr>
              <w:t>Gap</w:t>
            </w:r>
          </w:p>
        </w:tc>
        <w:tc>
          <w:tcPr>
            <w:tcW w:type="dxa" w:w="4824"/>
            <w:shd w:val="clear" w:color="auto" w:fill="1a562e"/>
          </w:tcPr>
          <w:p>
            <w:r>
              <w:rPr>
                <w:b/>
                <w:color w:val="FFFFFF"/>
                <w:sz w:val="18"/>
              </w:rPr>
              <w:t>Why Software Cannot Help</w:t>
            </w:r>
          </w:p>
        </w:tc>
      </w:tr>
      <w:tr>
        <w:tc>
          <w:tcPr>
            <w:tcW w:type="dxa" w:w="4824"/>
          </w:tcPr>
          <w:p/>
        </w:tc>
        <w:tc>
          <w:tcPr>
            <w:tcW w:type="dxa" w:w="4824"/>
          </w:tcPr>
          <w:p/>
        </w:tc>
      </w:tr>
      <w:tr>
        <w:tc>
          <w:tcPr>
            <w:tcW w:type="dxa" w:w="4824"/>
          </w:tcPr>
          <w:p/>
        </w:tc>
        <w:tc>
          <w:tcPr>
            <w:tcW w:type="dxa" w:w="4824"/>
          </w:tcPr>
          <w:p/>
        </w:tc>
      </w:tr>
      <w:tr>
        <w:tc>
          <w:tcPr>
            <w:tcW w:type="dxa" w:w="4824"/>
          </w:tcPr>
          <w:p/>
        </w:tc>
        <w:tc>
          <w:tcPr>
            <w:tcW w:type="dxa" w:w="4824"/>
          </w:tcPr>
          <w:p/>
        </w:tc>
      </w:tr>
      <w:tr>
        <w:tc>
          <w:tcPr>
            <w:tcW w:type="dxa" w:w="4824"/>
          </w:tcPr>
          <w:p/>
        </w:tc>
        <w:tc>
          <w:tcPr>
            <w:tcW w:type="dxa" w:w="4824"/>
          </w:tcPr>
          <w:p/>
        </w:tc>
      </w:tr>
      <w:tr>
        <w:tc>
          <w:tcPr>
            <w:tcW w:type="dxa" w:w="4824"/>
          </w:tcPr>
          <w:p/>
        </w:tc>
        <w:tc>
          <w:tcPr>
            <w:tcW w:type="dxa" w:w="4824"/>
          </w:tcPr>
          <w:p/>
        </w:tc>
      </w:tr>
      <w:tr>
        <w:tc>
          <w:tcPr>
            <w:tcW w:type="dxa" w:w="4824"/>
          </w:tcPr>
          <w:p/>
        </w:tc>
        <w:tc>
          <w:tcPr>
            <w:tcW w:type="dxa" w:w="4824"/>
          </w:tcPr>
          <w:p/>
        </w:tc>
      </w:tr>
      <w:tr>
        <w:tc>
          <w:tcPr>
            <w:tcW w:type="dxa" w:w="4824"/>
          </w:tcPr>
          <w:p/>
        </w:tc>
        <w:tc>
          <w:tcPr>
            <w:tcW w:type="dxa" w:w="4824"/>
          </w:tcPr>
          <w:p/>
        </w:tc>
      </w:tr>
      <w:tr>
        <w:tc>
          <w:tcPr>
            <w:tcW w:type="dxa" w:w="4824"/>
          </w:tcPr>
          <w:p>
            <w:r>
              <w:rPr>
                <w:sz w:val="18"/>
              </w:rPr>
              <w:t>GRM policy revision and unit establishment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Institutional / HR change management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Procurement policy alignment + disclosure portal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Separate procurement domain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DE&amp;I / Gender Action Plan implementation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Policy and training domain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Whistle-blowing policy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HR / legal domain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GCF Concept Note writing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Requires country context and GCF relationship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Stakeholder consultation and NDA coordination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Human engagement; software cannot substitute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Capacity building workshops for 25 DFCC staff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Training delivery — software is the tool, not the trainer</w:t>
            </w:r>
          </w:p>
        </w:tc>
      </w:tr>
    </w:tbl>
    <w:p/>
    <w:p>
      <w:pPr>
        <w:pBdr>
          <w:bottom w:val="single" w:sz="6" w:space="1" w:color="1a562e"/>
        </w:pBdr>
        <w:spacing w:after="80"/>
      </w:pPr>
    </w:p>
    <w:p>
      <w:pPr>
        <w:spacing w:before="120" w:after="40"/>
      </w:pPr>
      <w:r>
        <w:rPr>
          <w:b/>
          <w:color w:val="1A562E"/>
          <w:sz w:val="36"/>
        </w:rPr>
        <w:t>Part 4: Your Honest Role on the Team</w:t>
      </w:r>
    </w:p>
    <w:p>
      <w:pPr>
        <w:spacing w:before="200" w:after="40"/>
      </w:pPr>
      <w:r>
        <w:rPr>
          <w:b/>
          <w:color w:val="1A562E"/>
          <w:sz w:val="26"/>
        </w:rPr>
        <w:t>Primary Role: Carbon Accounting &amp; Green Finance Technology Specialist</w:t>
      </w:r>
    </w:p>
    <w:p>
      <w:pPr>
        <w:spacing w:after="80"/>
      </w:pPr>
      <w:r>
        <w:rPr>
          <w:sz w:val="20"/>
        </w:rPr>
        <w:t>Based on this analysis, you deliver four genuine contributions no other team member can replicate:</w:t>
      </w:r>
    </w:p>
    <w:p>
      <w:pPr>
        <w:pStyle w:val="ListBullet"/>
        <w:spacing w:after="40"/>
      </w:pPr>
      <w:r>
        <w:rPr>
          <w:b/>
          <w:sz w:val="20"/>
        </w:rPr>
        <w:t xml:space="preserve">1. Immediate gap closure on Sustainability Reporting (Lot 1, Milestone 4): </w:t>
      </w:r>
      <w:r>
        <w:rPr>
          <w:sz w:val="20"/>
        </w:rPr>
      </w:r>
      <w:r>
        <w:rPr>
          <w:sz w:val="20"/>
        </w:rPr>
        <w:t>A live PCAF v2.0 financed emissions system demonstrable on day one — the most critical and technically demanding gap in Lot 1.</w:t>
      </w:r>
    </w:p>
    <w:p>
      <w:pPr>
        <w:pStyle w:val="ListBullet"/>
        <w:spacing w:after="40"/>
      </w:pPr>
      <w:r>
        <w:rPr>
          <w:b/>
          <w:sz w:val="20"/>
        </w:rPr>
        <w:t xml:space="preserve">2. Taxonomy screening within 4–6 weeks: </w:t>
      </w:r>
      <w:r>
        <w:rPr>
          <w:sz w:val="20"/>
        </w:rPr>
      </w:r>
      <w:r>
        <w:rPr>
          <w:sz w:val="20"/>
        </w:rPr>
        <w:t>Extend the existing engine to Sri Lanka's Sustainable Finance Taxonomy — directly enabling Lot 2 pipeline credibility.</w:t>
      </w:r>
    </w:p>
    <w:p>
      <w:pPr>
        <w:pStyle w:val="ListBullet"/>
        <w:spacing w:after="40"/>
      </w:pPr>
      <w:r>
        <w:rPr>
          <w:b/>
          <w:sz w:val="20"/>
        </w:rPr>
        <w:t xml:space="preserve">3. Full climate loan pipeline platform: </w:t>
      </w:r>
      <w:r>
        <w:rPr>
          <w:sz w:val="20"/>
        </w:rPr>
      </w:r>
      <w:r>
        <w:rPr>
          <w:sz w:val="20"/>
        </w:rPr>
        <w:t>Origination through monitoring — supporting Lot 2 pipeline development and GCF implementation oversight.</w:t>
      </w:r>
    </w:p>
    <w:p>
      <w:pPr>
        <w:pStyle w:val="ListBullet"/>
        <w:spacing w:after="40"/>
      </w:pPr>
      <w:r>
        <w:rPr>
          <w:b/>
          <w:sz w:val="20"/>
        </w:rPr>
        <w:t xml:space="preserve">4. Quantitative evidence base for CN preparation: </w:t>
      </w:r>
      <w:r>
        <w:rPr>
          <w:sz w:val="20"/>
        </w:rPr>
      </w:r>
      <w:r>
        <w:rPr>
          <w:sz w:val="20"/>
        </w:rPr>
        <w:t>Carbon impact data, financed emissions baseline, taxonomy rationale — makes CN writing faster and more credible.</w:t>
      </w:r>
    </w:p>
    <w:p>
      <w:pPr>
        <w:spacing w:before="200" w:after="40"/>
      </w:pPr>
      <w:r>
        <w:rPr>
          <w:b/>
          <w:color w:val="1A562E"/>
          <w:sz w:val="26"/>
        </w:rPr>
        <w:t>Coverage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a562e"/>
          </w:tcPr>
          <w:p>
            <w:r>
              <w:rPr>
                <w:b/>
                <w:color w:val="FFFFFF"/>
                <w:sz w:val="18"/>
              </w:rPr>
              <w:t>Scope Area</w:t>
            </w:r>
          </w:p>
        </w:tc>
        <w:tc>
          <w:tcPr>
            <w:tcW w:type="dxa" w:w="4824"/>
            <w:shd w:val="clear" w:color="auto" w:fill="1a562e"/>
          </w:tcPr>
          <w:p>
            <w:r>
              <w:rPr>
                <w:b/>
                <w:color w:val="FFFFFF"/>
                <w:sz w:val="18"/>
              </w:rPr>
              <w:t>Coverage</w:t>
            </w:r>
          </w:p>
        </w:tc>
      </w:tr>
      <w:tr>
        <w:tc>
          <w:tcPr>
            <w:tcW w:type="dxa" w:w="4824"/>
          </w:tcPr>
          <w:p/>
        </w:tc>
        <w:tc>
          <w:tcPr>
            <w:tcW w:type="dxa" w:w="4824"/>
          </w:tcPr>
          <w:p/>
        </w:tc>
      </w:tr>
      <w:tr>
        <w:tc>
          <w:tcPr>
            <w:tcW w:type="dxa" w:w="4824"/>
          </w:tcPr>
          <w:p/>
        </w:tc>
        <w:tc>
          <w:tcPr>
            <w:tcW w:type="dxa" w:w="4824"/>
          </w:tcPr>
          <w:p/>
        </w:tc>
      </w:tr>
      <w:tr>
        <w:tc>
          <w:tcPr>
            <w:tcW w:type="dxa" w:w="4824"/>
          </w:tcPr>
          <w:p/>
        </w:tc>
        <w:tc>
          <w:tcPr>
            <w:tcW w:type="dxa" w:w="4824"/>
          </w:tcPr>
          <w:p/>
        </w:tc>
      </w:tr>
      <w:tr>
        <w:tc>
          <w:tcPr>
            <w:tcW w:type="dxa" w:w="4824"/>
          </w:tcPr>
          <w:p>
            <w:r>
              <w:rPr>
                <w:sz w:val="18"/>
              </w:rPr>
              <w:t>Existing software — production ready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~40% of total ToR scope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Buildable within engagement timeline (6 months)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~25% additional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Human specialists required (GRM, procurement, DE&amp;I, CN writing, training)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~35% — outside software scope</w:t>
            </w:r>
          </w:p>
        </w:tc>
      </w:tr>
    </w:tbl>
    <w:p/>
    <w:p/>
    <w:p>
      <w:r>
        <w:rPr>
          <w:b/>
          <w:sz w:val="20"/>
        </w:rPr>
        <w:t xml:space="preserve">The bottom line: </w:t>
      </w:r>
      <w:r>
        <w:rPr>
          <w:sz w:val="20"/>
        </w:rPr>
        <w:t>You strengthen the team significantly on the technical climate finance side. You do not replace the institutional safeguards, gender, or CN writing specialists. Be honest about this boundary — it will build more trust with the institution than overpromising.</w:t>
      </w:r>
    </w:p>
    <w:p>
      <w:pPr>
        <w:pBdr>
          <w:bottom w:val="single" w:sz="6" w:space="1" w:color="1a562e"/>
        </w:pBdr>
        <w:spacing w:after="80"/>
      </w:pPr>
    </w:p>
    <w:p>
      <w:r>
        <w:rPr>
          <w:i/>
          <w:color w:val="444444"/>
          <w:sz w:val="16"/>
        </w:rPr>
        <w:t>Analysis based on CarbonIQ FinTech as built at June 2026, commit bb8add1.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