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840"/>
        <w:gridCol w:w="2520"/>
      </w:tblGrid>
      <w:tr>
        <w:tc>
          <w:tcPr>
            <w:tcW w:type="dxa" w:w="6840"/>
            <w:tcMar>
              <w:top w:w="0" w:type="dxa"/>
              <w:start w:w="0" w:type="dxa"/>
              <w:bottom w:w="0" w:type="dxa"/>
              <w:end w:w="12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2E7D54"/>
                <w:sz w:val="20"/>
              </w:rPr>
              <w:t>BUDGETARY QUOTATION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5C6673"/>
                <w:sz w:val="24"/>
              </w:rPr>
              <w:t>DB Systems</w:t>
            </w:r>
          </w:p>
        </w:tc>
        <w:tc>
          <w:tcPr>
            <w:tcW w:type="dxa" w:w="25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1186839"/>
                  <wp:docPr id="1" name="Picture 1" descr="Kweneng International Secondary School logo" title="Kweneng International Secondary Schoo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86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Title"/>
      </w:pPr>
      <w:r>
        <w:t>Content-Managed</w:t>
        <w:br/>
        <w:t>School Website</w:t>
      </w:r>
    </w:p>
    <w:p>
      <w:pPr>
        <w:spacing w:after="360"/>
      </w:pPr>
      <w:r>
        <w:rPr>
          <w:rFonts w:ascii="Calibri" w:hAnsi="Calibri"/>
          <w:b w:val="0"/>
          <w:i w:val="0"/>
          <w:color w:val="5C6673"/>
          <w:sz w:val="26"/>
        </w:rPr>
        <w:t>Public-facing website quotation for Kweneng International Secondary School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PREPARED FOR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Kweneng International Secondary School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QUOTE REFERENCE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DBS-KISS-WEB-20260806-01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PREPARED BY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DB Systems | dbsystems.tech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QUOTATION DATE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6 August 2026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PROJECT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Responsive public website with staff-managed content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8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C6673"/>
                <w:sz w:val="17"/>
              </w:rPr>
              <w:t>VALIDITY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30 calendar days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5940"/>
        <w:gridCol w:w="3420"/>
      </w:tblGrid>
      <w:tr>
        <w:tc>
          <w:tcPr>
            <w:tcW w:type="dxa" w:w="5940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4"/>
              </w:rPr>
              <w:t>Fixed project investment</w:t>
            </w:r>
          </w:p>
        </w:tc>
        <w:tc>
          <w:tcPr>
            <w:tcW w:type="dxa" w:w="3420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E8EEF5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34"/>
              </w:rPr>
              <w:t>BWP 56,500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Proposed outcome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A professionally presented, mobile-responsive school website with a secure content-management area. Authorised staff will be able to update routine public content without editing source code or relying on a developer for everyday changes.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Role-separated Website Editor and Website Approver access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Editable pages, news, events, dates, FAQs, policies, downloads, galleries and contact details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Draft, preview, publish, schedule and restore workflows for safer updates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Migration of approved content, training, deployment and a 30-day defect warranty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Project understanding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The current public website contains a homepage and approximately fourteen additional public routes, including About, Academics, Admissions, Contact, Alumni, Facilities, Parent Resources, Term Dates, Policies, Success Stories and public downloads.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Much of the public content is presently embedded in page templates. The recommended work converts the changeable parts into structured content records that authorised school staff can manage through a secure website dashboard.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WEBSITE SCOPE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631"/>
                <w:sz w:val="21"/>
              </w:rPr>
              <w:t>This quotation covers the design, development and launch of the public-facing school website, including its content-management tools, approved content migration, public forms, staff training and launch support described below.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Design principles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Easy for staff:</w:t>
      </w:r>
      <w:r>
        <w:rPr>
          <w:rFonts w:ascii="Calibri" w:hAnsi="Calibri"/>
          <w:b w:val="0"/>
          <w:i w:val="0"/>
          <w:color w:val="202631"/>
          <w:sz w:val="22"/>
        </w:rPr>
        <w:t xml:space="preserve"> common updates use labelled forms, image selectors, date fields and previews rather than code.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Safe by default:</w:t>
      </w:r>
      <w:r>
        <w:rPr>
          <w:rFonts w:ascii="Calibri" w:hAnsi="Calibri"/>
          <w:b w:val="0"/>
          <w:i w:val="0"/>
          <w:color w:val="202631"/>
          <w:sz w:val="22"/>
        </w:rPr>
        <w:t xml:space="preserve"> editor permissions are limited to assigned website content and publishing rights can be reserved for an approver.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Modular and extensible:</w:t>
      </w:r>
      <w:r>
        <w:rPr>
          <w:rFonts w:ascii="Calibri" w:hAnsi="Calibri"/>
          <w:b w:val="0"/>
          <w:i w:val="0"/>
          <w:color w:val="202631"/>
          <w:sz w:val="22"/>
        </w:rPr>
        <w:t xml:space="preserve"> reusable sections and content types make later pages or modules easier to add.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Consistent:</w:t>
      </w:r>
      <w:r>
        <w:rPr>
          <w:rFonts w:ascii="Calibri" w:hAnsi="Calibri"/>
          <w:b w:val="0"/>
          <w:i w:val="0"/>
          <w:color w:val="202631"/>
          <w:sz w:val="22"/>
        </w:rPr>
        <w:t xml:space="preserve"> the website keeps a controlled visual system so staff changes do not break layouts.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/>
          <w:i w:val="0"/>
          <w:color w:val="202631"/>
          <w:sz w:val="22"/>
        </w:rPr>
        <w:t>Search-friendly and accessible:</w:t>
      </w:r>
      <w:r>
        <w:rPr>
          <w:rFonts w:ascii="Calibri" w:hAnsi="Calibri"/>
          <w:b w:val="0"/>
          <w:i w:val="0"/>
          <w:color w:val="202631"/>
          <w:sz w:val="22"/>
        </w:rPr>
        <w:t xml:space="preserve"> semantic headings, image alt text, page metadata and responsive behaviour are built into the editing workflow.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Publishing workflow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Create or update content using the secure Website Editor dashboard.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Preview the page on desktop and mobile layouts before it becomes public.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Submit for approval or publish immediately, depending on the user's permission.</w:t>
      </w:r>
    </w:p>
    <w:p>
      <w:pPr>
        <w:numPr>
          <w:ilvl w:val="0"/>
          <w:numId w:val="201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Schedule time-sensitive items and restore an earlier version when required.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Included website scope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Public website experience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Responsive navigation, footer, calls to action and reusable page sections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Homepage presentation, school profile, academics, admissions and contact information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Student life, facilities, alumni, parent resources and success-story content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Public forms for enquiries and alumni interest, with validation and protected handling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Links and download presentation for approved school documents and external resources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Basic on-page SEO fields, social-sharing metadata and analytics-ready integration points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Content modules staff can 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68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Editable content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Pages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Titles, hero text/images, sections, cards, buttons and page visibility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News &amp; events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Stories, event dates, categories, images, featured items and publishing schedule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Academic calendar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Terms, holidays, key dates and notices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Admissions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Process steps, required documents, fee-information blocks and enquiry calls to action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FAQs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Questions, answers, order and visibility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Policies &amp; downloads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Document title, category, file, effective date and replacement version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Success stories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Headline, summary, body, image, achievement type and featured status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Facilities &amp; gallery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Facility records, captions, image sets and display order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Leadership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Name, role, biography, photograph and display order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Global settings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Contact details, office hours, social links, footer text and selected navigation items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CMS, roles and maintainability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Included administration features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Included permissions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Website Editor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Create and edit public content, upload approved media, save drafts and submit for approval.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Website Approver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Review previews, publish or unpublish content, schedule releases and restore revisions.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System Administrator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Create website users, assign roles and manage technical website settings.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Editing safeguards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Structured fields and reusable blocks prevent accidental layout damage.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Image type and size validation, meaningful filenames and alt-text fields.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Drafts, preview links, publish/unpublish controls and revision history.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Audit information showing who changed content and when.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Initial configuration for up to five website editor/approver accounts.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 concise administrator guide plus one remote or on-site training session of up to three hours.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D54"/>
          <w:left w:val="single" w:sz="8" w:space="0" w:color="2E7D54"/>
          <w:bottom w:val="single" w:sz="8" w:space="0" w:color="2E7D54"/>
          <w:right w:val="single" w:sz="8" w:space="0" w:color="2E7D54"/>
          <w:insideH w:val="single" w:sz="8" w:space="0" w:color="2E7D54"/>
          <w:insideV w:val="single" w:sz="8" w:space="0" w:color="2E7D54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D54"/>
                <w:sz w:val="18"/>
              </w:rPr>
              <w:t>MAINTAINABILITY NOTE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631"/>
                <w:sz w:val="21"/>
              </w:rPr>
              <w:t>Routine content, images, documents, dates and links will be staff-managed. New business workflows, substantial visual redesigns, payment integrations, complex forms or custom integrations will remain developer work and will be quoted separately.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Acceptance criteria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Authorised users can update and publish the agreed content types without source-code access.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Public pages render correctly on current desktop, tablet and mobile browsers.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Website-editor accounts are limited to the permissions assigned to their website roles.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Forms, downloads, metadata, previews and publish controls pass agreed functional tests.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Delivery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2160"/>
        <w:gridCol w:w="5040"/>
        <w:gridCol w:w="1440"/>
      </w:tblGrid>
      <w:tr>
        <w:trPr>
          <w:tblHeader w:val="true"/>
        </w:trPr>
        <w:tc>
          <w:tcPr>
            <w:tcW w:type="dxa" w:w="7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21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Workstream</w:t>
            </w:r>
          </w:p>
        </w:tc>
        <w:tc>
          <w:tcPr>
            <w:tcW w:type="dxa" w:w="50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output</w:t>
            </w:r>
          </w:p>
        </w:tc>
        <w:tc>
          <w:tcPr>
            <w:tcW w:type="dxa" w:w="14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Discovery and approval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Confirm page inventory, content owners, editor roles, hosting constraints and final acceptance checklist.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1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Content architecture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Define editable page sections, modules, relationships, validation and migration mapping.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1-2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CMS and page build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Develop the website editor area, reusable components, permissions, previews and publishing controls.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2-5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Migration and integration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Load approved current content, connect public routes and configure forms, files and SEO fields.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5-6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QA and user acceptance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Browser/device checks, accessibility review, security checks and school review.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6-7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Launch and handover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Production deployment, training, administrator guide and warranty handover.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5C6673"/>
                <w:sz w:val="19"/>
              </w:rPr>
              <w:t>Week 7-8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Included deliverables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Production-ready responsive website integrated with the existing Laravel platform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Secure website-content dashboard with the roles and modules described in this quotation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Migration of approved content for up to 15 existing public routes and up to 75 supplied media/document files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Administrator quick guide, staff training and launch checklist</w:t>
      </w:r>
    </w:p>
    <w:p>
      <w:pPr>
        <w:numPr>
          <w:ilvl w:val="0"/>
          <w:numId w:val="200"/>
        </w:numPr>
        <w:spacing w:after="160" w:line="280" w:lineRule="auto"/>
      </w:pPr>
      <w:r>
        <w:rPr>
          <w:rFonts w:ascii="Calibri" w:hAnsi="Calibri"/>
          <w:b w:val="0"/>
          <w:i w:val="0"/>
          <w:color w:val="202631"/>
          <w:sz w:val="22"/>
        </w:rPr>
        <w:t>30 calendar days of defect correction after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ESTIMATED DURATION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202631"/>
                <w:sz w:val="21"/>
              </w:rPr>
              <w:t>Six to eight weeks from receipt of the signed acceptance, deposit, approved content and required hosting access. Delayed approvals or missing content move the corresponding dates.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Investment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720"/>
        <w:gridCol w:w="6840"/>
        <w:gridCol w:w="1800"/>
      </w:tblGrid>
      <w:tr>
        <w:trPr>
          <w:tblHeader w:val="true"/>
        </w:trPr>
        <w:tc>
          <w:tcPr>
            <w:tcW w:type="dxa" w:w="72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8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80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 (BWP)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01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Discovery and CMS content architecture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4,000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02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Responsive public-site refinement and reusable page components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7,500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03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CMS core: secure editor area, media library, roles, drafts and revisions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14,000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04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Dynamic modules: news/events, dates, FAQs, policies, stories and galleries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12,500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05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Approved content migration for up to 15 public routes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7,000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06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Forms, basic SEO controls, performance and security hardening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5,500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C6673"/>
                <w:sz w:val="19"/>
              </w:rPr>
              <w:t>07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QA, production deployment, handover and staff training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6,000</w:t>
            </w:r>
          </w:p>
        </w:tc>
      </w:tr>
      <w:tr>
        <w:tc>
          <w:tcPr>
            <w:tcW w:type="dxa" w:w="7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</w:r>
          </w:p>
        </w:tc>
        <w:tc>
          <w:tcPr>
            <w:tcW w:type="dxa" w:w="68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Total project investment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56,500</w:t>
            </w:r>
          </w:p>
        </w:tc>
      </w:tr>
    </w:tbl>
    <w:p>
      <w:pPr>
        <w:spacing w:after="200" w:line="264" w:lineRule="auto"/>
      </w:pPr>
      <w:r>
        <w:rPr>
          <w:rFonts w:ascii="Calibri" w:hAnsi="Calibri"/>
          <w:b w:val="0"/>
          <w:i/>
          <w:color w:val="5C6673"/>
          <w:sz w:val="22"/>
        </w:rPr>
        <w:t>Currency: Botswana Pula (BWP). Tax treatment: exclusive of VAT or similar statutory taxes, if legally applicable.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Payment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440"/>
        <w:gridCol w:w="5760"/>
        <w:gridCol w:w="2160"/>
      </w:tblGrid>
      <w:tr>
        <w:tc>
          <w:tcPr>
            <w:tcW w:type="dxa" w:w="144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57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Due</w:t>
            </w:r>
          </w:p>
        </w:tc>
        <w:tc>
          <w:tcPr>
            <w:tcW w:type="dxa" w:w="2160"/>
            <w:shd w:fill="0B254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40%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Project booking and commencement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22,600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30%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CMS and main page templates ready for review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16,950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E74B5"/>
                <w:sz w:val="19"/>
              </w:rPr>
              <w:t>30%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User acceptance, production launch and handover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16,950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Optional ongoing service - not included in project total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5040"/>
        <w:gridCol w:w="2160"/>
      </w:tblGrid>
      <w:tr>
        <w:tc>
          <w:tcPr>
            <w:tcW w:type="dxa" w:w="2160"/>
            <w:shd w:fill="2E7D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Service</w:t>
            </w:r>
          </w:p>
        </w:tc>
        <w:tc>
          <w:tcPr>
            <w:tcW w:type="dxa" w:w="5040"/>
            <w:shd w:fill="2E7D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Coverage</w:t>
            </w:r>
          </w:p>
        </w:tc>
        <w:tc>
          <w:tcPr>
            <w:tcW w:type="dxa" w:w="2160"/>
            <w:shd w:fill="2E7D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Fee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Website care plan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31"/>
                <w:sz w:val="19"/>
              </w:rPr>
              <w:t>Monitoring, backups oversight, software updates and up to two hours of minor content assistance per month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31"/>
                <w:sz w:val="19"/>
              </w:rPr>
              <w:t>BWP 1,250 / month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Commercial terms and assumptions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Client responsibilities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Nominate one decision-maker and the staff members who will edit or approve website content.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Supply and approve accurate text, dates, fees, policies, forms, images and documents, with permission for their use.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Provide required system access and review milestones within three business days where practical.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Assumptions and exclusions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The existing Laravel website remains the technical foundation and can support the required changes.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Migration covers approved public content within the stated limits; substantial rewriting, translation, photography and video are excluded.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Online payments, a full online admissions workflow, third-party licences, hosting, domains, mailboxes and paid media are excluded.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Two consolidated review rounds are included. New scope is documented and priced before work proceeds.</w:t>
      </w:r>
    </w:p>
    <w:p>
      <w:pPr>
        <w:numPr>
          <w:ilvl w:val="0"/>
          <w:numId w:val="200"/>
        </w:numPr>
        <w:spacing w:after="80" w:line="259" w:lineRule="auto"/>
      </w:pPr>
      <w:r>
        <w:rPr>
          <w:rFonts w:ascii="Calibri" w:hAnsi="Calibri"/>
          <w:b w:val="0"/>
          <w:i w:val="0"/>
          <w:color w:val="202631"/>
          <w:sz w:val="22"/>
        </w:rPr>
        <w:t>Custom source code transfers after full payment, subject to third-party licences. The 30-day warranty covers reproducible defects, not content errors, outages, unauthorised changes or new features.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Quotation validity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This budgetary quotation is valid for 30 calendar days from 6 August 2026. Final scope, delivery dates and any tax treatment will be confirmed in the signed statement of work or acceptance record.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Acceptance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202631"/>
          <w:sz w:val="22"/>
        </w:rPr>
        <w:t>By signing below, the authorised representative confirms acceptance of the scope, investment, payment milestones and commercial terms in this quotation.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4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 Kweneng International Secondary School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For DB Systems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 and title: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Name and title: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Signature: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Signature: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Date: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20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Date: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C6673"/>
        <w:sz w:val="18"/>
      </w:rPr>
      <w:t xml:space="preserve">Page </w:t>
    </w: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C6673"/>
        <w:sz w:val="17"/>
      </w:rPr>
      <w:t>DB SYSTEMS  |  WEBSITE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abstractNum w:abstractNumId="2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0">
    <w:abstractNumId w:val="200"/>
  </w:num>
  <w:num w:numId="20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6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Website Quotation - Kweneng International Secondary School</dc:title>
  <dc:subject>Budgetary quotation for the public-facing school website and content-management system</dc:subject>
  <dc:creator>DB Systems</dc:creator>
  <cp:keywords>quotation, website, CMS, Kweneng International, DB Systems</cp:keywords>
  <dc:description>Revised to focus exclusively on the public-facing website quotation.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