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1E379">
      <w:pPr>
        <w:rPr>
          <w:rFonts w:hint="eastAsia" w:ascii="宋体" w:hAnsi="宋体"/>
        </w:rPr>
      </w:pPr>
    </w:p>
    <w:p w14:paraId="65F34E47">
      <w:pPr>
        <w:rPr>
          <w:rFonts w:hint="eastAsia" w:ascii="宋体" w:hAnsi="宋体"/>
          <w:sz w:val="32"/>
          <w:szCs w:val="21"/>
        </w:rPr>
      </w:pPr>
    </w:p>
    <w:p w14:paraId="35207529">
      <w:pPr>
        <w:rPr>
          <w:rFonts w:hint="eastAsia" w:ascii="宋体" w:hAnsi="宋体"/>
          <w:szCs w:val="21"/>
        </w:rPr>
      </w:pPr>
    </w:p>
    <w:p w14:paraId="7920D8D5">
      <w:pPr>
        <w:snapToGrid w:val="0"/>
        <w:jc w:val="center"/>
        <w:rPr>
          <w:rFonts w:hint="eastAsia" w:ascii="宋体" w:hAnsi="宋体"/>
          <w:sz w:val="44"/>
          <w:szCs w:val="44"/>
        </w:rPr>
      </w:pPr>
    </w:p>
    <w:p w14:paraId="5254852A">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宋体" w:hAnsi="宋体"/>
          <w:sz w:val="44"/>
          <w:szCs w:val="44"/>
        </w:rPr>
      </w:pPr>
    </w:p>
    <w:p w14:paraId="1C12FE40">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宋体" w:hAnsi="宋体"/>
          <w:bCs/>
          <w:sz w:val="44"/>
          <w:szCs w:val="36"/>
        </w:rPr>
      </w:pPr>
      <w:r>
        <w:rPr>
          <w:rFonts w:hint="eastAsia" w:ascii="宋体" w:hAnsi="宋体"/>
          <w:bCs/>
          <w:sz w:val="44"/>
          <w:szCs w:val="36"/>
        </w:rPr>
        <w:t>辽宁工程技术大学</w:t>
      </w:r>
    </w:p>
    <w:p w14:paraId="5E9C0B27">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宋体" w:hAnsi="宋体"/>
          <w:sz w:val="72"/>
          <w:szCs w:val="72"/>
        </w:rPr>
      </w:pPr>
      <w:r>
        <w:rPr>
          <w:rFonts w:hint="eastAsia" w:ascii="宋体" w:hAnsi="宋体"/>
          <w:bCs/>
          <w:sz w:val="72"/>
          <w:szCs w:val="72"/>
        </w:rPr>
        <w:t>本科生实习报告书</w:t>
      </w:r>
    </w:p>
    <w:p w14:paraId="2A1D8D1E">
      <w:pPr>
        <w:rPr>
          <w:rFonts w:hint="eastAsia" w:ascii="宋体" w:hAnsi="宋体"/>
          <w:szCs w:val="21"/>
        </w:rPr>
      </w:pPr>
    </w:p>
    <w:p w14:paraId="593B00AE">
      <w:pPr>
        <w:rPr>
          <w:rFonts w:hint="eastAsia" w:ascii="宋体" w:hAnsi="宋体"/>
          <w:szCs w:val="21"/>
        </w:rPr>
      </w:pPr>
    </w:p>
    <w:p w14:paraId="7433DDFD">
      <w:pPr>
        <w:rPr>
          <w:rFonts w:hint="eastAsia" w:ascii="宋体" w:hAnsi="宋体"/>
          <w:szCs w:val="21"/>
        </w:rPr>
      </w:pPr>
    </w:p>
    <w:p w14:paraId="38B9B4D1">
      <w:pPr>
        <w:rPr>
          <w:rFonts w:hint="eastAsia" w:ascii="宋体" w:hAnsi="宋体"/>
          <w:szCs w:val="21"/>
        </w:rPr>
      </w:pPr>
    </w:p>
    <w:p w14:paraId="5F1B130B">
      <w:pPr>
        <w:rPr>
          <w:rFonts w:hint="eastAsia" w:ascii="宋体" w:hAnsi="宋体"/>
          <w:szCs w:val="21"/>
        </w:rPr>
      </w:pPr>
    </w:p>
    <w:p w14:paraId="073103F8">
      <w:pPr>
        <w:rPr>
          <w:rFonts w:hint="eastAsia" w:ascii="宋体" w:hAnsi="宋体"/>
          <w:szCs w:val="21"/>
        </w:rPr>
      </w:pPr>
    </w:p>
    <w:p w14:paraId="48798EF9">
      <w:pPr>
        <w:jc w:val="center"/>
        <w:rPr>
          <w:rFonts w:hint="eastAsia" w:ascii="宋体" w:hAnsi="宋体"/>
          <w:szCs w:val="21"/>
        </w:rPr>
      </w:pPr>
    </w:p>
    <w:p w14:paraId="35CB0EED">
      <w:pPr>
        <w:jc w:val="center"/>
        <w:rPr>
          <w:rFonts w:hint="eastAsia" w:ascii="宋体" w:hAnsi="宋体"/>
          <w:szCs w:val="21"/>
        </w:rPr>
      </w:pPr>
    </w:p>
    <w:p w14:paraId="7A276155">
      <w:pPr>
        <w:jc w:val="center"/>
        <w:rPr>
          <w:rFonts w:hint="eastAsia" w:ascii="宋体" w:hAnsi="宋体"/>
          <w:szCs w:val="21"/>
        </w:rPr>
      </w:pPr>
    </w:p>
    <w:p w14:paraId="0AF4CC55">
      <w:pPr>
        <w:jc w:val="center"/>
        <w:rPr>
          <w:rFonts w:hint="eastAsia" w:ascii="宋体" w:hAnsi="宋体"/>
          <w:szCs w:val="21"/>
        </w:rPr>
      </w:pPr>
    </w:p>
    <w:p w14:paraId="161A1E80">
      <w:pPr>
        <w:jc w:val="center"/>
        <w:rPr>
          <w:rFonts w:hint="eastAsia" w:ascii="宋体" w:hAnsi="宋体"/>
          <w:szCs w:val="21"/>
        </w:rPr>
      </w:pPr>
    </w:p>
    <w:p w14:paraId="1E0E4C65">
      <w:pPr>
        <w:keepNext w:val="0"/>
        <w:keepLines w:val="0"/>
        <w:pageBreakBefore w:val="0"/>
        <w:widowControl w:val="0"/>
        <w:kinsoku/>
        <w:wordWrap/>
        <w:overflowPunct/>
        <w:topLinePunct w:val="0"/>
        <w:autoSpaceDE/>
        <w:autoSpaceDN/>
        <w:bidi w:val="0"/>
        <w:adjustRightInd/>
        <w:snapToGrid/>
        <w:ind w:firstLine="2400" w:firstLineChars="750"/>
        <w:textAlignment w:val="auto"/>
        <w:rPr>
          <w:rFonts w:hint="eastAsia" w:ascii="宋体" w:hAnsi="宋体" w:eastAsia="宋体"/>
          <w:sz w:val="32"/>
          <w:szCs w:val="30"/>
          <w:u w:val="single"/>
          <w:lang w:val="en-US" w:eastAsia="zh-CN"/>
        </w:rPr>
      </w:pPr>
      <w:r>
        <w:rPr>
          <w:rFonts w:hint="eastAsia" w:ascii="宋体" w:hAnsi="宋体"/>
          <w:sz w:val="32"/>
          <w:szCs w:val="30"/>
        </w:rPr>
        <w:t>实习名称</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r>
        <w:rPr>
          <w:rFonts w:hint="eastAsia" w:ascii="宋体" w:hAnsi="宋体"/>
          <w:sz w:val="32"/>
          <w:szCs w:val="30"/>
          <w:u w:val="single"/>
        </w:rPr>
        <w:t xml:space="preserve"> </w:t>
      </w:r>
      <w:r>
        <w:rPr>
          <w:rFonts w:hint="eastAsia" w:ascii="宋体" w:hAnsi="宋体"/>
          <w:sz w:val="32"/>
          <w:szCs w:val="30"/>
          <w:u w:val="single"/>
          <w:lang w:val="en-US" w:eastAsia="zh-CN"/>
        </w:rPr>
        <w:t>生产实习</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p>
    <w:p w14:paraId="2CE93452">
      <w:pPr>
        <w:keepNext w:val="0"/>
        <w:keepLines w:val="0"/>
        <w:pageBreakBefore w:val="0"/>
        <w:widowControl w:val="0"/>
        <w:kinsoku/>
        <w:wordWrap/>
        <w:overflowPunct/>
        <w:topLinePunct w:val="0"/>
        <w:autoSpaceDE/>
        <w:autoSpaceDN/>
        <w:bidi w:val="0"/>
        <w:adjustRightInd/>
        <w:snapToGrid/>
        <w:ind w:firstLine="2400" w:firstLineChars="750"/>
        <w:textAlignment w:val="auto"/>
        <w:rPr>
          <w:rFonts w:hint="eastAsia" w:ascii="宋体" w:hAnsi="宋体" w:eastAsia="宋体"/>
          <w:sz w:val="32"/>
          <w:szCs w:val="30"/>
          <w:u w:val="single"/>
          <w:lang w:val="en-US" w:eastAsia="zh-CN"/>
        </w:rPr>
      </w:pPr>
      <w:r>
        <w:rPr>
          <w:rFonts w:hint="eastAsia" w:ascii="宋体" w:hAnsi="宋体"/>
          <w:sz w:val="32"/>
          <w:szCs w:val="30"/>
        </w:rPr>
        <w:t>专    业</w:t>
      </w:r>
      <w:r>
        <w:rPr>
          <w:rFonts w:hint="eastAsia" w:ascii="宋体" w:hAnsi="宋体"/>
          <w:sz w:val="32"/>
          <w:szCs w:val="30"/>
          <w:u w:val="single"/>
        </w:rPr>
        <w:t xml:space="preserve">    </w:t>
      </w:r>
      <w:r>
        <w:rPr>
          <w:rFonts w:hint="eastAsia" w:ascii="宋体" w:hAnsi="宋体"/>
          <w:sz w:val="32"/>
          <w:szCs w:val="30"/>
          <w:u w:val="single"/>
          <w:lang w:val="en-US" w:eastAsia="zh-CN"/>
        </w:rPr>
        <w:t xml:space="preserve">   机械电子工程 </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p>
    <w:p w14:paraId="1807DA0F">
      <w:pPr>
        <w:keepNext w:val="0"/>
        <w:keepLines w:val="0"/>
        <w:pageBreakBefore w:val="0"/>
        <w:widowControl w:val="0"/>
        <w:kinsoku/>
        <w:wordWrap/>
        <w:overflowPunct/>
        <w:topLinePunct w:val="0"/>
        <w:autoSpaceDE/>
        <w:autoSpaceDN/>
        <w:bidi w:val="0"/>
        <w:adjustRightInd/>
        <w:snapToGrid/>
        <w:ind w:firstLine="2400" w:firstLineChars="750"/>
        <w:textAlignment w:val="auto"/>
        <w:rPr>
          <w:rFonts w:hint="eastAsia" w:ascii="宋体" w:hAnsi="宋体"/>
          <w:sz w:val="32"/>
          <w:szCs w:val="30"/>
          <w:u w:val="single"/>
        </w:rPr>
      </w:pPr>
      <w:r>
        <w:rPr>
          <w:rFonts w:hint="eastAsia" w:ascii="宋体" w:hAnsi="宋体"/>
          <w:sz w:val="32"/>
          <w:szCs w:val="30"/>
        </w:rPr>
        <w:t>班    级</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r>
        <w:rPr>
          <w:rFonts w:hint="eastAsia" w:ascii="宋体" w:hAnsi="宋体"/>
          <w:sz w:val="32"/>
          <w:szCs w:val="30"/>
          <w:u w:val="single"/>
        </w:rPr>
        <w:t xml:space="preserve"> </w:t>
      </w:r>
      <w:r>
        <w:rPr>
          <w:rFonts w:hint="eastAsia" w:ascii="宋体" w:hAnsi="宋体"/>
          <w:sz w:val="32"/>
          <w:szCs w:val="30"/>
          <w:u w:val="single"/>
          <w:lang w:val="en-US" w:eastAsia="zh-CN"/>
        </w:rPr>
        <w:t>机电23-3</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r>
        <w:rPr>
          <w:rFonts w:hint="eastAsia" w:ascii="宋体" w:hAnsi="宋体"/>
          <w:sz w:val="32"/>
          <w:szCs w:val="30"/>
          <w:u w:val="single"/>
        </w:rPr>
        <w:t xml:space="preserve"> </w:t>
      </w:r>
    </w:p>
    <w:p w14:paraId="7A16387E">
      <w:pPr>
        <w:keepNext w:val="0"/>
        <w:keepLines w:val="0"/>
        <w:pageBreakBefore w:val="0"/>
        <w:widowControl w:val="0"/>
        <w:kinsoku/>
        <w:wordWrap/>
        <w:overflowPunct/>
        <w:topLinePunct w:val="0"/>
        <w:autoSpaceDE/>
        <w:autoSpaceDN/>
        <w:bidi w:val="0"/>
        <w:adjustRightInd/>
        <w:snapToGrid/>
        <w:ind w:firstLine="2400" w:firstLineChars="750"/>
        <w:textAlignment w:val="auto"/>
        <w:rPr>
          <w:rFonts w:hint="default" w:ascii="宋体" w:hAnsi="宋体" w:eastAsia="宋体"/>
          <w:sz w:val="32"/>
          <w:szCs w:val="30"/>
          <w:u w:val="single"/>
          <w:lang w:val="en-US" w:eastAsia="zh-CN"/>
        </w:rPr>
      </w:pPr>
      <w:r>
        <w:rPr>
          <w:rFonts w:hint="eastAsia" w:ascii="宋体" w:hAnsi="宋体"/>
          <w:sz w:val="32"/>
          <w:szCs w:val="30"/>
        </w:rPr>
        <w:t>学生姓名</w:t>
      </w:r>
      <w:r>
        <w:rPr>
          <w:rFonts w:hint="eastAsia" w:ascii="宋体" w:hAnsi="宋体"/>
          <w:sz w:val="32"/>
          <w:szCs w:val="30"/>
          <w:u w:val="single"/>
        </w:rPr>
        <w:t xml:space="preserve">    </w:t>
      </w:r>
      <w:r>
        <w:rPr>
          <w:rFonts w:hint="eastAsia" w:ascii="宋体" w:hAnsi="宋体"/>
          <w:sz w:val="32"/>
          <w:szCs w:val="30"/>
          <w:u w:val="single"/>
          <w:lang w:val="en-US" w:eastAsia="zh-CN"/>
        </w:rPr>
        <w:t xml:space="preserve">      付明煜</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p>
    <w:p w14:paraId="379771CA">
      <w:pPr>
        <w:keepNext w:val="0"/>
        <w:keepLines w:val="0"/>
        <w:pageBreakBefore w:val="0"/>
        <w:widowControl w:val="0"/>
        <w:kinsoku/>
        <w:wordWrap/>
        <w:overflowPunct/>
        <w:topLinePunct w:val="0"/>
        <w:autoSpaceDE/>
        <w:autoSpaceDN/>
        <w:bidi w:val="0"/>
        <w:adjustRightInd/>
        <w:snapToGrid/>
        <w:ind w:firstLine="2400" w:firstLineChars="750"/>
        <w:textAlignment w:val="auto"/>
        <w:rPr>
          <w:rFonts w:hint="eastAsia" w:ascii="宋体" w:hAnsi="宋体" w:eastAsia="宋体"/>
          <w:sz w:val="32"/>
          <w:szCs w:val="30"/>
          <w:u w:val="single"/>
          <w:lang w:val="en-US" w:eastAsia="zh-CN"/>
        </w:rPr>
      </w:pPr>
      <w:r>
        <w:rPr>
          <w:rFonts w:hint="eastAsia" w:ascii="宋体" w:hAnsi="宋体"/>
          <w:sz w:val="32"/>
          <w:szCs w:val="30"/>
        </w:rPr>
        <w:t>学    号</w:t>
      </w:r>
      <w:r>
        <w:rPr>
          <w:rFonts w:hint="eastAsia" w:ascii="宋体" w:hAnsi="宋体"/>
          <w:sz w:val="32"/>
          <w:szCs w:val="30"/>
          <w:u w:val="single"/>
        </w:rPr>
        <w:t xml:space="preserve">    </w:t>
      </w:r>
      <w:r>
        <w:rPr>
          <w:rFonts w:hint="eastAsia" w:ascii="宋体" w:hAnsi="宋体"/>
          <w:sz w:val="32"/>
          <w:szCs w:val="30"/>
          <w:u w:val="single"/>
          <w:lang w:val="en-US" w:eastAsia="zh-CN"/>
        </w:rPr>
        <w:t xml:space="preserve">    2307060303     </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p>
    <w:p w14:paraId="2F1BB605">
      <w:pPr>
        <w:keepNext w:val="0"/>
        <w:keepLines w:val="0"/>
        <w:pageBreakBefore w:val="0"/>
        <w:widowControl w:val="0"/>
        <w:kinsoku/>
        <w:wordWrap/>
        <w:overflowPunct/>
        <w:topLinePunct w:val="0"/>
        <w:autoSpaceDE/>
        <w:autoSpaceDN/>
        <w:bidi w:val="0"/>
        <w:adjustRightInd/>
        <w:snapToGrid/>
        <w:ind w:firstLine="2400" w:firstLineChars="750"/>
        <w:textAlignment w:val="auto"/>
        <w:rPr>
          <w:rFonts w:hint="default" w:ascii="宋体" w:hAnsi="宋体" w:eastAsia="宋体"/>
          <w:sz w:val="32"/>
          <w:szCs w:val="30"/>
          <w:u w:val="single"/>
          <w:lang w:val="en-US" w:eastAsia="zh-CN"/>
        </w:rPr>
      </w:pPr>
      <w:r>
        <w:rPr>
          <w:rFonts w:hint="eastAsia" w:ascii="宋体" w:hAnsi="宋体"/>
          <w:sz w:val="32"/>
          <w:szCs w:val="30"/>
        </w:rPr>
        <w:t>指导教师</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r>
        <w:rPr>
          <w:rFonts w:hint="eastAsia" w:ascii="宋体" w:hAnsi="宋体"/>
          <w:sz w:val="32"/>
          <w:szCs w:val="30"/>
          <w:u w:val="single"/>
        </w:rPr>
        <w:t xml:space="preserve">   </w:t>
      </w:r>
      <w:r>
        <w:rPr>
          <w:rFonts w:hint="eastAsia" w:ascii="宋体" w:hAnsi="宋体"/>
          <w:sz w:val="32"/>
          <w:szCs w:val="30"/>
          <w:u w:val="single"/>
          <w:lang w:val="en-US" w:eastAsia="zh-CN"/>
        </w:rPr>
        <w:t>杨伟红</w:t>
      </w:r>
      <w:r>
        <w:rPr>
          <w:rFonts w:hint="eastAsia" w:ascii="宋体" w:hAnsi="宋体"/>
          <w:sz w:val="32"/>
          <w:szCs w:val="30"/>
          <w:u w:val="single"/>
        </w:rPr>
        <w:t xml:space="preserve">        </w:t>
      </w:r>
      <w:r>
        <w:rPr>
          <w:rFonts w:hint="eastAsia" w:ascii="宋体" w:hAnsi="宋体"/>
          <w:sz w:val="32"/>
          <w:szCs w:val="30"/>
          <w:u w:val="single"/>
          <w:lang w:val="en-US" w:eastAsia="zh-CN"/>
        </w:rPr>
        <w:t xml:space="preserve">   </w:t>
      </w:r>
    </w:p>
    <w:p w14:paraId="790E8120">
      <w:pPr>
        <w:rPr>
          <w:rFonts w:hint="eastAsia" w:ascii="宋体" w:hAnsi="宋体"/>
          <w:szCs w:val="21"/>
        </w:rPr>
      </w:pPr>
    </w:p>
    <w:p w14:paraId="09CF7F95">
      <w:pPr>
        <w:rPr>
          <w:rFonts w:hint="eastAsia" w:ascii="宋体" w:hAnsi="宋体"/>
          <w:szCs w:val="21"/>
        </w:rPr>
      </w:pPr>
    </w:p>
    <w:p w14:paraId="53AE423A">
      <w:pPr>
        <w:rPr>
          <w:rFonts w:hint="eastAsia" w:ascii="宋体" w:hAnsi="宋体"/>
          <w:szCs w:val="21"/>
        </w:rPr>
      </w:pPr>
    </w:p>
    <w:p w14:paraId="5F3EE0D7">
      <w:pPr>
        <w:rPr>
          <w:rFonts w:hint="eastAsia" w:ascii="宋体" w:hAnsi="宋体"/>
          <w:szCs w:val="21"/>
        </w:rPr>
      </w:pPr>
    </w:p>
    <w:p w14:paraId="3DDE94A3">
      <w:pPr>
        <w:jc w:val="center"/>
        <w:rPr>
          <w:rFonts w:hint="eastAsia" w:ascii="宋体" w:hAnsi="宋体"/>
          <w:sz w:val="32"/>
          <w:szCs w:val="32"/>
        </w:rPr>
      </w:pPr>
      <w:r>
        <w:rPr>
          <w:rFonts w:hint="eastAsia" w:ascii="宋体" w:hAnsi="宋体"/>
          <w:sz w:val="32"/>
          <w:szCs w:val="32"/>
        </w:rPr>
        <w:t>机械工程学院</w:t>
      </w:r>
    </w:p>
    <w:p w14:paraId="4FE6FB2D">
      <w:pPr>
        <w:jc w:val="center"/>
        <w:rPr>
          <w:rFonts w:hint="eastAsia" w:ascii="宋体" w:hAnsi="宋体"/>
          <w:sz w:val="32"/>
          <w:szCs w:val="32"/>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3993"/>
        <w:gridCol w:w="4441"/>
      </w:tblGrid>
      <w:tr w14:paraId="5D6B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536" w:type="dxa"/>
            <w:vMerge w:val="restart"/>
            <w:noWrap w:val="0"/>
            <w:vAlign w:val="center"/>
          </w:tcPr>
          <w:p w14:paraId="5D4473F5">
            <w:pPr>
              <w:jc w:val="center"/>
              <w:rPr>
                <w:rFonts w:hint="eastAsia" w:ascii="宋体" w:hAnsi="宋体"/>
                <w:sz w:val="24"/>
              </w:rPr>
            </w:pPr>
            <w:r>
              <w:rPr>
                <w:rFonts w:hint="eastAsia" w:ascii="宋体" w:hAnsi="宋体"/>
                <w:sz w:val="24"/>
              </w:rPr>
              <w:t>实习日志</w:t>
            </w:r>
          </w:p>
        </w:tc>
        <w:tc>
          <w:tcPr>
            <w:tcW w:w="3993" w:type="dxa"/>
            <w:noWrap w:val="0"/>
            <w:vAlign w:val="center"/>
          </w:tcPr>
          <w:p w14:paraId="33B52D28">
            <w:pPr>
              <w:rPr>
                <w:rFonts w:hint="eastAsia" w:ascii="宋体" w:hAnsi="宋体"/>
                <w:sz w:val="24"/>
              </w:rPr>
            </w:pPr>
            <w:r>
              <w:rPr>
                <w:rFonts w:hint="eastAsia" w:ascii="宋体" w:hAnsi="宋体"/>
                <w:sz w:val="24"/>
              </w:rPr>
              <w:t>实习时间：</w:t>
            </w:r>
            <w:r>
              <w:rPr>
                <w:rFonts w:hint="eastAsia" w:ascii="宋体" w:hAnsi="宋体"/>
                <w:sz w:val="24"/>
                <w:lang w:val="en-US" w:eastAsia="zh-CN"/>
              </w:rPr>
              <w:t>2026.6.29</w:t>
            </w:r>
            <w:r>
              <w:rPr>
                <w:rFonts w:hint="eastAsia" w:ascii="宋体" w:hAnsi="宋体"/>
                <w:sz w:val="24"/>
              </w:rPr>
              <w:t xml:space="preserve">  </w:t>
            </w:r>
          </w:p>
        </w:tc>
        <w:tc>
          <w:tcPr>
            <w:tcW w:w="4441" w:type="dxa"/>
            <w:noWrap w:val="0"/>
            <w:vAlign w:val="center"/>
          </w:tcPr>
          <w:p w14:paraId="48532D12">
            <w:pPr>
              <w:rPr>
                <w:rFonts w:hint="eastAsia" w:ascii="宋体" w:hAnsi="宋体"/>
                <w:sz w:val="24"/>
              </w:rPr>
            </w:pPr>
            <w:r>
              <w:rPr>
                <w:rFonts w:hint="eastAsia" w:ascii="宋体" w:hAnsi="宋体"/>
                <w:sz w:val="24"/>
              </w:rPr>
              <w:t>实习单位：</w:t>
            </w:r>
            <w:r>
              <w:rPr>
                <w:rFonts w:hint="eastAsia" w:ascii="宋体" w:hAnsi="宋体" w:eastAsia="宋体" w:cs="宋体"/>
                <w:i w:val="0"/>
                <w:iCs w:val="0"/>
                <w:caps w:val="0"/>
                <w:spacing w:val="0"/>
                <w:sz w:val="24"/>
                <w:szCs w:val="24"/>
                <w:shd w:val="clear" w:fill="FFFFFF"/>
                <w:lang w:val="en-US" w:eastAsia="zh-CN"/>
              </w:rPr>
              <w:t>新松机器人</w:t>
            </w:r>
            <w:r>
              <w:rPr>
                <w:rFonts w:hint="eastAsia" w:ascii="宋体" w:hAnsi="宋体"/>
                <w:sz w:val="24"/>
              </w:rPr>
              <w:t xml:space="preserve"> </w:t>
            </w:r>
          </w:p>
        </w:tc>
      </w:tr>
      <w:tr w14:paraId="28DB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5" w:hRule="atLeast"/>
        </w:trPr>
        <w:tc>
          <w:tcPr>
            <w:tcW w:w="536" w:type="dxa"/>
            <w:vMerge w:val="continue"/>
            <w:noWrap w:val="0"/>
            <w:vAlign w:val="top"/>
          </w:tcPr>
          <w:p w14:paraId="29821DE5">
            <w:pPr>
              <w:rPr>
                <w:rFonts w:hint="eastAsia" w:ascii="宋体" w:hAnsi="宋体"/>
                <w:sz w:val="24"/>
              </w:rPr>
            </w:pPr>
          </w:p>
        </w:tc>
        <w:tc>
          <w:tcPr>
            <w:tcW w:w="8434" w:type="dxa"/>
            <w:gridSpan w:val="2"/>
            <w:noWrap w:val="0"/>
            <w:vAlign w:val="top"/>
          </w:tcPr>
          <w:p w14:paraId="32FD2649">
            <w:pPr>
              <w:rPr>
                <w:rFonts w:hint="eastAsia" w:ascii="宋体" w:hAnsi="宋体"/>
                <w:sz w:val="24"/>
              </w:rPr>
            </w:pPr>
            <w:r>
              <w:rPr>
                <w:rFonts w:hint="eastAsia" w:ascii="宋体" w:hAnsi="宋体"/>
                <w:sz w:val="24"/>
              </w:rPr>
              <w:t>实习内容：</w:t>
            </w:r>
          </w:p>
          <w:p w14:paraId="3DEF5D60">
            <w:pPr>
              <w:rPr>
                <w:rFonts w:hint="eastAsia" w:ascii="宋体" w:hAnsi="宋体"/>
                <w:sz w:val="24"/>
              </w:rPr>
            </w:pPr>
          </w:p>
          <w:p w14:paraId="20FD45E5">
            <w:pPr>
              <w:rPr>
                <w:rFonts w:hint="eastAsia" w:ascii="宋体" w:hAnsi="宋体"/>
                <w:sz w:val="24"/>
              </w:rPr>
            </w:pPr>
            <w:r>
              <w:rPr>
                <w:rFonts w:hint="eastAsia" w:ascii="宋体" w:hAnsi="宋体"/>
                <w:sz w:val="24"/>
              </w:rPr>
              <w:t>今天在新松机器人完成工业机器人柔性制造单元的参观与基础操作训练。工程师先以汽车零部件上下料工位为例，说明机器人并不是孤立设备，而是与视觉相机、输送线、夹具、控制柜和安全围栏共同组成生产单元。通过观察不同型号机械臂的工作范围和负载等级，我理解了设备选型需要同时考虑节拍、末端工具、安装空间和维护便利性。</w:t>
            </w:r>
          </w:p>
          <w:p w14:paraId="1B065215">
            <w:pPr>
              <w:rPr>
                <w:rFonts w:hint="eastAsia" w:ascii="宋体" w:hAnsi="宋体"/>
                <w:sz w:val="24"/>
              </w:rPr>
            </w:pPr>
          </w:p>
          <w:p w14:paraId="6E693E83">
            <w:pPr>
              <w:rPr>
                <w:rFonts w:hint="eastAsia" w:ascii="宋体" w:hAnsi="宋体"/>
                <w:sz w:val="24"/>
              </w:rPr>
            </w:pPr>
          </w:p>
          <w:p w14:paraId="1880B93A">
            <w:pPr>
              <w:rPr>
                <w:rFonts w:hint="eastAsia" w:ascii="宋体" w:hAnsi="宋体"/>
                <w:sz w:val="24"/>
              </w:rPr>
            </w:pPr>
            <w:r>
              <w:rPr>
                <w:rFonts w:hint="eastAsia" w:ascii="宋体" w:hAnsi="宋体"/>
                <w:sz w:val="24"/>
              </w:rPr>
              <w:t>随后开展示教编程练习。我们在低速安全模式下完成机械臂回零、关节坐标点动、工具坐标切换和程序保存等操作，并根据工件摆放位置设置取料点、过渡点和放料点。调试过程中发现，路径虽然能够运行，但若转角过大或加减速设置不合理，末端夹爪会出现明显抖动。通过分段修改姿态和速度参数后，机械臂运行更加平稳。此次实训使我认识到，工业机器人应用的核心不只是让机械臂“动起来”，更重要的是在精度、节拍与安全之间建立稳定的平衡。</w:t>
            </w:r>
          </w:p>
          <w:p w14:paraId="7FF3FC54">
            <w:pPr>
              <w:rPr>
                <w:rFonts w:hint="eastAsia" w:ascii="宋体" w:hAnsi="宋体"/>
                <w:sz w:val="24"/>
              </w:rPr>
            </w:pPr>
          </w:p>
          <w:p w14:paraId="722F16FE">
            <w:pPr>
              <w:rPr>
                <w:rFonts w:hint="eastAsia" w:ascii="宋体" w:hAnsi="宋体"/>
                <w:sz w:val="24"/>
              </w:rPr>
            </w:pPr>
          </w:p>
          <w:p w14:paraId="28641F0F">
            <w:pPr>
              <w:rPr>
                <w:rFonts w:hint="eastAsia" w:ascii="宋体" w:hAnsi="宋体"/>
                <w:sz w:val="24"/>
              </w:rPr>
            </w:pPr>
          </w:p>
        </w:tc>
      </w:tr>
      <w:tr w14:paraId="59B4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536" w:type="dxa"/>
            <w:vMerge w:val="restart"/>
            <w:tcBorders>
              <w:top w:val="single" w:color="auto" w:sz="4" w:space="0"/>
              <w:left w:val="single" w:color="auto" w:sz="4" w:space="0"/>
              <w:bottom w:val="single" w:color="auto" w:sz="4" w:space="0"/>
              <w:right w:val="single" w:color="auto" w:sz="4" w:space="0"/>
            </w:tcBorders>
            <w:noWrap w:val="0"/>
            <w:vAlign w:val="center"/>
          </w:tcPr>
          <w:p w14:paraId="5C8FB15C">
            <w:pPr>
              <w:jc w:val="center"/>
              <w:rPr>
                <w:rFonts w:hint="eastAsia" w:ascii="宋体" w:hAnsi="宋体"/>
                <w:sz w:val="24"/>
              </w:rPr>
            </w:pPr>
            <w:r>
              <w:rPr>
                <w:rFonts w:hint="eastAsia" w:ascii="宋体" w:hAnsi="宋体"/>
                <w:sz w:val="24"/>
              </w:rPr>
              <w:t>实习日志</w:t>
            </w:r>
          </w:p>
        </w:tc>
        <w:tc>
          <w:tcPr>
            <w:tcW w:w="3993" w:type="dxa"/>
            <w:tcBorders>
              <w:top w:val="single" w:color="auto" w:sz="4" w:space="0"/>
              <w:left w:val="single" w:color="auto" w:sz="4" w:space="0"/>
              <w:bottom w:val="single" w:color="auto" w:sz="4" w:space="0"/>
              <w:right w:val="single" w:color="auto" w:sz="4" w:space="0"/>
            </w:tcBorders>
            <w:noWrap w:val="0"/>
            <w:vAlign w:val="center"/>
          </w:tcPr>
          <w:p w14:paraId="0E087CAA">
            <w:pPr>
              <w:rPr>
                <w:rFonts w:hint="default" w:ascii="宋体" w:hAnsi="宋体" w:eastAsia="宋体"/>
                <w:sz w:val="24"/>
                <w:lang w:val="en-US" w:eastAsia="zh-CN"/>
              </w:rPr>
            </w:pPr>
            <w:r>
              <w:rPr>
                <w:rFonts w:hint="eastAsia" w:ascii="宋体" w:hAnsi="宋体"/>
                <w:sz w:val="24"/>
              </w:rPr>
              <w:t>实习时间：</w:t>
            </w:r>
            <w:r>
              <w:rPr>
                <w:rFonts w:hint="eastAsia" w:ascii="宋体" w:hAnsi="宋体"/>
                <w:sz w:val="24"/>
                <w:lang w:val="en-US" w:eastAsia="zh-CN"/>
              </w:rPr>
              <w:t>2026.6.29</w:t>
            </w:r>
          </w:p>
        </w:tc>
        <w:tc>
          <w:tcPr>
            <w:tcW w:w="4441" w:type="dxa"/>
            <w:tcBorders>
              <w:top w:val="single" w:color="auto" w:sz="4" w:space="0"/>
              <w:left w:val="single" w:color="auto" w:sz="4" w:space="0"/>
              <w:bottom w:val="single" w:color="auto" w:sz="4" w:space="0"/>
              <w:right w:val="single" w:color="auto" w:sz="4" w:space="0"/>
            </w:tcBorders>
            <w:noWrap w:val="0"/>
            <w:vAlign w:val="center"/>
          </w:tcPr>
          <w:p w14:paraId="3FE1010A">
            <w:pPr>
              <w:rPr>
                <w:rFonts w:hint="eastAsia" w:ascii="宋体" w:hAnsi="宋体"/>
                <w:sz w:val="24"/>
              </w:rPr>
            </w:pPr>
            <w:r>
              <w:rPr>
                <w:rFonts w:hint="eastAsia" w:ascii="宋体" w:hAnsi="宋体"/>
                <w:sz w:val="24"/>
              </w:rPr>
              <w:t>实习单位：</w:t>
            </w:r>
            <w:r>
              <w:rPr>
                <w:rFonts w:hint="eastAsia" w:ascii="宋体" w:hAnsi="宋体" w:eastAsia="宋体" w:cs="宋体"/>
                <w:i w:val="0"/>
                <w:iCs w:val="0"/>
                <w:caps w:val="0"/>
                <w:spacing w:val="0"/>
                <w:sz w:val="24"/>
                <w:szCs w:val="24"/>
                <w:shd w:val="clear" w:fill="FFFFFF"/>
                <w:lang w:val="en-US" w:eastAsia="zh-CN"/>
              </w:rPr>
              <w:t>龙芯科技</w:t>
            </w:r>
          </w:p>
        </w:tc>
      </w:tr>
      <w:tr w14:paraId="1FB3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5" w:hRule="atLeast"/>
        </w:trPr>
        <w:tc>
          <w:tcPr>
            <w:tcW w:w="536" w:type="dxa"/>
            <w:vMerge w:val="continue"/>
            <w:noWrap w:val="0"/>
            <w:vAlign w:val="top"/>
          </w:tcPr>
          <w:p w14:paraId="51C834F3">
            <w:pPr>
              <w:rPr>
                <w:rFonts w:hint="eastAsia" w:ascii="宋体" w:hAnsi="宋体"/>
                <w:sz w:val="24"/>
              </w:rPr>
            </w:pPr>
          </w:p>
        </w:tc>
        <w:tc>
          <w:tcPr>
            <w:tcW w:w="8434" w:type="dxa"/>
            <w:gridSpan w:val="2"/>
            <w:noWrap w:val="0"/>
            <w:vAlign w:val="top"/>
          </w:tcPr>
          <w:p w14:paraId="2AE127EA">
            <w:pPr>
              <w:rPr>
                <w:rFonts w:hint="eastAsia" w:ascii="宋体" w:hAnsi="宋体"/>
                <w:sz w:val="24"/>
              </w:rPr>
            </w:pPr>
            <w:r>
              <w:rPr>
                <w:rFonts w:hint="eastAsia" w:ascii="宋体" w:hAnsi="宋体"/>
                <w:sz w:val="24"/>
              </w:rPr>
              <w:t>实习内容：</w:t>
            </w:r>
          </w:p>
          <w:p w14:paraId="7FDA3AB5">
            <w:pPr>
              <w:rPr>
                <w:rFonts w:hint="default" w:ascii="宋体" w:hAnsi="宋体"/>
                <w:sz w:val="24"/>
                <w:lang w:val="en-US" w:eastAsia="zh-CN"/>
              </w:rPr>
            </w:pPr>
          </w:p>
          <w:p w14:paraId="3FEF036F">
            <w:pPr>
              <w:rPr>
                <w:rFonts w:hint="eastAsia" w:ascii="宋体" w:hAnsi="宋体"/>
                <w:sz w:val="24"/>
              </w:rPr>
            </w:pPr>
            <w:r>
              <w:rPr>
                <w:rFonts w:hint="eastAsia" w:ascii="宋体" w:hAnsi="宋体"/>
                <w:sz w:val="24"/>
              </w:rPr>
              <w:t>在龙芯科技的实训中，主要学习国产 PLC 控制系统的基本组成、I/O 接线方法和典型控制逻辑。讲解环节围绕“输入采集—程序运算—输出执行”的扫描周期展开，教师通过传送带分拣案例说明了传感器、继电器、电磁阀和伺服驱动器之间的信号关系。与单纯阅读梯形图相比，现场观察控制柜内端子排、断路器和模块布置，让我对控制系统的工程化结构有了更直观的认识。</w:t>
            </w:r>
          </w:p>
          <w:p w14:paraId="23889921">
            <w:pPr>
              <w:rPr>
                <w:rFonts w:hint="eastAsia" w:ascii="宋体" w:hAnsi="宋体"/>
                <w:sz w:val="24"/>
              </w:rPr>
            </w:pPr>
          </w:p>
          <w:p w14:paraId="145C215B">
            <w:pPr>
              <w:rPr>
                <w:rFonts w:hint="eastAsia" w:ascii="宋体" w:hAnsi="宋体"/>
                <w:sz w:val="24"/>
              </w:rPr>
            </w:pPr>
          </w:p>
          <w:p w14:paraId="72F6FCC9">
            <w:pPr>
              <w:rPr>
                <w:rFonts w:hint="eastAsia" w:ascii="宋体" w:hAnsi="宋体"/>
                <w:sz w:val="24"/>
              </w:rPr>
            </w:pPr>
            <w:r>
              <w:rPr>
                <w:rFonts w:hint="eastAsia" w:ascii="宋体" w:hAnsi="宋体"/>
                <w:sz w:val="24"/>
              </w:rPr>
              <w:t>分组操作时，我们按照端子编号连接按钮、指示灯和光电传感器，并在通电前完成导线压接检查、回路核对和绝缘确认。调试阶段通过强制输入和在线监控观察状态变化，验证启动、停止、急停和故障复位等逻辑是否正确。工程师特别强调，现场接线必须把安全回路与普通控制回路区分处理，任何跳线和修改都要有记录、可追溯。通过本次实训，我进一步理解了国产工控平台在智能装备中的应用价值，也体会到电气控制工作对规范和细节的严格要求。</w:t>
            </w:r>
          </w:p>
          <w:p w14:paraId="469C7AEB">
            <w:pPr>
              <w:rPr>
                <w:rFonts w:hint="eastAsia" w:ascii="宋体" w:hAnsi="宋体"/>
                <w:sz w:val="24"/>
              </w:rPr>
            </w:pPr>
          </w:p>
          <w:p w14:paraId="501C7E25">
            <w:pPr>
              <w:rPr>
                <w:rFonts w:hint="eastAsia" w:ascii="宋体" w:hAnsi="宋体"/>
                <w:sz w:val="24"/>
              </w:rPr>
            </w:pPr>
          </w:p>
          <w:p w14:paraId="265083D4">
            <w:pPr>
              <w:rPr>
                <w:rFonts w:hint="eastAsia" w:ascii="宋体" w:hAnsi="宋体"/>
                <w:sz w:val="24"/>
              </w:rPr>
            </w:pPr>
          </w:p>
          <w:p w14:paraId="6C768364">
            <w:pPr>
              <w:rPr>
                <w:rFonts w:hint="eastAsia" w:ascii="宋体" w:hAnsi="宋体"/>
                <w:sz w:val="24"/>
              </w:rPr>
            </w:pPr>
          </w:p>
          <w:p w14:paraId="0976857D">
            <w:pPr>
              <w:rPr>
                <w:rFonts w:hint="eastAsia" w:ascii="宋体" w:hAnsi="宋体"/>
                <w:sz w:val="24"/>
              </w:rPr>
            </w:pPr>
          </w:p>
        </w:tc>
      </w:tr>
    </w:tbl>
    <w:p w14:paraId="2BC0C040">
      <w:pPr>
        <w:rPr>
          <w:rFonts w:hint="eastAsia" w:ascii="宋体" w:hAnsi="宋体"/>
          <w:szCs w:val="21"/>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6"/>
        <w:gridCol w:w="3993"/>
        <w:gridCol w:w="4441"/>
      </w:tblGrid>
      <w:tr w14:paraId="40F8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536" w:type="dxa"/>
            <w:vMerge w:val="restart"/>
            <w:noWrap w:val="0"/>
            <w:vAlign w:val="center"/>
          </w:tcPr>
          <w:p w14:paraId="72C8B79F">
            <w:pPr>
              <w:jc w:val="center"/>
              <w:rPr>
                <w:rFonts w:hint="eastAsia" w:ascii="宋体" w:hAnsi="宋体"/>
                <w:sz w:val="24"/>
              </w:rPr>
            </w:pPr>
            <w:r>
              <w:rPr>
                <w:rFonts w:hint="eastAsia" w:ascii="宋体" w:hAnsi="宋体"/>
                <w:sz w:val="24"/>
              </w:rPr>
              <w:t>实习日志</w:t>
            </w:r>
          </w:p>
        </w:tc>
        <w:tc>
          <w:tcPr>
            <w:tcW w:w="3993" w:type="dxa"/>
            <w:noWrap w:val="0"/>
            <w:vAlign w:val="center"/>
          </w:tcPr>
          <w:p w14:paraId="11190558">
            <w:pPr>
              <w:rPr>
                <w:rFonts w:hint="default" w:ascii="宋体" w:hAnsi="宋体" w:eastAsia="宋体"/>
                <w:sz w:val="24"/>
                <w:lang w:val="en-US" w:eastAsia="zh-CN"/>
              </w:rPr>
            </w:pPr>
            <w:r>
              <w:rPr>
                <w:rFonts w:hint="eastAsia" w:ascii="宋体" w:hAnsi="宋体"/>
                <w:sz w:val="24"/>
              </w:rPr>
              <w:t>实习时间：</w:t>
            </w:r>
            <w:r>
              <w:rPr>
                <w:rFonts w:hint="eastAsia" w:ascii="宋体" w:hAnsi="宋体"/>
                <w:sz w:val="24"/>
                <w:lang w:val="en-US" w:eastAsia="zh-CN"/>
              </w:rPr>
              <w:t>2026.6.30</w:t>
            </w:r>
          </w:p>
        </w:tc>
        <w:tc>
          <w:tcPr>
            <w:tcW w:w="4441" w:type="dxa"/>
            <w:noWrap w:val="0"/>
            <w:vAlign w:val="center"/>
          </w:tcPr>
          <w:p w14:paraId="067590F3">
            <w:pPr>
              <w:rPr>
                <w:rFonts w:hint="eastAsia" w:ascii="宋体" w:hAnsi="宋体"/>
                <w:sz w:val="24"/>
              </w:rPr>
            </w:pPr>
            <w:r>
              <w:rPr>
                <w:rFonts w:hint="eastAsia" w:ascii="宋体" w:hAnsi="宋体"/>
                <w:sz w:val="24"/>
              </w:rPr>
              <w:t>实习单位：</w:t>
            </w:r>
            <w:r>
              <w:rPr>
                <w:rFonts w:hint="eastAsia" w:ascii="宋体" w:hAnsi="宋体" w:eastAsia="宋体" w:cs="宋体"/>
                <w:i w:val="0"/>
                <w:iCs w:val="0"/>
                <w:caps w:val="0"/>
                <w:spacing w:val="0"/>
                <w:sz w:val="24"/>
                <w:szCs w:val="24"/>
                <w:shd w:val="clear" w:fill="FFFFFF"/>
                <w:lang w:val="en-US" w:eastAsia="zh-CN"/>
              </w:rPr>
              <w:t>海德科技</w:t>
            </w:r>
            <w:r>
              <w:rPr>
                <w:rFonts w:hint="eastAsia" w:ascii="宋体" w:hAnsi="宋体" w:eastAsia="宋体" w:cs="宋体"/>
                <w:sz w:val="24"/>
                <w:szCs w:val="24"/>
              </w:rPr>
              <w:t xml:space="preserve"> </w:t>
            </w:r>
          </w:p>
        </w:tc>
      </w:tr>
      <w:tr w14:paraId="6093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5" w:hRule="atLeast"/>
        </w:trPr>
        <w:tc>
          <w:tcPr>
            <w:tcW w:w="536" w:type="dxa"/>
            <w:vMerge w:val="continue"/>
            <w:noWrap w:val="0"/>
            <w:vAlign w:val="top"/>
          </w:tcPr>
          <w:p w14:paraId="39F613AF">
            <w:pPr>
              <w:rPr>
                <w:rFonts w:hint="eastAsia" w:ascii="宋体" w:hAnsi="宋体"/>
                <w:sz w:val="24"/>
              </w:rPr>
            </w:pPr>
          </w:p>
        </w:tc>
        <w:tc>
          <w:tcPr>
            <w:tcW w:w="8434" w:type="dxa"/>
            <w:gridSpan w:val="2"/>
            <w:noWrap w:val="0"/>
            <w:vAlign w:val="top"/>
          </w:tcPr>
          <w:p w14:paraId="3EEDE7FB">
            <w:pPr>
              <w:rPr>
                <w:rFonts w:hint="eastAsia" w:ascii="宋体" w:hAnsi="宋体"/>
                <w:sz w:val="24"/>
              </w:rPr>
            </w:pPr>
            <w:r>
              <w:rPr>
                <w:rFonts w:hint="eastAsia" w:ascii="宋体" w:hAnsi="宋体"/>
                <w:sz w:val="24"/>
              </w:rPr>
              <w:t>实习内容：</w:t>
            </w:r>
          </w:p>
          <w:p w14:paraId="49082FBE">
            <w:pPr>
              <w:rPr>
                <w:rFonts w:hint="eastAsia" w:ascii="宋体" w:hAnsi="宋体"/>
                <w:sz w:val="24"/>
              </w:rPr>
            </w:pPr>
          </w:p>
          <w:p w14:paraId="135955F5">
            <w:pPr>
              <w:rPr>
                <w:rFonts w:hint="eastAsia" w:ascii="宋体" w:hAnsi="宋体" w:eastAsia="宋体" w:cs="宋体"/>
                <w:sz w:val="24"/>
                <w:szCs w:val="24"/>
              </w:rPr>
            </w:pPr>
            <w:r>
              <w:rPr>
                <w:rFonts w:hint="eastAsia" w:ascii="宋体" w:hAnsi="宋体" w:eastAsia="宋体" w:cs="宋体"/>
                <w:sz w:val="24"/>
                <w:szCs w:val="24"/>
              </w:rPr>
              <w:t>上午在海德科技学习超高压水射流切割的设备结构与工艺特点。现场设备由增压泵、储能器、高压管路、数控工作台、切割头和磨料供给系统组成。工程师展示了从二维图形导入、工件找正到自动切割的完整过程，并重点说明了压力、喷嘴直径、磨料流量和进给速度对切口质量的影响。水射流加工以机械能去除材料，适合热敏感或形状复杂的工件，因此在复合材料、石材和厚板加工中具有较强适应性。</w:t>
            </w:r>
          </w:p>
          <w:p w14:paraId="06486128">
            <w:pPr>
              <w:rPr>
                <w:rFonts w:hint="eastAsia" w:ascii="宋体" w:hAnsi="宋体" w:eastAsia="宋体" w:cs="宋体"/>
                <w:sz w:val="24"/>
                <w:szCs w:val="24"/>
              </w:rPr>
            </w:pPr>
          </w:p>
          <w:p w14:paraId="2F1F0DBA">
            <w:pPr>
              <w:rPr>
                <w:rFonts w:hint="eastAsia" w:ascii="宋体" w:hAnsi="宋体" w:eastAsia="宋体" w:cs="宋体"/>
                <w:sz w:val="24"/>
                <w:szCs w:val="24"/>
              </w:rPr>
            </w:pPr>
          </w:p>
          <w:p w14:paraId="17B938DA">
            <w:pPr>
              <w:rPr>
                <w:rFonts w:hint="eastAsia" w:ascii="宋体" w:hAnsi="宋体" w:eastAsia="宋体" w:cs="宋体"/>
                <w:sz w:val="24"/>
                <w:szCs w:val="24"/>
              </w:rPr>
            </w:pPr>
            <w:r>
              <w:rPr>
                <w:rFonts w:hint="eastAsia" w:ascii="宋体" w:hAnsi="宋体" w:eastAsia="宋体" w:cs="宋体"/>
                <w:sz w:val="24"/>
                <w:szCs w:val="24"/>
              </w:rPr>
              <w:t>实训中，我们围绕设备安全进行了专项练习，包括检查高压接头、防护门状态、砂管磨损和急停装置。随后在数控界面中观察不同速度下的路径跟随情况，并讨论了切割速度过快导致切口粗糙、速度过慢造成效率下降的问题。与传统热切割相比，水切割可以减少热影响带来的变形，但对高压系统维护和耗材管理提出了更高要求。这一环节让我理解了特种加工设备的优势来自工艺选择，也来自稳定的设备管理。</w:t>
            </w:r>
          </w:p>
          <w:p w14:paraId="7DF2B090">
            <w:pPr>
              <w:rPr>
                <w:rFonts w:hint="eastAsia" w:ascii="宋体" w:hAnsi="宋体"/>
                <w:sz w:val="24"/>
              </w:rPr>
            </w:pPr>
          </w:p>
          <w:p w14:paraId="3FAE9ABF">
            <w:pPr>
              <w:rPr>
                <w:rFonts w:hint="eastAsia" w:ascii="宋体" w:hAnsi="宋体"/>
                <w:sz w:val="24"/>
              </w:rPr>
            </w:pPr>
          </w:p>
          <w:p w14:paraId="09616F8D">
            <w:pPr>
              <w:rPr>
                <w:rFonts w:hint="eastAsia" w:ascii="宋体" w:hAnsi="宋体"/>
                <w:sz w:val="24"/>
              </w:rPr>
            </w:pPr>
          </w:p>
          <w:p w14:paraId="0E45F750">
            <w:pPr>
              <w:rPr>
                <w:rFonts w:hint="eastAsia" w:ascii="宋体" w:hAnsi="宋体"/>
                <w:sz w:val="24"/>
              </w:rPr>
            </w:pPr>
          </w:p>
        </w:tc>
      </w:tr>
      <w:tr w14:paraId="7E2F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536" w:type="dxa"/>
            <w:vMerge w:val="restart"/>
            <w:tcBorders>
              <w:top w:val="single" w:color="auto" w:sz="4" w:space="0"/>
              <w:left w:val="single" w:color="auto" w:sz="4" w:space="0"/>
              <w:bottom w:val="single" w:color="auto" w:sz="4" w:space="0"/>
              <w:right w:val="single" w:color="auto" w:sz="4" w:space="0"/>
            </w:tcBorders>
            <w:noWrap w:val="0"/>
            <w:vAlign w:val="center"/>
          </w:tcPr>
          <w:p w14:paraId="05DF7D50">
            <w:pPr>
              <w:jc w:val="center"/>
              <w:rPr>
                <w:rFonts w:hint="eastAsia" w:ascii="宋体" w:hAnsi="宋体"/>
                <w:sz w:val="24"/>
              </w:rPr>
            </w:pPr>
            <w:r>
              <w:rPr>
                <w:rFonts w:hint="eastAsia" w:ascii="宋体" w:hAnsi="宋体"/>
                <w:sz w:val="24"/>
              </w:rPr>
              <w:t>实习日志</w:t>
            </w:r>
          </w:p>
        </w:tc>
        <w:tc>
          <w:tcPr>
            <w:tcW w:w="3993" w:type="dxa"/>
            <w:tcBorders>
              <w:top w:val="single" w:color="auto" w:sz="4" w:space="0"/>
              <w:left w:val="single" w:color="auto" w:sz="4" w:space="0"/>
              <w:bottom w:val="single" w:color="auto" w:sz="4" w:space="0"/>
              <w:right w:val="single" w:color="auto" w:sz="4" w:space="0"/>
            </w:tcBorders>
            <w:noWrap w:val="0"/>
            <w:vAlign w:val="center"/>
          </w:tcPr>
          <w:p w14:paraId="33CA7497">
            <w:pPr>
              <w:rPr>
                <w:rFonts w:hint="default" w:ascii="宋体" w:hAnsi="宋体" w:eastAsia="宋体"/>
                <w:sz w:val="24"/>
                <w:lang w:val="en-US" w:eastAsia="zh-CN"/>
              </w:rPr>
            </w:pPr>
            <w:r>
              <w:rPr>
                <w:rFonts w:hint="eastAsia" w:ascii="宋体" w:hAnsi="宋体"/>
                <w:sz w:val="24"/>
              </w:rPr>
              <w:t>实习时间：</w:t>
            </w:r>
            <w:r>
              <w:rPr>
                <w:rFonts w:hint="eastAsia" w:ascii="宋体" w:hAnsi="宋体"/>
                <w:sz w:val="24"/>
                <w:lang w:val="en-US" w:eastAsia="zh-CN"/>
              </w:rPr>
              <w:t>2026.6.30</w:t>
            </w:r>
          </w:p>
        </w:tc>
        <w:tc>
          <w:tcPr>
            <w:tcW w:w="4441" w:type="dxa"/>
            <w:tcBorders>
              <w:top w:val="single" w:color="auto" w:sz="4" w:space="0"/>
              <w:left w:val="single" w:color="auto" w:sz="4" w:space="0"/>
              <w:bottom w:val="single" w:color="auto" w:sz="4" w:space="0"/>
              <w:right w:val="single" w:color="auto" w:sz="4" w:space="0"/>
            </w:tcBorders>
            <w:noWrap w:val="0"/>
            <w:vAlign w:val="center"/>
          </w:tcPr>
          <w:p w14:paraId="7D8BA82B">
            <w:pPr>
              <w:rPr>
                <w:rFonts w:hint="eastAsia" w:ascii="宋体" w:hAnsi="宋体"/>
                <w:sz w:val="24"/>
              </w:rPr>
            </w:pPr>
            <w:r>
              <w:rPr>
                <w:rFonts w:hint="eastAsia" w:ascii="宋体" w:hAnsi="宋体"/>
                <w:sz w:val="24"/>
              </w:rPr>
              <w:t>实习单位：</w:t>
            </w:r>
            <w:r>
              <w:rPr>
                <w:rFonts w:hint="eastAsia" w:ascii="宋体" w:hAnsi="宋体" w:eastAsia="宋体" w:cs="宋体"/>
                <w:i w:val="0"/>
                <w:iCs w:val="0"/>
                <w:caps w:val="0"/>
                <w:spacing w:val="0"/>
                <w:sz w:val="24"/>
                <w:szCs w:val="24"/>
                <w:shd w:val="clear" w:fill="FFFFFF"/>
                <w:lang w:val="en-US" w:eastAsia="zh-CN"/>
              </w:rPr>
              <w:t>华维激光</w:t>
            </w:r>
            <w:r>
              <w:rPr>
                <w:rFonts w:hint="eastAsia" w:ascii="宋体" w:hAnsi="宋体" w:eastAsia="宋体" w:cs="宋体"/>
                <w:sz w:val="24"/>
                <w:szCs w:val="24"/>
              </w:rPr>
              <w:t xml:space="preserve"> </w:t>
            </w:r>
          </w:p>
        </w:tc>
      </w:tr>
      <w:tr w14:paraId="4128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5" w:hRule="atLeast"/>
        </w:trPr>
        <w:tc>
          <w:tcPr>
            <w:tcW w:w="536" w:type="dxa"/>
            <w:vMerge w:val="continue"/>
            <w:noWrap w:val="0"/>
            <w:vAlign w:val="top"/>
          </w:tcPr>
          <w:p w14:paraId="2E481A25">
            <w:pPr>
              <w:rPr>
                <w:rFonts w:hint="eastAsia" w:ascii="宋体" w:hAnsi="宋体"/>
                <w:sz w:val="24"/>
              </w:rPr>
            </w:pPr>
          </w:p>
        </w:tc>
        <w:tc>
          <w:tcPr>
            <w:tcW w:w="8434" w:type="dxa"/>
            <w:gridSpan w:val="2"/>
            <w:noWrap w:val="0"/>
            <w:vAlign w:val="top"/>
          </w:tcPr>
          <w:p w14:paraId="57357A17">
            <w:pPr>
              <w:rPr>
                <w:rFonts w:hint="eastAsia" w:ascii="宋体" w:hAnsi="宋体"/>
                <w:sz w:val="24"/>
              </w:rPr>
            </w:pPr>
            <w:r>
              <w:rPr>
                <w:rFonts w:hint="eastAsia" w:ascii="宋体" w:hAnsi="宋体"/>
                <w:sz w:val="24"/>
              </w:rPr>
              <w:t>实习内容：</w:t>
            </w:r>
          </w:p>
          <w:p w14:paraId="1611298D">
            <w:pPr>
              <w:rPr>
                <w:rFonts w:hint="eastAsia" w:ascii="宋体" w:hAnsi="宋体"/>
                <w:sz w:val="24"/>
              </w:rPr>
            </w:pPr>
          </w:p>
          <w:p w14:paraId="631619D5">
            <w:pPr>
              <w:rPr>
                <w:rFonts w:hint="eastAsia" w:ascii="宋体" w:hAnsi="宋体"/>
                <w:sz w:val="24"/>
              </w:rPr>
            </w:pPr>
            <w:r>
              <w:rPr>
                <w:rFonts w:hint="eastAsia" w:ascii="宋体" w:hAnsi="宋体"/>
                <w:sz w:val="24"/>
              </w:rPr>
              <w:t>下午在华维激光参观并体验了激光表面处理与机器人焊接两类设备。第一部分为激光清洗演示。工作人员通过调整脉冲频率、扫描轨迹和焦距，对钢板表面的氧化层进行处理。清洗后的区域金属光泽明显恢复，而未处理区域仍保留锈蚀痕迹。由此可以看出，激光工艺的效果高度依赖参数匹配，功率并非越高越好，还需要结合材料状态和处理面积进行选择。</w:t>
            </w:r>
          </w:p>
          <w:p w14:paraId="57CC5EF5">
            <w:pPr>
              <w:rPr>
                <w:rFonts w:hint="eastAsia" w:ascii="宋体" w:hAnsi="宋体"/>
                <w:sz w:val="24"/>
              </w:rPr>
            </w:pPr>
          </w:p>
          <w:p w14:paraId="66AEE8DD">
            <w:pPr>
              <w:rPr>
                <w:rFonts w:hint="eastAsia" w:ascii="宋体" w:hAnsi="宋体"/>
                <w:sz w:val="24"/>
              </w:rPr>
            </w:pPr>
          </w:p>
          <w:p w14:paraId="58E4B86B">
            <w:pPr>
              <w:rPr>
                <w:rFonts w:hint="eastAsia" w:ascii="宋体" w:hAnsi="宋体"/>
                <w:sz w:val="24"/>
              </w:rPr>
            </w:pPr>
            <w:r>
              <w:rPr>
                <w:rFonts w:hint="eastAsia" w:ascii="宋体" w:hAnsi="宋体"/>
                <w:sz w:val="24"/>
              </w:rPr>
              <w:t>第二部分是机器人焊接工作站。工程师介绍了机械臂、激光器、送丝系统、冷却装置、视觉模块与安全联锁之间的协同关系。我们在仿真界面中观察焊枪沿曲线运动时的姿态变化，并了解了焊缝跟踪对减少装夹误差的作用。现场安全管理十分严格，设备运行前需确认防护门关闭、警示灯状态正常，进入工作区必须执行停机流程。通过本次学习，我进一步认识到激光加工不仅提高了自动化程度，也对工艺参数、现场防护和设备集成能力提出了更高要求。</w:t>
            </w:r>
          </w:p>
          <w:p w14:paraId="2BB24A5D">
            <w:pPr>
              <w:rPr>
                <w:rFonts w:hint="eastAsia" w:ascii="宋体" w:hAnsi="宋体"/>
                <w:sz w:val="24"/>
              </w:rPr>
            </w:pPr>
          </w:p>
          <w:p w14:paraId="09F3C4BC">
            <w:pPr>
              <w:rPr>
                <w:rFonts w:hint="eastAsia" w:ascii="宋体" w:hAnsi="宋体"/>
                <w:sz w:val="24"/>
              </w:rPr>
            </w:pPr>
          </w:p>
          <w:p w14:paraId="7D6529B0">
            <w:pPr>
              <w:rPr>
                <w:rFonts w:hint="eastAsia" w:ascii="宋体" w:hAnsi="宋体"/>
                <w:sz w:val="24"/>
              </w:rPr>
            </w:pPr>
          </w:p>
          <w:p w14:paraId="2C70047E">
            <w:pPr>
              <w:rPr>
                <w:rFonts w:hint="eastAsia" w:ascii="宋体" w:hAnsi="宋体"/>
                <w:sz w:val="24"/>
              </w:rPr>
            </w:pPr>
          </w:p>
          <w:p w14:paraId="1FFCFA00">
            <w:pPr>
              <w:rPr>
                <w:rFonts w:hint="eastAsia" w:ascii="宋体" w:hAnsi="宋体"/>
                <w:sz w:val="24"/>
              </w:rPr>
            </w:pPr>
          </w:p>
        </w:tc>
      </w:tr>
    </w:tbl>
    <w:p w14:paraId="1EFC3F85">
      <w:pPr>
        <w:rPr>
          <w:rFonts w:hint="eastAsia" w:ascii="宋体" w:hAnsi="宋体"/>
        </w:rPr>
      </w:pPr>
    </w:p>
    <w:p w14:paraId="5563AF00">
      <w:pPr>
        <w:rPr>
          <w:rFonts w:hint="eastAsia" w:ascii="宋体" w:hAnsi="宋体"/>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6"/>
        <w:gridCol w:w="3993"/>
        <w:gridCol w:w="4441"/>
      </w:tblGrid>
      <w:tr w14:paraId="4875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536" w:type="dxa"/>
            <w:vMerge w:val="restart"/>
            <w:noWrap w:val="0"/>
            <w:vAlign w:val="center"/>
          </w:tcPr>
          <w:p w14:paraId="48B7F5B0">
            <w:pPr>
              <w:jc w:val="center"/>
              <w:rPr>
                <w:rFonts w:hint="eastAsia" w:ascii="宋体" w:hAnsi="宋体"/>
                <w:sz w:val="24"/>
              </w:rPr>
            </w:pPr>
            <w:r>
              <w:rPr>
                <w:rFonts w:hint="eastAsia" w:ascii="宋体" w:hAnsi="宋体"/>
                <w:sz w:val="24"/>
              </w:rPr>
              <w:t>实习日志</w:t>
            </w:r>
          </w:p>
        </w:tc>
        <w:tc>
          <w:tcPr>
            <w:tcW w:w="3993" w:type="dxa"/>
            <w:noWrap w:val="0"/>
            <w:vAlign w:val="center"/>
          </w:tcPr>
          <w:p w14:paraId="2C71C0E4">
            <w:pPr>
              <w:rPr>
                <w:rFonts w:hint="default" w:ascii="宋体" w:hAnsi="宋体" w:eastAsia="宋体"/>
                <w:sz w:val="24"/>
                <w:lang w:val="en-US" w:eastAsia="zh-CN"/>
              </w:rPr>
            </w:pPr>
            <w:r>
              <w:rPr>
                <w:rFonts w:hint="eastAsia" w:ascii="宋体" w:hAnsi="宋体"/>
                <w:sz w:val="24"/>
              </w:rPr>
              <w:t>实习时间：</w:t>
            </w:r>
            <w:r>
              <w:rPr>
                <w:rFonts w:hint="eastAsia" w:ascii="宋体" w:hAnsi="宋体"/>
                <w:sz w:val="24"/>
                <w:lang w:val="en-US" w:eastAsia="zh-CN"/>
              </w:rPr>
              <w:t>2026.6.30</w:t>
            </w:r>
          </w:p>
        </w:tc>
        <w:tc>
          <w:tcPr>
            <w:tcW w:w="4441" w:type="dxa"/>
            <w:noWrap w:val="0"/>
            <w:vAlign w:val="center"/>
          </w:tcPr>
          <w:p w14:paraId="43A4CD66">
            <w:pPr>
              <w:rPr>
                <w:rFonts w:hint="default" w:ascii="宋体" w:hAnsi="宋体" w:eastAsia="宋体"/>
                <w:sz w:val="24"/>
                <w:lang w:val="en-US" w:eastAsia="zh-CN"/>
              </w:rPr>
            </w:pPr>
            <w:r>
              <w:rPr>
                <w:rFonts w:hint="eastAsia" w:ascii="宋体" w:hAnsi="宋体"/>
                <w:sz w:val="24"/>
              </w:rPr>
              <w:t>实习单位：</w:t>
            </w:r>
            <w:r>
              <w:rPr>
                <w:rFonts w:hint="eastAsia" w:ascii="宋体" w:hAnsi="宋体"/>
                <w:sz w:val="24"/>
                <w:lang w:val="en-US" w:eastAsia="zh-CN"/>
              </w:rPr>
              <w:t>超声检测</w:t>
            </w:r>
          </w:p>
        </w:tc>
      </w:tr>
      <w:tr w14:paraId="1B65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83" w:hRule="atLeast"/>
        </w:trPr>
        <w:tc>
          <w:tcPr>
            <w:tcW w:w="536" w:type="dxa"/>
            <w:vMerge w:val="continue"/>
            <w:noWrap w:val="0"/>
            <w:vAlign w:val="top"/>
          </w:tcPr>
          <w:p w14:paraId="58520CE3">
            <w:pPr>
              <w:rPr>
                <w:rFonts w:hint="eastAsia" w:ascii="宋体" w:hAnsi="宋体"/>
                <w:sz w:val="24"/>
              </w:rPr>
            </w:pPr>
          </w:p>
        </w:tc>
        <w:tc>
          <w:tcPr>
            <w:tcW w:w="8434" w:type="dxa"/>
            <w:gridSpan w:val="2"/>
            <w:noWrap w:val="0"/>
            <w:vAlign w:val="top"/>
          </w:tcPr>
          <w:p w14:paraId="3033F7EC">
            <w:pPr>
              <w:rPr>
                <w:rFonts w:hint="eastAsia" w:ascii="宋体" w:hAnsi="宋体"/>
                <w:sz w:val="24"/>
              </w:rPr>
            </w:pPr>
            <w:r>
              <w:rPr>
                <w:rFonts w:hint="eastAsia" w:ascii="宋体" w:hAnsi="宋体"/>
                <w:sz w:val="24"/>
              </w:rPr>
              <w:t>实习内容：</w:t>
            </w:r>
          </w:p>
          <w:p w14:paraId="13E9414F">
            <w:pPr>
              <w:rPr>
                <w:rFonts w:hint="default" w:ascii="宋体" w:hAnsi="宋体"/>
                <w:sz w:val="24"/>
                <w:lang w:val="en-US" w:eastAsia="zh-CN"/>
              </w:rPr>
            </w:pPr>
          </w:p>
          <w:p w14:paraId="18BFE756">
            <w:pPr>
              <w:rPr>
                <w:rFonts w:hint="eastAsia" w:ascii="宋体" w:hAnsi="宋体"/>
                <w:sz w:val="24"/>
              </w:rPr>
            </w:pPr>
            <w:r>
              <w:rPr>
                <w:rFonts w:hint="eastAsia" w:ascii="宋体" w:hAnsi="宋体"/>
                <w:sz w:val="24"/>
              </w:rPr>
              <w:t>本次在超声检测实训区学习焊接件内部缺陷的基本检验方法。教师以对比试块为例，讲解超声波在材料内部传播、反射和衰减的规律，并说明探伤仪屏幕上的波形与缺陷位置、反射强度之间的关系。对于焊缝中的未焊透、夹渣和气孔，外观检查往往难以发现，而超声检测能够在不破坏工件的前提下提供内部质量信息。</w:t>
            </w:r>
          </w:p>
          <w:p w14:paraId="0C0B480B">
            <w:pPr>
              <w:rPr>
                <w:rFonts w:hint="eastAsia" w:ascii="宋体" w:hAnsi="宋体"/>
                <w:sz w:val="24"/>
              </w:rPr>
            </w:pPr>
          </w:p>
          <w:p w14:paraId="79C70C66">
            <w:pPr>
              <w:rPr>
                <w:rFonts w:hint="eastAsia" w:ascii="宋体" w:hAnsi="宋体"/>
                <w:sz w:val="24"/>
              </w:rPr>
            </w:pPr>
          </w:p>
          <w:p w14:paraId="6777D03E">
            <w:pPr>
              <w:rPr>
                <w:rFonts w:hint="eastAsia" w:ascii="宋体" w:hAnsi="宋体"/>
                <w:sz w:val="24"/>
              </w:rPr>
            </w:pPr>
            <w:r>
              <w:rPr>
                <w:rFonts w:hint="eastAsia" w:ascii="宋体" w:hAnsi="宋体"/>
                <w:sz w:val="24"/>
              </w:rPr>
              <w:t>操作时，我们先进行探头校准，调整声程、增益和参考灵敏度，再沿焊缝两侧按规定方向移动探头。扫描过程中要保证耦合剂均匀，避免因接触不稳定产生干扰信号。对于异常回波，不能立即判定为缺陷，还需结合移动方向、波幅变化和工件结构进行复核。实训结束后，我们将检测结果按编号记录并进行初步判读。此次训练让我认识到，无损检测不仅是一项检测技术，更是制造质量控制体系中不可缺少的证据链环节。</w:t>
            </w:r>
          </w:p>
          <w:p w14:paraId="398658E8">
            <w:pPr>
              <w:rPr>
                <w:rFonts w:hint="eastAsia" w:ascii="宋体" w:hAnsi="宋体"/>
                <w:sz w:val="24"/>
              </w:rPr>
            </w:pPr>
          </w:p>
          <w:p w14:paraId="19A67FB6">
            <w:pPr>
              <w:rPr>
                <w:rFonts w:hint="eastAsia" w:ascii="宋体" w:hAnsi="宋体"/>
                <w:sz w:val="24"/>
              </w:rPr>
            </w:pPr>
          </w:p>
          <w:p w14:paraId="7E32A5E0">
            <w:pPr>
              <w:rPr>
                <w:rFonts w:hint="eastAsia" w:ascii="宋体" w:hAnsi="宋体"/>
                <w:sz w:val="24"/>
              </w:rPr>
            </w:pPr>
          </w:p>
          <w:p w14:paraId="1953033D">
            <w:pPr>
              <w:rPr>
                <w:rFonts w:hint="eastAsia" w:ascii="宋体" w:hAnsi="宋体"/>
                <w:sz w:val="24"/>
              </w:rPr>
            </w:pPr>
          </w:p>
          <w:p w14:paraId="1180363F">
            <w:pPr>
              <w:rPr>
                <w:rFonts w:hint="eastAsia" w:ascii="宋体" w:hAnsi="宋体"/>
                <w:sz w:val="24"/>
              </w:rPr>
            </w:pPr>
          </w:p>
          <w:p w14:paraId="2EB4155B">
            <w:pPr>
              <w:rPr>
                <w:rFonts w:hint="eastAsia" w:ascii="宋体" w:hAnsi="宋体"/>
                <w:sz w:val="24"/>
              </w:rPr>
            </w:pPr>
          </w:p>
          <w:p w14:paraId="14CF3D85">
            <w:pPr>
              <w:rPr>
                <w:rFonts w:hint="eastAsia" w:ascii="宋体" w:hAnsi="宋体"/>
                <w:sz w:val="24"/>
              </w:rPr>
            </w:pPr>
          </w:p>
          <w:p w14:paraId="02ED0B14">
            <w:pPr>
              <w:rPr>
                <w:rFonts w:hint="eastAsia" w:ascii="宋体" w:hAnsi="宋体"/>
                <w:sz w:val="24"/>
              </w:rPr>
            </w:pPr>
          </w:p>
          <w:p w14:paraId="2DE5F537">
            <w:pPr>
              <w:rPr>
                <w:rFonts w:hint="eastAsia" w:ascii="宋体" w:hAnsi="宋体"/>
                <w:sz w:val="24"/>
              </w:rPr>
            </w:pPr>
          </w:p>
          <w:p w14:paraId="73E1650F">
            <w:pPr>
              <w:rPr>
                <w:rFonts w:hint="eastAsia" w:ascii="宋体" w:hAnsi="宋体"/>
                <w:sz w:val="24"/>
              </w:rPr>
            </w:pPr>
          </w:p>
          <w:p w14:paraId="77FAA9B8">
            <w:pPr>
              <w:rPr>
                <w:rFonts w:hint="eastAsia" w:ascii="宋体" w:hAnsi="宋体"/>
                <w:sz w:val="24"/>
              </w:rPr>
            </w:pPr>
          </w:p>
          <w:p w14:paraId="21C5A5C9">
            <w:pPr>
              <w:rPr>
                <w:rFonts w:hint="eastAsia" w:ascii="宋体" w:hAnsi="宋体"/>
                <w:sz w:val="24"/>
              </w:rPr>
            </w:pPr>
          </w:p>
          <w:p w14:paraId="3424D38F">
            <w:pPr>
              <w:rPr>
                <w:rFonts w:hint="eastAsia" w:ascii="宋体" w:hAnsi="宋体"/>
                <w:sz w:val="24"/>
              </w:rPr>
            </w:pPr>
          </w:p>
          <w:p w14:paraId="60919E41">
            <w:pPr>
              <w:rPr>
                <w:rFonts w:hint="eastAsia" w:ascii="宋体" w:hAnsi="宋体"/>
                <w:sz w:val="24"/>
              </w:rPr>
            </w:pPr>
          </w:p>
          <w:p w14:paraId="25106520">
            <w:pPr>
              <w:rPr>
                <w:rFonts w:hint="eastAsia" w:ascii="宋体" w:hAnsi="宋体"/>
                <w:sz w:val="24"/>
              </w:rPr>
            </w:pPr>
          </w:p>
          <w:p w14:paraId="112465BE">
            <w:pPr>
              <w:rPr>
                <w:rFonts w:hint="eastAsia" w:ascii="宋体" w:hAnsi="宋体"/>
                <w:sz w:val="24"/>
              </w:rPr>
            </w:pPr>
          </w:p>
          <w:p w14:paraId="0062CD5C">
            <w:pPr>
              <w:rPr>
                <w:rFonts w:hint="eastAsia" w:ascii="宋体" w:hAnsi="宋体"/>
                <w:sz w:val="24"/>
              </w:rPr>
            </w:pPr>
          </w:p>
          <w:p w14:paraId="46A36C55">
            <w:pPr>
              <w:rPr>
                <w:rFonts w:hint="eastAsia" w:ascii="宋体" w:hAnsi="宋体"/>
                <w:sz w:val="24"/>
              </w:rPr>
            </w:pPr>
          </w:p>
          <w:p w14:paraId="7978DE18">
            <w:pPr>
              <w:rPr>
                <w:rFonts w:hint="eastAsia" w:ascii="宋体" w:hAnsi="宋体"/>
                <w:sz w:val="24"/>
              </w:rPr>
            </w:pPr>
          </w:p>
          <w:p w14:paraId="1D09BC07">
            <w:pPr>
              <w:rPr>
                <w:rFonts w:hint="eastAsia" w:ascii="宋体" w:hAnsi="宋体"/>
                <w:sz w:val="24"/>
              </w:rPr>
            </w:pPr>
          </w:p>
          <w:p w14:paraId="66B38E96">
            <w:pPr>
              <w:rPr>
                <w:rFonts w:hint="eastAsia" w:ascii="宋体" w:hAnsi="宋体"/>
                <w:sz w:val="24"/>
              </w:rPr>
            </w:pPr>
          </w:p>
          <w:p w14:paraId="24CE9EBC">
            <w:pPr>
              <w:rPr>
                <w:rFonts w:hint="eastAsia" w:ascii="宋体" w:hAnsi="宋体"/>
                <w:sz w:val="24"/>
              </w:rPr>
            </w:pPr>
          </w:p>
          <w:p w14:paraId="496E4E43">
            <w:pPr>
              <w:rPr>
                <w:rFonts w:hint="eastAsia" w:ascii="宋体" w:hAnsi="宋体"/>
                <w:sz w:val="24"/>
              </w:rPr>
            </w:pPr>
          </w:p>
          <w:p w14:paraId="3647B781">
            <w:pPr>
              <w:rPr>
                <w:rFonts w:hint="eastAsia" w:ascii="宋体" w:hAnsi="宋体"/>
                <w:sz w:val="24"/>
              </w:rPr>
            </w:pPr>
          </w:p>
          <w:p w14:paraId="29640C4D">
            <w:pPr>
              <w:tabs>
                <w:tab w:val="left" w:pos="911"/>
              </w:tabs>
              <w:bidi w:val="0"/>
              <w:jc w:val="left"/>
              <w:rPr>
                <w:rFonts w:hint="eastAsia"/>
                <w:lang w:val="en-US" w:eastAsia="zh-CN"/>
              </w:rPr>
            </w:pPr>
          </w:p>
        </w:tc>
      </w:tr>
      <w:tr w14:paraId="119F2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6" w:type="dxa"/>
            <w:vMerge w:val="restart"/>
            <w:tcBorders>
              <w:top w:val="single" w:color="auto" w:sz="4" w:space="0"/>
              <w:left w:val="single" w:color="auto" w:sz="4" w:space="0"/>
              <w:bottom w:val="single" w:color="auto" w:sz="4" w:space="0"/>
              <w:right w:val="single" w:color="auto" w:sz="4" w:space="0"/>
            </w:tcBorders>
            <w:noWrap w:val="0"/>
            <w:vAlign w:val="center"/>
          </w:tcPr>
          <w:p w14:paraId="25B6A916">
            <w:pPr>
              <w:jc w:val="center"/>
              <w:rPr>
                <w:rFonts w:hint="eastAsia" w:ascii="宋体" w:hAnsi="宋体"/>
                <w:sz w:val="24"/>
              </w:rPr>
            </w:pPr>
            <w:r>
              <w:rPr>
                <w:rFonts w:hint="eastAsia" w:ascii="宋体" w:hAnsi="宋体"/>
                <w:sz w:val="24"/>
              </w:rPr>
              <w:t>实习日志</w:t>
            </w:r>
          </w:p>
        </w:tc>
        <w:tc>
          <w:tcPr>
            <w:tcW w:w="3993" w:type="dxa"/>
            <w:tcBorders>
              <w:top w:val="single" w:color="auto" w:sz="4" w:space="0"/>
              <w:left w:val="single" w:color="auto" w:sz="4" w:space="0"/>
              <w:bottom w:val="single" w:color="auto" w:sz="4" w:space="0"/>
              <w:right w:val="single" w:color="auto" w:sz="4" w:space="0"/>
            </w:tcBorders>
            <w:noWrap w:val="0"/>
            <w:vAlign w:val="center"/>
          </w:tcPr>
          <w:p w14:paraId="045D5A26">
            <w:pPr>
              <w:rPr>
                <w:rFonts w:hint="default" w:ascii="宋体" w:hAnsi="宋体" w:eastAsia="宋体"/>
                <w:sz w:val="24"/>
                <w:lang w:val="en-US" w:eastAsia="zh-CN"/>
              </w:rPr>
            </w:pPr>
            <w:r>
              <w:rPr>
                <w:rFonts w:hint="eastAsia" w:ascii="宋体" w:hAnsi="宋体"/>
                <w:sz w:val="24"/>
              </w:rPr>
              <w:t>实习时间：</w:t>
            </w:r>
            <w:r>
              <w:rPr>
                <w:rFonts w:hint="eastAsia" w:ascii="宋体" w:hAnsi="宋体"/>
                <w:sz w:val="24"/>
                <w:lang w:val="en-US" w:eastAsia="zh-CN"/>
              </w:rPr>
              <w:t>2026.7.1</w:t>
            </w:r>
          </w:p>
        </w:tc>
        <w:tc>
          <w:tcPr>
            <w:tcW w:w="4441" w:type="dxa"/>
            <w:tcBorders>
              <w:top w:val="single" w:color="auto" w:sz="4" w:space="0"/>
              <w:left w:val="single" w:color="auto" w:sz="4" w:space="0"/>
              <w:bottom w:val="single" w:color="auto" w:sz="4" w:space="0"/>
              <w:right w:val="single" w:color="auto" w:sz="4" w:space="0"/>
            </w:tcBorders>
            <w:noWrap w:val="0"/>
            <w:vAlign w:val="center"/>
          </w:tcPr>
          <w:p w14:paraId="6772159E">
            <w:pPr>
              <w:rPr>
                <w:rFonts w:hint="default" w:ascii="宋体" w:hAnsi="宋体" w:eastAsia="宋体"/>
                <w:sz w:val="24"/>
                <w:lang w:val="en-US" w:eastAsia="zh-CN"/>
              </w:rPr>
            </w:pPr>
            <w:r>
              <w:rPr>
                <w:rFonts w:hint="eastAsia" w:ascii="宋体" w:hAnsi="宋体"/>
                <w:sz w:val="24"/>
              </w:rPr>
              <w:t>实习单位：</w:t>
            </w:r>
            <w:r>
              <w:rPr>
                <w:rFonts w:hint="eastAsia" w:ascii="宋体" w:hAnsi="宋体" w:eastAsia="宋体" w:cs="宋体"/>
                <w:i w:val="0"/>
                <w:iCs w:val="0"/>
                <w:caps w:val="0"/>
                <w:spacing w:val="0"/>
                <w:sz w:val="24"/>
                <w:szCs w:val="24"/>
                <w:shd w:val="clear" w:fill="FFFFFF"/>
                <w:lang w:val="en-US" w:eastAsia="zh-CN"/>
              </w:rPr>
              <w:t>磁粉检测</w:t>
            </w:r>
          </w:p>
        </w:tc>
      </w:tr>
      <w:tr w14:paraId="5FC6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2" w:hRule="atLeast"/>
        </w:trPr>
        <w:tc>
          <w:tcPr>
            <w:tcW w:w="536" w:type="dxa"/>
            <w:vMerge w:val="continue"/>
            <w:noWrap w:val="0"/>
            <w:vAlign w:val="top"/>
          </w:tcPr>
          <w:p w14:paraId="2D285774">
            <w:pPr>
              <w:rPr>
                <w:rFonts w:hint="eastAsia" w:ascii="宋体" w:hAnsi="宋体"/>
                <w:sz w:val="24"/>
              </w:rPr>
            </w:pPr>
          </w:p>
        </w:tc>
        <w:tc>
          <w:tcPr>
            <w:tcW w:w="8434" w:type="dxa"/>
            <w:gridSpan w:val="2"/>
            <w:noWrap w:val="0"/>
            <w:vAlign w:val="top"/>
          </w:tcPr>
          <w:p w14:paraId="25333DC4">
            <w:pPr>
              <w:rPr>
                <w:rFonts w:hint="eastAsia" w:ascii="宋体" w:hAnsi="宋体"/>
                <w:sz w:val="24"/>
              </w:rPr>
            </w:pPr>
            <w:r>
              <w:rPr>
                <w:rFonts w:hint="eastAsia" w:ascii="宋体" w:hAnsi="宋体"/>
                <w:sz w:val="24"/>
              </w:rPr>
              <w:t>实习内容：</w:t>
            </w:r>
          </w:p>
          <w:p w14:paraId="2350441E">
            <w:pPr>
              <w:rPr>
                <w:rFonts w:hint="eastAsia" w:ascii="宋体" w:hAnsi="宋体"/>
                <w:sz w:val="24"/>
                <w:lang w:val="en-US" w:eastAsia="zh-CN"/>
              </w:rPr>
            </w:pPr>
          </w:p>
          <w:p w14:paraId="12B76778">
            <w:pPr>
              <w:rPr>
                <w:rFonts w:hint="default" w:ascii="宋体" w:hAnsi="宋体" w:eastAsia="宋体" w:cs="宋体"/>
                <w:i w:val="0"/>
                <w:iCs w:val="0"/>
                <w:caps w:val="0"/>
                <w:spacing w:val="0"/>
                <w:sz w:val="24"/>
                <w:szCs w:val="24"/>
                <w:shd w:val="clear" w:fill="FFFFFF"/>
                <w:lang w:val="en-US" w:eastAsia="zh-CN"/>
              </w:rPr>
            </w:pPr>
            <w:r>
              <w:rPr>
                <w:rFonts w:hint="default" w:ascii="宋体" w:hAnsi="宋体" w:eastAsia="宋体" w:cs="宋体"/>
                <w:i w:val="0"/>
                <w:iCs w:val="0"/>
                <w:caps w:val="0"/>
                <w:spacing w:val="0"/>
                <w:sz w:val="24"/>
                <w:szCs w:val="24"/>
                <w:shd w:val="clear" w:fill="FFFFFF"/>
                <w:lang w:val="en-US" w:eastAsia="zh-CN"/>
              </w:rPr>
              <w:t>上午学习磁粉检测的适用范围和现场操作步骤。该方法主要用于铁磁性材料表面及近表面缺陷检查。教师先说明磁化后工件中磁力线的分布特点：当焊缝附近存在裂纹、折叠或夹杂时，磁力线会发生泄漏，磁粉会在泄漏磁场处聚集，从而显示出可识别的痕迹。相比普通目视检查，磁粉检测对细小表面缺陷更敏感，但其前提是工件必须具有可磁化性。</w:t>
            </w:r>
          </w:p>
          <w:p w14:paraId="7A9CB3E4">
            <w:pPr>
              <w:rPr>
                <w:rFonts w:hint="default" w:ascii="宋体" w:hAnsi="宋体" w:eastAsia="宋体" w:cs="宋体"/>
                <w:i w:val="0"/>
                <w:iCs w:val="0"/>
                <w:caps w:val="0"/>
                <w:spacing w:val="0"/>
                <w:sz w:val="24"/>
                <w:szCs w:val="24"/>
                <w:shd w:val="clear" w:fill="FFFFFF"/>
                <w:lang w:val="en-US" w:eastAsia="zh-CN"/>
              </w:rPr>
            </w:pPr>
          </w:p>
          <w:p w14:paraId="2F9423E8">
            <w:pPr>
              <w:rPr>
                <w:rFonts w:hint="default" w:ascii="宋体" w:hAnsi="宋体" w:eastAsia="宋体" w:cs="宋体"/>
                <w:i w:val="0"/>
                <w:iCs w:val="0"/>
                <w:caps w:val="0"/>
                <w:spacing w:val="0"/>
                <w:sz w:val="24"/>
                <w:szCs w:val="24"/>
                <w:shd w:val="clear" w:fill="FFFFFF"/>
                <w:lang w:val="en-US" w:eastAsia="zh-CN"/>
              </w:rPr>
            </w:pPr>
          </w:p>
          <w:p w14:paraId="02840214">
            <w:pPr>
              <w:rPr>
                <w:rFonts w:hint="default" w:ascii="宋体" w:hAnsi="宋体" w:eastAsia="宋体" w:cs="宋体"/>
                <w:i w:val="0"/>
                <w:iCs w:val="0"/>
                <w:caps w:val="0"/>
                <w:spacing w:val="0"/>
                <w:sz w:val="24"/>
                <w:szCs w:val="24"/>
                <w:shd w:val="clear" w:fill="FFFFFF"/>
                <w:lang w:val="en-US" w:eastAsia="zh-CN"/>
              </w:rPr>
            </w:pPr>
            <w:r>
              <w:rPr>
                <w:rFonts w:hint="default" w:ascii="宋体" w:hAnsi="宋体" w:eastAsia="宋体" w:cs="宋体"/>
                <w:i w:val="0"/>
                <w:iCs w:val="0"/>
                <w:caps w:val="0"/>
                <w:spacing w:val="0"/>
                <w:sz w:val="24"/>
                <w:szCs w:val="24"/>
                <w:shd w:val="clear" w:fill="FFFFFF"/>
                <w:lang w:val="en-US" w:eastAsia="zh-CN"/>
              </w:rPr>
              <w:t>实操中，我们依次完成试件清理、通电磁化、喷洒磁悬液、观察记录和退磁处理。为提高观察可靠性，检测区域需要保持清洁，紫外光照射条件也要满足要求。教师还强调，磁化方向应尽量与潜在裂纹方向形成合适夹角，否则缺陷显示可能不明显。通过与前一天的超声检测对比，我理解了不同无损检测方法之间的互补关系：超声侧重内部信息，磁粉更适合快速筛查表面和近表面缺陷。</w:t>
            </w:r>
          </w:p>
          <w:p w14:paraId="5CB70AED">
            <w:pPr>
              <w:rPr>
                <w:rFonts w:hint="eastAsia" w:ascii="宋体" w:hAnsi="宋体"/>
                <w:sz w:val="24"/>
              </w:rPr>
            </w:pPr>
          </w:p>
          <w:p w14:paraId="4179D2DF">
            <w:pPr>
              <w:rPr>
                <w:rFonts w:hint="eastAsia" w:ascii="宋体" w:hAnsi="宋体"/>
                <w:sz w:val="24"/>
              </w:rPr>
            </w:pPr>
          </w:p>
          <w:p w14:paraId="186F962E">
            <w:pPr>
              <w:rPr>
                <w:rFonts w:hint="eastAsia" w:ascii="宋体" w:hAnsi="宋体"/>
                <w:sz w:val="24"/>
              </w:rPr>
            </w:pPr>
          </w:p>
          <w:p w14:paraId="029E1CA4">
            <w:pPr>
              <w:rPr>
                <w:rFonts w:hint="eastAsia" w:ascii="宋体" w:hAnsi="宋体"/>
                <w:sz w:val="24"/>
              </w:rPr>
            </w:pPr>
          </w:p>
          <w:p w14:paraId="53EE80EE">
            <w:pPr>
              <w:rPr>
                <w:rFonts w:hint="eastAsia" w:ascii="宋体" w:hAnsi="宋体"/>
                <w:sz w:val="24"/>
              </w:rPr>
            </w:pPr>
          </w:p>
          <w:p w14:paraId="766D85BB">
            <w:pPr>
              <w:rPr>
                <w:rFonts w:hint="eastAsia" w:ascii="宋体" w:hAnsi="宋体"/>
                <w:sz w:val="24"/>
              </w:rPr>
            </w:pPr>
          </w:p>
        </w:tc>
      </w:tr>
    </w:tbl>
    <w:tbl>
      <w:tblPr>
        <w:tblStyle w:val="4"/>
        <w:tblpPr w:leftFromText="180" w:rightFromText="180" w:vertAnchor="text" w:horzAnchor="page" w:tblpX="1523" w:tblpY="2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93"/>
        <w:gridCol w:w="4974"/>
      </w:tblGrid>
      <w:tr w14:paraId="29A9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3993" w:type="dxa"/>
            <w:noWrap w:val="0"/>
            <w:vAlign w:val="center"/>
          </w:tcPr>
          <w:p w14:paraId="70E5ED70">
            <w:pPr>
              <w:rPr>
                <w:rFonts w:hint="default" w:ascii="宋体" w:hAnsi="宋体" w:eastAsia="宋体"/>
                <w:sz w:val="24"/>
                <w:lang w:val="en-US" w:eastAsia="zh-CN"/>
              </w:rPr>
            </w:pPr>
            <w:r>
              <w:rPr>
                <w:rFonts w:hint="eastAsia" w:ascii="宋体" w:hAnsi="宋体"/>
                <w:sz w:val="24"/>
              </w:rPr>
              <w:t>实习时间：</w:t>
            </w:r>
            <w:r>
              <w:rPr>
                <w:rFonts w:hint="eastAsia" w:ascii="宋体" w:hAnsi="宋体"/>
                <w:sz w:val="24"/>
                <w:lang w:val="en-US" w:eastAsia="zh-CN"/>
              </w:rPr>
              <w:t>2026.7.1</w:t>
            </w:r>
          </w:p>
        </w:tc>
        <w:tc>
          <w:tcPr>
            <w:tcW w:w="4974" w:type="dxa"/>
            <w:noWrap w:val="0"/>
            <w:vAlign w:val="center"/>
          </w:tcPr>
          <w:p w14:paraId="6D60FC37">
            <w:pPr>
              <w:rPr>
                <w:rFonts w:hint="eastAsia" w:ascii="宋体" w:hAnsi="宋体"/>
                <w:sz w:val="24"/>
              </w:rPr>
            </w:pPr>
            <w:r>
              <w:rPr>
                <w:rFonts w:hint="eastAsia" w:ascii="宋体" w:hAnsi="宋体"/>
                <w:sz w:val="24"/>
              </w:rPr>
              <w:t>实习单位：</w:t>
            </w:r>
            <w:r>
              <w:rPr>
                <w:rFonts w:hint="eastAsia" w:ascii="宋体" w:hAnsi="宋体"/>
                <w:sz w:val="24"/>
                <w:lang w:val="en-US" w:eastAsia="zh-CN"/>
              </w:rPr>
              <w:t>北方重工</w:t>
            </w:r>
          </w:p>
        </w:tc>
      </w:tr>
      <w:tr w14:paraId="309F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67" w:type="dxa"/>
            <w:gridSpan w:val="2"/>
            <w:noWrap w:val="0"/>
            <w:vAlign w:val="top"/>
          </w:tcPr>
          <w:p w14:paraId="39426377">
            <w:pPr>
              <w:rPr>
                <w:rFonts w:hint="eastAsia" w:ascii="宋体" w:hAnsi="宋体"/>
                <w:sz w:val="24"/>
              </w:rPr>
            </w:pPr>
            <w:r>
              <w:rPr>
                <w:rFonts w:hint="eastAsia" w:ascii="宋体" w:hAnsi="宋体"/>
                <w:sz w:val="24"/>
              </w:rPr>
              <w:t>实习内容：</w:t>
            </w:r>
          </w:p>
          <w:p w14:paraId="46851EF9">
            <w:pPr>
              <w:rPr>
                <w:rFonts w:hint="eastAsia" w:ascii="宋体" w:hAnsi="宋体"/>
                <w:sz w:val="24"/>
                <w:lang w:val="en-US" w:eastAsia="zh-CN"/>
              </w:rPr>
            </w:pPr>
          </w:p>
          <w:p w14:paraId="4A823B4A">
            <w:pPr>
              <w:rPr>
                <w:rFonts w:hint="default" w:ascii="宋体" w:hAnsi="宋体"/>
                <w:sz w:val="24"/>
                <w:lang w:val="en-US" w:eastAsia="zh-CN"/>
              </w:rPr>
            </w:pPr>
            <w:r>
              <w:rPr>
                <w:rFonts w:hint="default" w:ascii="宋体" w:hAnsi="宋体"/>
                <w:sz w:val="24"/>
                <w:lang w:val="en-US" w:eastAsia="zh-CN"/>
              </w:rPr>
              <w:t>下午参观北方重工的重型装备制造区域，重点了解盾构机和大型输送装备的制造与装配特点。工程师介绍，盾构机由刀盘、主驱动、盾体、推进系统和后配套系统等部分组成，其制造过程涉及厚板焊接、大型机加工、装配调试和质量检测多个环节。与一般机械产品相比，重型装备具有尺寸大、质量高、工况复杂和现场安装难度高等特点，因此对设备刚性、吊装组织和过程质量控制要求更高。</w:t>
            </w:r>
          </w:p>
          <w:p w14:paraId="6A4A3AC2">
            <w:pPr>
              <w:rPr>
                <w:rFonts w:hint="default" w:ascii="宋体" w:hAnsi="宋体"/>
                <w:sz w:val="24"/>
                <w:lang w:val="en-US" w:eastAsia="zh-CN"/>
              </w:rPr>
            </w:pPr>
          </w:p>
          <w:p w14:paraId="1890D165">
            <w:pPr>
              <w:rPr>
                <w:rFonts w:hint="default" w:ascii="宋体" w:hAnsi="宋体"/>
                <w:sz w:val="24"/>
                <w:lang w:val="en-US" w:eastAsia="zh-CN"/>
              </w:rPr>
            </w:pPr>
          </w:p>
          <w:p w14:paraId="4DCA17E8">
            <w:pPr>
              <w:rPr>
                <w:rFonts w:hint="default" w:ascii="宋体" w:hAnsi="宋体"/>
                <w:sz w:val="24"/>
                <w:lang w:val="en-US" w:eastAsia="zh-CN"/>
              </w:rPr>
            </w:pPr>
            <w:r>
              <w:rPr>
                <w:rFonts w:hint="default" w:ascii="宋体" w:hAnsi="宋体"/>
                <w:sz w:val="24"/>
                <w:lang w:val="en-US" w:eastAsia="zh-CN"/>
              </w:rPr>
              <w:t>在机加工车间，我们观察了数控龙门加工中心和立式车床对大型法兰、环形件及结构件进行加工的过程。工作人员介绍了工件找正、装夹定位、刀具选择和首件检验等关键步骤。随后参观密闭输送设备时，注意到其密封、防跑偏和紧急制动装置都是保障连续运行的重要设计。通过这次参观，我对重型机械制造的组织方式有了更具体的认识：它不是单一设备能力的比拼，而是设计、工艺、生产、安全和质量协同的系统工程。</w:t>
            </w:r>
          </w:p>
          <w:p w14:paraId="24B07C40">
            <w:pPr>
              <w:rPr>
                <w:rFonts w:hint="eastAsia" w:ascii="宋体" w:hAnsi="宋体"/>
                <w:sz w:val="24"/>
              </w:rPr>
            </w:pPr>
          </w:p>
          <w:p w14:paraId="0E82E54E">
            <w:pPr>
              <w:rPr>
                <w:rFonts w:hint="eastAsia" w:ascii="宋体" w:hAnsi="宋体"/>
                <w:sz w:val="24"/>
              </w:rPr>
            </w:pPr>
          </w:p>
          <w:p w14:paraId="010791C8">
            <w:pPr>
              <w:rPr>
                <w:rFonts w:hint="eastAsia" w:ascii="宋体" w:hAnsi="宋体"/>
                <w:sz w:val="24"/>
              </w:rPr>
            </w:pPr>
          </w:p>
          <w:p w14:paraId="7529B078">
            <w:pPr>
              <w:rPr>
                <w:rFonts w:hint="eastAsia" w:ascii="宋体" w:hAnsi="宋体"/>
                <w:sz w:val="24"/>
              </w:rPr>
            </w:pPr>
          </w:p>
          <w:p w14:paraId="7A783DA5">
            <w:pPr>
              <w:rPr>
                <w:rFonts w:hint="eastAsia" w:ascii="宋体" w:hAnsi="宋体"/>
                <w:sz w:val="24"/>
              </w:rPr>
            </w:pPr>
          </w:p>
          <w:p w14:paraId="7440AA46">
            <w:pPr>
              <w:rPr>
                <w:rFonts w:hint="eastAsia" w:ascii="宋体" w:hAnsi="宋体"/>
                <w:sz w:val="24"/>
              </w:rPr>
            </w:pPr>
          </w:p>
          <w:p w14:paraId="1CCA1343">
            <w:pPr>
              <w:rPr>
                <w:rFonts w:hint="eastAsia" w:ascii="宋体" w:hAnsi="宋体"/>
                <w:sz w:val="24"/>
              </w:rPr>
            </w:pPr>
          </w:p>
          <w:p w14:paraId="77D7DC58">
            <w:pPr>
              <w:rPr>
                <w:rFonts w:hint="eastAsia" w:ascii="宋体" w:hAnsi="宋体"/>
                <w:sz w:val="24"/>
              </w:rPr>
            </w:pPr>
          </w:p>
          <w:p w14:paraId="5D85F68E">
            <w:pPr>
              <w:rPr>
                <w:rFonts w:hint="eastAsia" w:ascii="宋体" w:hAnsi="宋体"/>
                <w:sz w:val="24"/>
              </w:rPr>
            </w:pPr>
          </w:p>
          <w:p w14:paraId="4B3408FF">
            <w:pPr>
              <w:rPr>
                <w:rFonts w:hint="eastAsia" w:ascii="宋体" w:hAnsi="宋体"/>
                <w:sz w:val="24"/>
              </w:rPr>
            </w:pPr>
          </w:p>
          <w:p w14:paraId="5376C22F">
            <w:pPr>
              <w:rPr>
                <w:rFonts w:hint="eastAsia" w:ascii="宋体" w:hAnsi="宋体"/>
                <w:sz w:val="24"/>
              </w:rPr>
            </w:pPr>
          </w:p>
          <w:p w14:paraId="12841F07">
            <w:pPr>
              <w:rPr>
                <w:rFonts w:hint="eastAsia" w:ascii="宋体" w:hAnsi="宋体"/>
                <w:sz w:val="24"/>
              </w:rPr>
            </w:pPr>
          </w:p>
          <w:p w14:paraId="7C36108A">
            <w:pPr>
              <w:rPr>
                <w:rFonts w:hint="eastAsia" w:ascii="宋体" w:hAnsi="宋体"/>
                <w:sz w:val="24"/>
              </w:rPr>
            </w:pPr>
          </w:p>
          <w:p w14:paraId="4F8E30CF">
            <w:pPr>
              <w:rPr>
                <w:rFonts w:hint="eastAsia" w:ascii="宋体" w:hAnsi="宋体"/>
                <w:sz w:val="24"/>
              </w:rPr>
            </w:pPr>
          </w:p>
          <w:p w14:paraId="5D40F9F5">
            <w:pPr>
              <w:rPr>
                <w:rFonts w:hint="eastAsia" w:ascii="宋体" w:hAnsi="宋体"/>
                <w:sz w:val="24"/>
              </w:rPr>
            </w:pPr>
          </w:p>
          <w:p w14:paraId="05D5F663">
            <w:pPr>
              <w:rPr>
                <w:rFonts w:hint="eastAsia" w:ascii="宋体" w:hAnsi="宋体"/>
                <w:sz w:val="24"/>
              </w:rPr>
            </w:pPr>
          </w:p>
          <w:p w14:paraId="6A363E17">
            <w:pPr>
              <w:rPr>
                <w:rFonts w:hint="eastAsia" w:ascii="宋体" w:hAnsi="宋体"/>
                <w:sz w:val="24"/>
              </w:rPr>
            </w:pPr>
          </w:p>
          <w:p w14:paraId="5DB27C57">
            <w:pPr>
              <w:rPr>
                <w:rFonts w:hint="eastAsia" w:ascii="宋体" w:hAnsi="宋体"/>
                <w:sz w:val="24"/>
              </w:rPr>
            </w:pPr>
          </w:p>
        </w:tc>
      </w:tr>
      <w:tr w14:paraId="6181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3993" w:type="dxa"/>
            <w:tcBorders>
              <w:top w:val="single" w:color="auto" w:sz="4" w:space="0"/>
              <w:left w:val="single" w:color="auto" w:sz="4" w:space="0"/>
              <w:bottom w:val="single" w:color="auto" w:sz="4" w:space="0"/>
              <w:right w:val="single" w:color="auto" w:sz="4" w:space="0"/>
            </w:tcBorders>
            <w:noWrap w:val="0"/>
            <w:vAlign w:val="center"/>
          </w:tcPr>
          <w:p w14:paraId="458DD59D">
            <w:pPr>
              <w:rPr>
                <w:rFonts w:hint="default" w:ascii="宋体" w:hAnsi="宋体" w:eastAsia="宋体"/>
                <w:sz w:val="24"/>
                <w:lang w:val="en-US" w:eastAsia="zh-CN"/>
              </w:rPr>
            </w:pPr>
            <w:r>
              <w:rPr>
                <w:rFonts w:hint="eastAsia" w:ascii="宋体" w:hAnsi="宋体"/>
                <w:sz w:val="24"/>
              </w:rPr>
              <w:t>实习时间：</w:t>
            </w:r>
            <w:r>
              <w:rPr>
                <w:rFonts w:hint="eastAsia" w:ascii="宋体" w:hAnsi="宋体"/>
                <w:sz w:val="24"/>
                <w:lang w:val="en-US" w:eastAsia="zh-CN"/>
              </w:rPr>
              <w:t>2026.7.2</w:t>
            </w:r>
          </w:p>
        </w:tc>
        <w:tc>
          <w:tcPr>
            <w:tcW w:w="4974" w:type="dxa"/>
            <w:tcBorders>
              <w:top w:val="single" w:color="auto" w:sz="4" w:space="0"/>
              <w:left w:val="single" w:color="auto" w:sz="4" w:space="0"/>
              <w:bottom w:val="single" w:color="auto" w:sz="4" w:space="0"/>
              <w:right w:val="single" w:color="auto" w:sz="4" w:space="0"/>
            </w:tcBorders>
            <w:noWrap w:val="0"/>
            <w:vAlign w:val="center"/>
          </w:tcPr>
          <w:p w14:paraId="28084693">
            <w:pPr>
              <w:rPr>
                <w:rFonts w:hint="eastAsia" w:ascii="宋体" w:hAnsi="宋体"/>
                <w:sz w:val="24"/>
              </w:rPr>
            </w:pPr>
            <w:r>
              <w:rPr>
                <w:rFonts w:hint="eastAsia" w:ascii="宋体" w:hAnsi="宋体"/>
                <w:sz w:val="24"/>
              </w:rPr>
              <w:t>实习单位：</w:t>
            </w:r>
            <w:r>
              <w:rPr>
                <w:rFonts w:hint="eastAsia" w:ascii="宋体" w:hAnsi="宋体"/>
                <w:sz w:val="24"/>
                <w:lang w:val="en-US" w:eastAsia="zh-CN"/>
              </w:rPr>
              <w:t>渗透检测</w:t>
            </w:r>
            <w:r>
              <w:rPr>
                <w:rFonts w:hint="eastAsia" w:ascii="宋体" w:hAnsi="宋体"/>
                <w:sz w:val="24"/>
              </w:rPr>
              <w:t xml:space="preserve">  </w:t>
            </w:r>
          </w:p>
        </w:tc>
      </w:tr>
      <w:tr w14:paraId="4631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8967" w:type="dxa"/>
            <w:gridSpan w:val="2"/>
            <w:noWrap w:val="0"/>
            <w:vAlign w:val="top"/>
          </w:tcPr>
          <w:p w14:paraId="1C8AFD3B">
            <w:pPr>
              <w:rPr>
                <w:rFonts w:hint="eastAsia" w:ascii="宋体" w:hAnsi="宋体"/>
                <w:sz w:val="24"/>
                <w:lang w:val="en-US" w:eastAsia="zh-CN"/>
              </w:rPr>
            </w:pPr>
            <w:r>
              <w:rPr>
                <w:rFonts w:hint="eastAsia" w:ascii="宋体" w:hAnsi="宋体"/>
                <w:sz w:val="24"/>
              </w:rPr>
              <w:t>实习内容：</w:t>
            </w:r>
          </w:p>
          <w:p w14:paraId="41BC3559">
            <w:pPr>
              <w:rPr>
                <w:rFonts w:hint="eastAsia" w:ascii="宋体" w:hAnsi="宋体"/>
                <w:sz w:val="24"/>
                <w:lang w:val="en-US" w:eastAsia="zh-CN"/>
              </w:rPr>
            </w:pPr>
          </w:p>
          <w:p w14:paraId="19A610C0">
            <w:pPr>
              <w:rPr>
                <w:rFonts w:hint="eastAsia" w:ascii="宋体" w:hAnsi="宋体"/>
                <w:sz w:val="24"/>
                <w:lang w:val="en-US" w:eastAsia="zh-CN"/>
              </w:rPr>
            </w:pPr>
            <w:r>
              <w:rPr>
                <w:rFonts w:hint="eastAsia" w:ascii="宋体" w:hAnsi="宋体"/>
                <w:sz w:val="24"/>
                <w:lang w:val="en-US" w:eastAsia="zh-CN"/>
              </w:rPr>
              <w:t>今天学习渗透检测在非磁性材料和非铁磁性构件表面缺陷检查中的应用。教师介绍，该方法依靠渗透液在毛细作用下进入开口缺陷，再经显像剂作用将缺陷位置放大显示。由于不受材料磁性限制，渗透检测对不锈钢、铝合金及部分有色金属构件具有较好的适用性，但它只能发现与表面连通的缺陷，不能替代对内部质量的检测。</w:t>
            </w:r>
          </w:p>
          <w:p w14:paraId="655F7DA4">
            <w:pPr>
              <w:rPr>
                <w:rFonts w:hint="eastAsia" w:ascii="宋体" w:hAnsi="宋体"/>
                <w:sz w:val="24"/>
                <w:lang w:val="en-US" w:eastAsia="zh-CN"/>
              </w:rPr>
            </w:pPr>
          </w:p>
          <w:p w14:paraId="3D12DAFA">
            <w:pPr>
              <w:rPr>
                <w:rFonts w:hint="eastAsia" w:ascii="宋体" w:hAnsi="宋体"/>
                <w:sz w:val="24"/>
                <w:lang w:val="en-US" w:eastAsia="zh-CN"/>
              </w:rPr>
            </w:pPr>
          </w:p>
          <w:p w14:paraId="72261417">
            <w:pPr>
              <w:rPr>
                <w:rFonts w:hint="eastAsia" w:ascii="宋体" w:hAnsi="宋体"/>
                <w:sz w:val="24"/>
              </w:rPr>
            </w:pPr>
            <w:r>
              <w:rPr>
                <w:rFonts w:hint="eastAsia" w:ascii="宋体" w:hAnsi="宋体"/>
                <w:sz w:val="24"/>
                <w:lang w:val="en-US" w:eastAsia="zh-CN"/>
              </w:rPr>
              <w:t>现场操作按照清洗、渗透、去除多余渗透液、显像和观察记录的顺序进行。我们对不同停留时间下的显示效果进行比较，发现停留不足可能导致缺陷显现不完整，而清洗过度也会削弱细微缺陷的显示。整个过程中必须佩戴防护手套并按要求处理残余试剂，避免化学品随意排放。通过本次实训，我形成了一个更明确的判断：无损检测方法没有绝对的优劣，关键在于根据材料性质、缺陷位置和质量要求选择合适方案。</w:t>
            </w:r>
          </w:p>
          <w:p w14:paraId="5493A3C6">
            <w:pPr>
              <w:rPr>
                <w:rFonts w:hint="eastAsia" w:ascii="宋体" w:hAnsi="宋体"/>
                <w:sz w:val="24"/>
              </w:rPr>
            </w:pPr>
          </w:p>
        </w:tc>
      </w:tr>
    </w:tbl>
    <w:p w14:paraId="5447B9C0">
      <w:pPr>
        <w:jc w:val="both"/>
        <w:rPr>
          <w:rFonts w:hint="eastAsia" w:ascii="宋体" w:hAnsi="宋体"/>
          <w:sz w:val="32"/>
          <w:szCs w:val="32"/>
          <w:lang w:val="en-US" w:eastAsia="zh-CN"/>
        </w:rPr>
      </w:pPr>
    </w:p>
    <w:p w14:paraId="05CA0076">
      <w:pPr>
        <w:jc w:val="center"/>
        <w:rPr>
          <w:rFonts w:hint="default" w:ascii="宋体" w:hAnsi="宋体"/>
          <w:sz w:val="32"/>
          <w:szCs w:val="32"/>
          <w:lang w:val="en-US" w:eastAsia="zh-CN"/>
        </w:rPr>
      </w:pPr>
      <w:r>
        <w:rPr>
          <w:rFonts w:hint="eastAsia" w:ascii="宋体" w:hAnsi="宋体"/>
          <w:sz w:val="32"/>
          <w:szCs w:val="32"/>
          <w:lang w:val="en-US" w:eastAsia="zh-CN"/>
        </w:rPr>
        <w:t>实习总结</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40"/>
      </w:tblGrid>
      <w:tr w14:paraId="7DE1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9140" w:type="dxa"/>
            <w:vAlign w:val="top"/>
          </w:tcPr>
          <w:p w14:paraId="6B2C7EEA">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目标 1：</w:t>
            </w:r>
            <w:r>
              <w:rPr>
                <w:rFonts w:hint="eastAsia" w:ascii="宋体" w:hAnsi="宋体" w:eastAsia="宋体" w:cs="宋体"/>
                <w:color w:val="000000"/>
                <w:kern w:val="0"/>
                <w:sz w:val="24"/>
                <w:szCs w:val="24"/>
                <w:lang w:val="en-US" w:eastAsia="zh-CN" w:bidi="ar"/>
              </w:rPr>
              <w:t xml:space="preserve">能够结合实习企业的实际生产，调研和分析零部件生产工艺的流程，具 </w:t>
            </w:r>
          </w:p>
          <w:p w14:paraId="7D7F365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备选择与使用机械工程环境中的现代设备与技术的能力。（以某个零件为例，分 </w:t>
            </w:r>
          </w:p>
          <w:p w14:paraId="0B2F4BCD">
            <w:pPr>
              <w:keepNext w:val="0"/>
              <w:keepLines w:val="0"/>
              <w:widowControl/>
              <w:suppressLineNumbers w:val="0"/>
              <w:jc w:val="left"/>
              <w:rPr>
                <w:rFonts w:hint="eastAsia" w:ascii="宋体" w:hAnsi="宋体"/>
                <w:sz w:val="32"/>
                <w:szCs w:val="32"/>
                <w:vertAlign w:val="baseline"/>
                <w:lang w:val="en-US" w:eastAsia="zh-CN"/>
              </w:rPr>
            </w:pPr>
            <w:r>
              <w:rPr>
                <w:rFonts w:hint="eastAsia" w:ascii="宋体" w:hAnsi="宋体" w:eastAsia="宋体" w:cs="宋体"/>
                <w:color w:val="000000"/>
                <w:kern w:val="0"/>
                <w:sz w:val="24"/>
                <w:szCs w:val="24"/>
                <w:lang w:val="en-US" w:eastAsia="zh-CN" w:bidi="ar"/>
              </w:rPr>
              <w:t>析其工艺流程和工艺装备，不超过 1500 字）</w:t>
            </w:r>
          </w:p>
        </w:tc>
      </w:tr>
      <w:tr w14:paraId="5EFD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9140" w:type="dxa"/>
            <w:vAlign w:val="top"/>
          </w:tcPr>
          <w:p w14:paraId="0A4161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以工业机器人末端法兰连接盘为例分析其工艺流程与工艺装备</w:t>
            </w:r>
          </w:p>
          <w:p w14:paraId="0DFADE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本次生产实习中，我以六轴工业机器人末端法兰连接盘为对象，对其从材料准备到交付装配的制造过程进行了梳理。该零件连接机械臂腕部与夹具、吸盘或焊枪等末端执行器，既要保证安装孔位置精度，又要承受重复启停带来的交变载荷。其制造过程能够体现数控加工、热处理、精密检测和装配调试之间的衔接关系。</w:t>
            </w:r>
          </w:p>
          <w:p w14:paraId="40F3C2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一、材料选择与毛坯制备。法兰连接盘通常采用中碳合金结构钢或高强度铝合金，根据负载等级选择相应材料。对于中小批量生产，可采用锻件或圆棒料作为毛坯，以提高材料利用率并减少后续切削量。毛坯入厂后需核对材质证明、外观质量和余量，为后续加工建立质量起点。</w:t>
            </w:r>
          </w:p>
          <w:p w14:paraId="5F1CAD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二、数控车削与铣削加工。首先在数控车床上加工外圆、端面和定位止口，形成主要基准；随后转入立式加工中心完成螺纹孔、定位销孔、安装孔和减重槽等特征。加工过程中应遵循“先基准、后孔系，先粗后精”的原则，并使用专用夹具控制重复装夹误差。对孔距和同轴度要求较高的位置，可采用镗削或精铰工艺提高尺寸稳定性。</w:t>
            </w:r>
          </w:p>
          <w:p w14:paraId="524D6B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三、热处理与表面处理。针对承受较大扭矩的钢制法兰，粗加工后可进行调质或去应力处理，以改善材料综合性能并降低变形风险。精加工完成后，根据使用环境进行发黑、磷化或防锈处理；若采用铝合金，则可进行阳极氧化，以增强耐腐蚀性和外观一致性。</w:t>
            </w:r>
          </w:p>
          <w:p w14:paraId="6A8163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四、精密检测与装配验证。成品检测包括外径、厚度、孔距、端面跳动、位置度和螺纹通止规检查。对于关键孔系，可借助三坐标测量机进行数据采集，并将检测结果与零件编号对应存档。装配前还应进行试装，确认法兰与末端工具之间没有干涉，保证工具坐标标定的可靠性。</w:t>
            </w:r>
          </w:p>
          <w:p w14:paraId="3F821F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五、工艺装备选择分析。该零件的核心工艺装备包括数控车床、立式加工中心、刀具预调仪、专用夹具、三坐标测量机和扭矩扳手等。设备选择不能只看单项精度，还要考虑批量、换型频率、夹具通用性和质量追溯要求。通过本次分析，我认识到零件制造质量由设计基准、加工路线、装备能力和检测闭环共同决定。</w:t>
            </w:r>
          </w:p>
          <w:p w14:paraId="22C48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六、装配接口与防错控制。法兰盘进入装配工位后，应按规定使用扭矩扳手紧固螺栓，并对定位销、螺纹清洁度和装配方向进行复核。对于批量生产，可在工装上设置限位和扫码识别措施，防止不同型号零件混装。完成装配后还需进行低速试运行，观察末端工具是否存在干涉、松动或异常振动。</w:t>
            </w:r>
          </w:p>
          <w:p w14:paraId="3412BD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七、过程质量控制。零件生产中应把首件确认、巡检和终检结合起来。首件用于验证程序、刀具和夹具状态，巡检用于发现刀具磨损与尺寸漂移，终检用于确认零件满足交付要求。若测量结果接近公差边界，应及时分析加工基准、温度变化和夹紧变形等原因，避免问题批量扩大。</w:t>
            </w:r>
          </w:p>
          <w:p w14:paraId="33F465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八、工艺优化方向。针对多品种末端工具的应用需求，可将法兰盘孔系和定位结构设计为系列化接口，提升夹具与刀具的通用性；针对重复订单，可通过程序模板、刀具寿命管理和在线测量缩短调机时间。由此可见，现代零件工艺的优化目标不是单独追求某一道工序最快，而是提升整个制造链条的稳定性与可追溯性。</w:t>
            </w:r>
          </w:p>
          <w:p w14:paraId="00E43B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1695A0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6FE3DC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5BC70D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79541E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5D8CC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1E3FC4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2A0019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499CE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p w14:paraId="120A0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p>
        </w:tc>
      </w:tr>
      <w:tr w14:paraId="5FF9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0" w:type="dxa"/>
          </w:tcPr>
          <w:p w14:paraId="7614927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目标 2：</w:t>
            </w:r>
            <w:r>
              <w:rPr>
                <w:rFonts w:hint="eastAsia" w:ascii="宋体" w:hAnsi="宋体" w:eastAsia="宋体" w:cs="宋体"/>
                <w:color w:val="000000"/>
                <w:kern w:val="0"/>
                <w:sz w:val="24"/>
                <w:szCs w:val="24"/>
                <w:lang w:val="en-US" w:eastAsia="zh-CN" w:bidi="ar"/>
              </w:rPr>
              <w:t xml:space="preserve">了解实习企业在机械行业的特点和其发展历史，了解相关的技术标准、 </w:t>
            </w:r>
          </w:p>
          <w:p w14:paraId="7DDC199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知识产权、产业政策和法规，能够跟踪机械相关技术的发展趋势，并理解不同社 </w:t>
            </w:r>
          </w:p>
          <w:p w14:paraId="45A0E014">
            <w:pPr>
              <w:keepNext w:val="0"/>
              <w:keepLines w:val="0"/>
              <w:widowControl/>
              <w:suppressLineNumbers w:val="0"/>
              <w:jc w:val="left"/>
              <w:rPr>
                <w:rFonts w:hint="eastAsia" w:ascii="宋体" w:hAnsi="宋体" w:eastAsia="宋体" w:cs="宋体"/>
                <w:sz w:val="24"/>
                <w:szCs w:val="24"/>
                <w:vertAlign w:val="baseline"/>
                <w:lang w:val="en-US" w:eastAsia="zh-CN"/>
              </w:rPr>
            </w:pPr>
            <w:r>
              <w:rPr>
                <w:rFonts w:hint="eastAsia" w:ascii="宋体" w:hAnsi="宋体" w:eastAsia="宋体" w:cs="宋体"/>
                <w:color w:val="000000"/>
                <w:kern w:val="0"/>
                <w:sz w:val="24"/>
                <w:szCs w:val="24"/>
                <w:lang w:val="en-US" w:eastAsia="zh-CN" w:bidi="ar"/>
              </w:rPr>
              <w:t>会文化对工程活动的影响。（通过讲座、查阅文献获取，不超过 1500 字）</w:t>
            </w:r>
          </w:p>
        </w:tc>
      </w:tr>
      <w:tr w14:paraId="5E15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40" w:type="dxa"/>
            <w:vAlign w:val="top"/>
          </w:tcPr>
          <w:p w14:paraId="5D945147">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实习企业特点、行业规范与技术发展观察</w:t>
            </w:r>
          </w:p>
          <w:p w14:paraId="7458C576">
            <w:pPr>
              <w:ind w:firstLine="480" w:firstLineChars="200"/>
              <w:rPr>
                <w:rFonts w:hint="eastAsia" w:ascii="宋体" w:hAnsi="宋体" w:eastAsia="宋体" w:cs="宋体"/>
                <w:sz w:val="24"/>
                <w:szCs w:val="24"/>
                <w:vertAlign w:val="baseline"/>
                <w:lang w:val="en-US" w:eastAsia="zh-CN"/>
              </w:rPr>
            </w:pPr>
          </w:p>
          <w:p w14:paraId="6C26D4FC">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本次实习覆盖工业机器人、国产工控、激光加工、重型装备和无损检测等多个方向。不同企业的产品形态和服务场景存在差异，但共同指向制造业数字化、装备自主化和质量全过程控制。通过现场讲解和资料阅读，我对企业发展路径、行业规范及技术趋势形成了更系统的认识。</w:t>
            </w:r>
          </w:p>
          <w:p w14:paraId="7DF4F43D">
            <w:pPr>
              <w:ind w:firstLine="480" w:firstLineChars="200"/>
              <w:rPr>
                <w:rFonts w:hint="eastAsia" w:ascii="宋体" w:hAnsi="宋体" w:eastAsia="宋体" w:cs="宋体"/>
                <w:sz w:val="24"/>
                <w:szCs w:val="24"/>
                <w:vertAlign w:val="baseline"/>
                <w:lang w:val="en-US" w:eastAsia="zh-CN"/>
              </w:rPr>
            </w:pPr>
          </w:p>
          <w:p w14:paraId="2E3270D5">
            <w:pPr>
              <w:numPr>
                <w:ilvl w:val="0"/>
                <w:numId w:val="1"/>
              </w:num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企业业务特点。新松机器人侧重智能制造单元和机器人应用集成，强调设备柔性、节拍组织和现场安全；龙芯科技面向国产基础软硬件生态，为工控设备提供底层计算与控制支撑；华维激光以激光清洗、切割和焊接为代表，体现了绿色加工与自动化集成方向；北方重工则服务于重载、长周期和复杂工况的大型装备制造；检测单位承担产品质量验证与过程追溯任务，是制造体系的重要保障环节。</w:t>
            </w:r>
          </w:p>
          <w:p w14:paraId="5F37E427">
            <w:pPr>
              <w:widowControl w:val="0"/>
              <w:numPr>
                <w:numId w:val="0"/>
              </w:numPr>
              <w:jc w:val="both"/>
              <w:rPr>
                <w:rFonts w:hint="eastAsia" w:ascii="宋体" w:hAnsi="宋体" w:eastAsia="宋体" w:cs="宋体"/>
                <w:sz w:val="24"/>
                <w:szCs w:val="24"/>
                <w:vertAlign w:val="baseline"/>
                <w:lang w:val="en-US" w:eastAsia="zh-CN"/>
              </w:rPr>
            </w:pPr>
          </w:p>
          <w:p w14:paraId="0B46FF7F">
            <w:pPr>
              <w:numPr>
                <w:ilvl w:val="0"/>
                <w:numId w:val="1"/>
              </w:numPr>
              <w:ind w:left="0" w:leftChars="0" w:firstLine="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标准与知识产权。机械制造活动需要在标准体系下开展。尺寸公差、形位公差、焊接质量、安全防护和无损检测均有相应国家标准、行业标准或企业规范。对于企业而言，专利、软件著作权、工艺文件和控制程序既是技术成果，也是核心资产。现场工程师多次强调，技术图纸、程序参数和检测数据都应按权限管理，不能随意复制、传播或修改。</w:t>
            </w:r>
          </w:p>
          <w:p w14:paraId="3376B889">
            <w:pPr>
              <w:widowControl w:val="0"/>
              <w:numPr>
                <w:numId w:val="0"/>
              </w:numPr>
              <w:jc w:val="both"/>
              <w:rPr>
                <w:rFonts w:hint="eastAsia" w:ascii="宋体" w:hAnsi="宋体" w:eastAsia="宋体" w:cs="宋体"/>
                <w:sz w:val="24"/>
                <w:szCs w:val="24"/>
                <w:vertAlign w:val="baseline"/>
                <w:lang w:val="en-US" w:eastAsia="zh-CN"/>
              </w:rPr>
            </w:pPr>
          </w:p>
          <w:p w14:paraId="45F91216">
            <w:pPr>
              <w:numPr>
                <w:ilvl w:val="0"/>
                <w:numId w:val="1"/>
              </w:numPr>
              <w:ind w:left="0" w:leftChars="0" w:firstLine="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产业政策与技术趋势。当前装备制造业持续推进关键部件国产化、工业软件自主化和生产过程数字化。国产 PLC、控制器和工业芯片的应用，有助于提升供应链韧性；机器人与视觉系统结合，使传统产线具备更强的换型能力；激光清洗、水射流等工艺减少了化学试剂和高污染处理方式的使用；检测数据联网与设备状态监控，则推动质量管理由事后检验转向过程预防。</w:t>
            </w:r>
          </w:p>
          <w:p w14:paraId="403DDD33">
            <w:pPr>
              <w:widowControl w:val="0"/>
              <w:numPr>
                <w:numId w:val="0"/>
              </w:numPr>
              <w:jc w:val="both"/>
              <w:rPr>
                <w:rFonts w:hint="eastAsia" w:ascii="宋体" w:hAnsi="宋体" w:eastAsia="宋体" w:cs="宋体"/>
                <w:sz w:val="24"/>
                <w:szCs w:val="24"/>
                <w:vertAlign w:val="baseline"/>
                <w:lang w:val="en-US" w:eastAsia="zh-CN"/>
              </w:rPr>
            </w:pPr>
          </w:p>
          <w:p w14:paraId="328F705D">
            <w:pPr>
              <w:numPr>
                <w:ilvl w:val="0"/>
                <w:numId w:val="1"/>
              </w:numPr>
              <w:ind w:left="0" w:leftChars="0" w:firstLine="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社会环境对工程方案的影响。不同区域的产业基础、人才结构、客户需求和能源条件，会直接影响装备选型和工艺路线。重型装备制造更关注承载能力、可靠性与现场维护，而精密自动化场景更强调节拍、空间利用和快速换型。因此，工程师在设计方案时不能只从技术角度出发，还应理解市场、法规、安全和社会资源条件对工程实践的约束。</w:t>
            </w:r>
          </w:p>
          <w:p w14:paraId="41D4DEB4">
            <w:pPr>
              <w:widowControl w:val="0"/>
              <w:numPr>
                <w:numId w:val="0"/>
              </w:numPr>
              <w:jc w:val="both"/>
              <w:rPr>
                <w:rFonts w:hint="eastAsia" w:ascii="宋体" w:hAnsi="宋体" w:eastAsia="宋体" w:cs="宋体"/>
                <w:sz w:val="24"/>
                <w:szCs w:val="24"/>
                <w:vertAlign w:val="baseline"/>
                <w:lang w:val="en-US" w:eastAsia="zh-CN"/>
              </w:rPr>
            </w:pPr>
          </w:p>
          <w:p w14:paraId="754BCE89">
            <w:pPr>
              <w:numPr>
                <w:ilvl w:val="0"/>
                <w:numId w:val="1"/>
              </w:numPr>
              <w:ind w:left="0" w:leftChars="0" w:firstLine="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企业发展中得到的启示。不同企业的竞争力并不只体现在单台设备性能上，还体现在技术积累、供应链组织、服务响应和质量管理能力。机器人企业需要长期积累应用经验，控制系统企业需要保持软硬件兼容与稳定，重型装备企业则更依赖工程项目经验和全周期服务能力。企业历史与产品路线会影响其技术投入重点，也会影响人才培养方式。</w:t>
            </w:r>
          </w:p>
          <w:p w14:paraId="086186B9">
            <w:pPr>
              <w:widowControl w:val="0"/>
              <w:numPr>
                <w:numId w:val="0"/>
              </w:numPr>
              <w:jc w:val="both"/>
              <w:rPr>
                <w:rFonts w:hint="eastAsia" w:ascii="宋体" w:hAnsi="宋体" w:eastAsia="宋体" w:cs="宋体"/>
                <w:sz w:val="24"/>
                <w:szCs w:val="24"/>
                <w:vertAlign w:val="baseline"/>
                <w:lang w:val="en-US" w:eastAsia="zh-CN"/>
              </w:rPr>
            </w:pPr>
          </w:p>
          <w:p w14:paraId="5D7DBA30">
            <w:pPr>
              <w:numPr>
                <w:ilvl w:val="0"/>
                <w:numId w:val="1"/>
              </w:numPr>
              <w:ind w:left="0" w:leftChars="0" w:firstLine="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学习和使用技术标准的意义。实习中接触到的工艺文件、作业指导书和检测记录，本质上都是把经验转化为可重复执行的规则。工程人员只有理解标准条款背后的质量与安全逻辑，才能在遇到新材料、新设备或异常工况时作出正确判断。对学生而言，后续应主动学习图样标注、机械安全、焊接质量和检测规范的基本内容，把标准意识建立在日常操作中。</w:t>
            </w:r>
          </w:p>
          <w:p w14:paraId="1EC245F4">
            <w:pPr>
              <w:widowControl w:val="0"/>
              <w:numPr>
                <w:numId w:val="0"/>
              </w:numPr>
              <w:jc w:val="both"/>
              <w:rPr>
                <w:rFonts w:hint="eastAsia" w:ascii="宋体" w:hAnsi="宋体" w:eastAsia="宋体" w:cs="宋体"/>
                <w:sz w:val="24"/>
                <w:szCs w:val="24"/>
                <w:vertAlign w:val="baseline"/>
                <w:lang w:val="en-US" w:eastAsia="zh-CN"/>
              </w:rPr>
            </w:pPr>
          </w:p>
          <w:p w14:paraId="56325AD3">
            <w:pPr>
              <w:widowControl w:val="0"/>
              <w:numPr>
                <w:numId w:val="0"/>
              </w:numPr>
              <w:jc w:val="both"/>
              <w:rPr>
                <w:rFonts w:hint="eastAsia" w:ascii="宋体" w:hAnsi="宋体" w:eastAsia="宋体" w:cs="宋体"/>
                <w:sz w:val="24"/>
                <w:szCs w:val="24"/>
                <w:vertAlign w:val="baseline"/>
                <w:lang w:val="en-US" w:eastAsia="zh-CN"/>
              </w:rPr>
            </w:pPr>
          </w:p>
          <w:p w14:paraId="775D3E25">
            <w:pPr>
              <w:widowControl w:val="0"/>
              <w:numPr>
                <w:numId w:val="0"/>
              </w:numPr>
              <w:jc w:val="both"/>
              <w:rPr>
                <w:rFonts w:hint="eastAsia" w:ascii="宋体" w:hAnsi="宋体" w:eastAsia="宋体" w:cs="宋体"/>
                <w:sz w:val="24"/>
                <w:szCs w:val="24"/>
                <w:vertAlign w:val="baseline"/>
                <w:lang w:val="en-US" w:eastAsia="zh-CN"/>
              </w:rPr>
            </w:pPr>
          </w:p>
          <w:p w14:paraId="1C5CE8F9">
            <w:pPr>
              <w:widowControl w:val="0"/>
              <w:numPr>
                <w:numId w:val="0"/>
              </w:numPr>
              <w:jc w:val="both"/>
              <w:rPr>
                <w:rFonts w:hint="eastAsia" w:ascii="宋体" w:hAnsi="宋体" w:eastAsia="宋体" w:cs="宋体"/>
                <w:sz w:val="24"/>
                <w:szCs w:val="24"/>
                <w:vertAlign w:val="baseline"/>
                <w:lang w:val="en-US" w:eastAsia="zh-CN"/>
              </w:rPr>
            </w:pPr>
          </w:p>
          <w:p w14:paraId="58DF221F">
            <w:pPr>
              <w:widowControl w:val="0"/>
              <w:numPr>
                <w:numId w:val="0"/>
              </w:numPr>
              <w:jc w:val="both"/>
              <w:rPr>
                <w:rFonts w:hint="eastAsia" w:ascii="宋体" w:hAnsi="宋体" w:eastAsia="宋体" w:cs="宋体"/>
                <w:sz w:val="24"/>
                <w:szCs w:val="24"/>
                <w:vertAlign w:val="baseline"/>
                <w:lang w:val="en-US" w:eastAsia="zh-CN"/>
              </w:rPr>
            </w:pPr>
          </w:p>
          <w:p w14:paraId="5A054899">
            <w:pPr>
              <w:widowControl w:val="0"/>
              <w:numPr>
                <w:numId w:val="0"/>
              </w:numPr>
              <w:jc w:val="both"/>
              <w:rPr>
                <w:rFonts w:hint="eastAsia" w:ascii="宋体" w:hAnsi="宋体" w:eastAsia="宋体" w:cs="宋体"/>
                <w:sz w:val="24"/>
                <w:szCs w:val="24"/>
                <w:vertAlign w:val="baseline"/>
                <w:lang w:val="en-US" w:eastAsia="zh-CN"/>
              </w:rPr>
            </w:pPr>
          </w:p>
          <w:p w14:paraId="6A5A63DC">
            <w:pPr>
              <w:widowControl w:val="0"/>
              <w:numPr>
                <w:numId w:val="0"/>
              </w:numPr>
              <w:jc w:val="both"/>
              <w:rPr>
                <w:rFonts w:hint="eastAsia" w:ascii="宋体" w:hAnsi="宋体" w:eastAsia="宋体" w:cs="宋体"/>
                <w:sz w:val="24"/>
                <w:szCs w:val="24"/>
                <w:vertAlign w:val="baseline"/>
                <w:lang w:val="en-US" w:eastAsia="zh-CN"/>
              </w:rPr>
            </w:pPr>
          </w:p>
          <w:p w14:paraId="24BA1D35">
            <w:pPr>
              <w:widowControl w:val="0"/>
              <w:numPr>
                <w:numId w:val="0"/>
              </w:numPr>
              <w:jc w:val="both"/>
              <w:rPr>
                <w:rFonts w:hint="eastAsia" w:ascii="宋体" w:hAnsi="宋体" w:eastAsia="宋体" w:cs="宋体"/>
                <w:sz w:val="24"/>
                <w:szCs w:val="24"/>
                <w:vertAlign w:val="baseline"/>
                <w:lang w:val="en-US" w:eastAsia="zh-CN"/>
              </w:rPr>
            </w:pPr>
          </w:p>
          <w:p w14:paraId="0A2447E5">
            <w:pPr>
              <w:widowControl w:val="0"/>
              <w:numPr>
                <w:numId w:val="0"/>
              </w:numPr>
              <w:jc w:val="both"/>
              <w:rPr>
                <w:rFonts w:hint="eastAsia" w:ascii="宋体" w:hAnsi="宋体" w:eastAsia="宋体" w:cs="宋体"/>
                <w:sz w:val="24"/>
                <w:szCs w:val="24"/>
                <w:vertAlign w:val="baseline"/>
                <w:lang w:val="en-US" w:eastAsia="zh-CN"/>
              </w:rPr>
            </w:pPr>
          </w:p>
          <w:p w14:paraId="1A76AB5C">
            <w:pPr>
              <w:widowControl w:val="0"/>
              <w:numPr>
                <w:numId w:val="0"/>
              </w:numPr>
              <w:jc w:val="both"/>
              <w:rPr>
                <w:rFonts w:hint="eastAsia" w:ascii="宋体" w:hAnsi="宋体" w:eastAsia="宋体" w:cs="宋体"/>
                <w:sz w:val="24"/>
                <w:szCs w:val="24"/>
                <w:vertAlign w:val="baseline"/>
                <w:lang w:val="en-US" w:eastAsia="zh-CN"/>
              </w:rPr>
            </w:pPr>
          </w:p>
          <w:p w14:paraId="2798F637">
            <w:pPr>
              <w:widowControl w:val="0"/>
              <w:numPr>
                <w:numId w:val="0"/>
              </w:numPr>
              <w:jc w:val="both"/>
              <w:rPr>
                <w:rFonts w:hint="eastAsia" w:ascii="宋体" w:hAnsi="宋体" w:eastAsia="宋体" w:cs="宋体"/>
                <w:sz w:val="24"/>
                <w:szCs w:val="24"/>
                <w:vertAlign w:val="baseline"/>
                <w:lang w:val="en-US" w:eastAsia="zh-CN"/>
              </w:rPr>
            </w:pPr>
          </w:p>
          <w:p w14:paraId="344D0148">
            <w:pPr>
              <w:widowControl w:val="0"/>
              <w:numPr>
                <w:numId w:val="0"/>
              </w:numPr>
              <w:jc w:val="both"/>
              <w:rPr>
                <w:rFonts w:hint="eastAsia" w:ascii="宋体" w:hAnsi="宋体" w:eastAsia="宋体" w:cs="宋体"/>
                <w:sz w:val="24"/>
                <w:szCs w:val="24"/>
                <w:vertAlign w:val="baseline"/>
                <w:lang w:val="en-US" w:eastAsia="zh-CN"/>
              </w:rPr>
            </w:pPr>
          </w:p>
          <w:p w14:paraId="469FF161">
            <w:pPr>
              <w:widowControl w:val="0"/>
              <w:numPr>
                <w:numId w:val="0"/>
              </w:numPr>
              <w:jc w:val="both"/>
              <w:rPr>
                <w:rFonts w:hint="eastAsia" w:ascii="宋体" w:hAnsi="宋体" w:eastAsia="宋体" w:cs="宋体"/>
                <w:sz w:val="24"/>
                <w:szCs w:val="24"/>
                <w:vertAlign w:val="baseline"/>
                <w:lang w:val="en-US" w:eastAsia="zh-CN"/>
              </w:rPr>
            </w:pPr>
          </w:p>
          <w:p w14:paraId="4B8AEC8E">
            <w:pPr>
              <w:widowControl w:val="0"/>
              <w:numPr>
                <w:numId w:val="0"/>
              </w:numPr>
              <w:jc w:val="both"/>
              <w:rPr>
                <w:rFonts w:hint="eastAsia" w:ascii="宋体" w:hAnsi="宋体" w:eastAsia="宋体" w:cs="宋体"/>
                <w:sz w:val="24"/>
                <w:szCs w:val="24"/>
                <w:vertAlign w:val="baseline"/>
                <w:lang w:val="en-US" w:eastAsia="zh-CN"/>
              </w:rPr>
            </w:pPr>
          </w:p>
          <w:p w14:paraId="7DE7EA3E">
            <w:pPr>
              <w:widowControl w:val="0"/>
              <w:numPr>
                <w:numId w:val="0"/>
              </w:numPr>
              <w:jc w:val="both"/>
              <w:rPr>
                <w:rFonts w:hint="eastAsia" w:ascii="宋体" w:hAnsi="宋体" w:eastAsia="宋体" w:cs="宋体"/>
                <w:sz w:val="24"/>
                <w:szCs w:val="24"/>
                <w:vertAlign w:val="baseline"/>
                <w:lang w:val="en-US" w:eastAsia="zh-CN"/>
              </w:rPr>
            </w:pPr>
          </w:p>
          <w:p w14:paraId="364D2C4A">
            <w:pPr>
              <w:widowControl w:val="0"/>
              <w:numPr>
                <w:numId w:val="0"/>
              </w:numPr>
              <w:jc w:val="both"/>
              <w:rPr>
                <w:rFonts w:hint="eastAsia" w:ascii="宋体" w:hAnsi="宋体" w:eastAsia="宋体" w:cs="宋体"/>
                <w:sz w:val="24"/>
                <w:szCs w:val="24"/>
                <w:vertAlign w:val="baseline"/>
                <w:lang w:val="en-US" w:eastAsia="zh-CN"/>
              </w:rPr>
            </w:pPr>
          </w:p>
          <w:p w14:paraId="213DF472">
            <w:pPr>
              <w:widowControl w:val="0"/>
              <w:numPr>
                <w:numId w:val="0"/>
              </w:numPr>
              <w:jc w:val="both"/>
              <w:rPr>
                <w:rFonts w:hint="eastAsia" w:ascii="宋体" w:hAnsi="宋体" w:eastAsia="宋体" w:cs="宋体"/>
                <w:sz w:val="24"/>
                <w:szCs w:val="24"/>
                <w:vertAlign w:val="baseline"/>
                <w:lang w:val="en-US" w:eastAsia="zh-CN"/>
              </w:rPr>
            </w:pPr>
          </w:p>
          <w:p w14:paraId="6A3C29F3">
            <w:pPr>
              <w:widowControl w:val="0"/>
              <w:numPr>
                <w:numId w:val="0"/>
              </w:numPr>
              <w:jc w:val="both"/>
              <w:rPr>
                <w:rFonts w:hint="eastAsia" w:ascii="宋体" w:hAnsi="宋体" w:eastAsia="宋体" w:cs="宋体"/>
                <w:sz w:val="24"/>
                <w:szCs w:val="24"/>
                <w:vertAlign w:val="baseline"/>
                <w:lang w:val="en-US" w:eastAsia="zh-CN"/>
              </w:rPr>
            </w:pPr>
          </w:p>
          <w:p w14:paraId="7461D4A8">
            <w:pPr>
              <w:widowControl w:val="0"/>
              <w:numPr>
                <w:numId w:val="0"/>
              </w:numPr>
              <w:jc w:val="both"/>
              <w:rPr>
                <w:rFonts w:hint="eastAsia" w:ascii="宋体" w:hAnsi="宋体" w:eastAsia="宋体" w:cs="宋体"/>
                <w:sz w:val="24"/>
                <w:szCs w:val="24"/>
                <w:vertAlign w:val="baseline"/>
                <w:lang w:val="en-US" w:eastAsia="zh-CN"/>
              </w:rPr>
            </w:pPr>
          </w:p>
          <w:p w14:paraId="356F680A">
            <w:pPr>
              <w:widowControl w:val="0"/>
              <w:numPr>
                <w:numId w:val="0"/>
              </w:numPr>
              <w:jc w:val="both"/>
              <w:rPr>
                <w:rFonts w:hint="eastAsia" w:ascii="宋体" w:hAnsi="宋体" w:eastAsia="宋体" w:cs="宋体"/>
                <w:sz w:val="24"/>
                <w:szCs w:val="24"/>
                <w:vertAlign w:val="baseline"/>
                <w:lang w:val="en-US" w:eastAsia="zh-CN"/>
              </w:rPr>
            </w:pPr>
          </w:p>
          <w:p w14:paraId="1BA23774">
            <w:pPr>
              <w:widowControl w:val="0"/>
              <w:numPr>
                <w:numId w:val="0"/>
              </w:numPr>
              <w:jc w:val="both"/>
              <w:rPr>
                <w:rFonts w:hint="eastAsia" w:ascii="宋体" w:hAnsi="宋体" w:eastAsia="宋体" w:cs="宋体"/>
                <w:sz w:val="24"/>
                <w:szCs w:val="24"/>
                <w:vertAlign w:val="baseline"/>
                <w:lang w:val="en-US" w:eastAsia="zh-CN"/>
              </w:rPr>
            </w:pPr>
          </w:p>
          <w:p w14:paraId="04CEEA20">
            <w:pPr>
              <w:widowControl w:val="0"/>
              <w:numPr>
                <w:numId w:val="0"/>
              </w:numPr>
              <w:jc w:val="both"/>
              <w:rPr>
                <w:rFonts w:hint="eastAsia" w:ascii="宋体" w:hAnsi="宋体" w:eastAsia="宋体" w:cs="宋体"/>
                <w:sz w:val="24"/>
                <w:szCs w:val="24"/>
                <w:vertAlign w:val="baseline"/>
                <w:lang w:val="en-US" w:eastAsia="zh-CN"/>
              </w:rPr>
            </w:pPr>
          </w:p>
        </w:tc>
      </w:tr>
      <w:tr w14:paraId="40F4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trPr>
        <w:tc>
          <w:tcPr>
            <w:tcW w:w="9140" w:type="dxa"/>
            <w:vAlign w:val="top"/>
          </w:tcPr>
          <w:p w14:paraId="3F4002D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目标 3：</w:t>
            </w:r>
            <w:r>
              <w:rPr>
                <w:rFonts w:hint="eastAsia" w:ascii="宋体" w:hAnsi="宋体" w:eastAsia="宋体" w:cs="宋体"/>
                <w:color w:val="000000"/>
                <w:kern w:val="0"/>
                <w:sz w:val="24"/>
                <w:szCs w:val="24"/>
                <w:lang w:val="en-US" w:eastAsia="zh-CN" w:bidi="ar"/>
              </w:rPr>
              <w:t xml:space="preserve">能结合实习企业的生产及企业教师的授课，从环境保护和可持续发展的 </w:t>
            </w:r>
          </w:p>
          <w:p w14:paraId="228F1AA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角度思考复杂机械工程问题工程实践的可持续性，评价产品全生命周期中可能对 </w:t>
            </w:r>
          </w:p>
          <w:p w14:paraId="088ADDD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人类和环境造成的损害和隐患。（从企业生产对环境和可持续发展的影响方面来 </w:t>
            </w:r>
          </w:p>
          <w:p w14:paraId="0DDA9B4E">
            <w:pPr>
              <w:keepNext w:val="0"/>
              <w:keepLines w:val="0"/>
              <w:widowControl/>
              <w:suppressLineNumbers w:val="0"/>
              <w:jc w:val="left"/>
              <w:rPr>
                <w:rFonts w:hint="eastAsia" w:ascii="宋体" w:hAnsi="宋体" w:eastAsia="宋体" w:cs="宋体"/>
                <w:sz w:val="24"/>
                <w:szCs w:val="24"/>
                <w:vertAlign w:val="baseline"/>
                <w:lang w:val="en-US" w:eastAsia="zh-CN"/>
              </w:rPr>
            </w:pPr>
            <w:r>
              <w:rPr>
                <w:rFonts w:hint="eastAsia" w:ascii="宋体" w:hAnsi="宋体" w:eastAsia="宋体" w:cs="宋体"/>
                <w:color w:val="000000"/>
                <w:kern w:val="0"/>
                <w:sz w:val="24"/>
                <w:szCs w:val="24"/>
                <w:lang w:val="en-US" w:eastAsia="zh-CN" w:bidi="ar"/>
              </w:rPr>
              <w:t>写，不超过 1000 字）</w:t>
            </w:r>
          </w:p>
        </w:tc>
      </w:tr>
      <w:tr w14:paraId="60D22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8" w:hRule="atLeast"/>
        </w:trPr>
        <w:tc>
          <w:tcPr>
            <w:tcW w:w="9140" w:type="dxa"/>
            <w:vAlign w:val="top"/>
          </w:tcPr>
          <w:p w14:paraId="6744C01A">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从制造全过程评价环境影响与可持续性</w:t>
            </w:r>
          </w:p>
          <w:p w14:paraId="0D53226D">
            <w:pPr>
              <w:ind w:firstLine="480" w:firstLineChars="200"/>
              <w:rPr>
                <w:rFonts w:hint="eastAsia" w:ascii="宋体" w:hAnsi="宋体" w:eastAsia="宋体" w:cs="宋体"/>
                <w:sz w:val="24"/>
                <w:szCs w:val="24"/>
                <w:vertAlign w:val="baseline"/>
                <w:lang w:val="en-US" w:eastAsia="zh-CN"/>
              </w:rPr>
            </w:pPr>
          </w:p>
          <w:p w14:paraId="4AFDE924">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合本次实习中接触到的机器人制造、激光加工、水射流切割、重型机加工及无损检测环节，我从材料使用、能源消耗、污染物控制、人员健康和产品回收五个方面评价机械工程实践的可持续性。机械制造并非只关注产品是否合格，还必须考虑其在全生命周期中对环境和使用者带来的影响。</w:t>
            </w:r>
          </w:p>
          <w:p w14:paraId="2DCC2F71">
            <w:pPr>
              <w:ind w:firstLine="480" w:firstLineChars="200"/>
              <w:rPr>
                <w:rFonts w:hint="eastAsia" w:ascii="宋体" w:hAnsi="宋体" w:eastAsia="宋体" w:cs="宋体"/>
                <w:sz w:val="24"/>
                <w:szCs w:val="24"/>
                <w:vertAlign w:val="baseline"/>
                <w:lang w:val="en-US" w:eastAsia="zh-CN"/>
              </w:rPr>
            </w:pPr>
          </w:p>
          <w:p w14:paraId="7129D2F1">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首先，原材料和加工余量直接关系资源利用效率。厚板切割、车铣加工和焊接会产生边角料、铁屑和焊渣，若缺乏分类回收，不仅增加成本，也会造成资源浪费。通过优化排样、提高毛坯近净成形程度、回收金属屑并建立材料台账，可以降低单位产品的材料消耗。</w:t>
            </w:r>
          </w:p>
          <w:p w14:paraId="1725E08B">
            <w:pPr>
              <w:rPr>
                <w:rFonts w:hint="eastAsia" w:ascii="宋体" w:hAnsi="宋体" w:eastAsia="宋体" w:cs="宋体"/>
                <w:sz w:val="24"/>
                <w:szCs w:val="24"/>
                <w:vertAlign w:val="baseline"/>
                <w:lang w:val="en-US" w:eastAsia="zh-CN"/>
              </w:rPr>
            </w:pPr>
          </w:p>
          <w:p w14:paraId="07BE893F">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其次，制造过程需要控制能耗和排放。激光设备、高压水泵、数控机床和通风除尘装置均存在持续用电需求；焊接烟尘、切削液雾化和试剂挥发会影响车间空气质量。现场可通过合理排产、设备待机管理、集中除尘、封闭回收和定期维护来减少无效能耗与污染扩散。</w:t>
            </w:r>
          </w:p>
          <w:p w14:paraId="3C080E78">
            <w:pPr>
              <w:rPr>
                <w:rFonts w:hint="eastAsia" w:ascii="宋体" w:hAnsi="宋体" w:eastAsia="宋体" w:cs="宋体"/>
                <w:sz w:val="24"/>
                <w:szCs w:val="24"/>
                <w:vertAlign w:val="baseline"/>
                <w:lang w:val="en-US" w:eastAsia="zh-CN"/>
              </w:rPr>
            </w:pPr>
          </w:p>
          <w:p w14:paraId="70B13691">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再次，无损检测和表面处理环节涉及化学品和辅助介质。渗透剂、清洗剂、磁悬液和废油不应随意倾倒，应按照危险废物管理要求分类收集、集中暂存和规范转运。对于人员健康，应配置防护手套、护目镜、通风设施和操作培训，避免职业暴露。</w:t>
            </w:r>
          </w:p>
          <w:p w14:paraId="69277F19">
            <w:pPr>
              <w:rPr>
                <w:rFonts w:hint="eastAsia" w:ascii="宋体" w:hAnsi="宋体" w:eastAsia="宋体" w:cs="宋体"/>
                <w:sz w:val="24"/>
                <w:szCs w:val="24"/>
                <w:vertAlign w:val="baseline"/>
                <w:lang w:val="en-US" w:eastAsia="zh-CN"/>
              </w:rPr>
            </w:pPr>
          </w:p>
          <w:p w14:paraId="05D14CD4">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最后，机械产品报废后仍具有可回收价值。钢结构件、铝合金外壳、铜线圈和部分电子元件可以进入再利用或资源化处理流程。设计阶段若考虑模块化拆装、材料可识别和维修便利性，也能延长设备使用寿命，减少过早报废。通过本次实习，我认识到可持续制造不是单一的环保措施，而是从工艺选择、设备运行、人员防护到回收利用共同构成的工程责任。</w:t>
            </w:r>
          </w:p>
          <w:p w14:paraId="7BDAE6A1">
            <w:pPr>
              <w:rPr>
                <w:rFonts w:hint="eastAsia" w:ascii="宋体" w:hAnsi="宋体" w:eastAsia="宋体" w:cs="宋体"/>
                <w:sz w:val="24"/>
                <w:szCs w:val="24"/>
                <w:vertAlign w:val="baseline"/>
                <w:lang w:val="en-US" w:eastAsia="zh-CN"/>
              </w:rPr>
            </w:pPr>
          </w:p>
          <w:p w14:paraId="6166488B">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此外，绿色制造还要求从设备寿命和维护方式上减少资源浪费。对水泵、机床和除尘设备实施预防性维护，可以降低因故障造成的重复加工与材料报废；对机器人和末端工具采用模块化设计，可以通过更换局部部件延长整机服役周期。对于企业而言，环境管理与成本管理并不矛盾，减少能源、耗材和返工本身就是提高生产效率的重要方式。</w:t>
            </w:r>
          </w:p>
          <w:p w14:paraId="24D942BF">
            <w:pPr>
              <w:rPr>
                <w:rFonts w:hint="eastAsia" w:ascii="宋体" w:hAnsi="宋体" w:eastAsia="宋体" w:cs="宋体"/>
                <w:sz w:val="24"/>
                <w:szCs w:val="24"/>
                <w:vertAlign w:val="baseline"/>
                <w:lang w:val="en-US" w:eastAsia="zh-CN"/>
              </w:rPr>
            </w:pPr>
          </w:p>
          <w:p w14:paraId="6E281520">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工程决策角度看，不能只用一次性投入评价某种工艺。比如绿色工艺设备可能前期购置成本较高，但若能减少废液处理、人员防护和返工损失，长期综合成本反而更低。因此，应在方案选择阶段同步评估安全风险、排放控制、维护频率和回收价值，使环保目标进入技术与经济决策的全过程。</w:t>
            </w:r>
          </w:p>
        </w:tc>
      </w:tr>
      <w:tr w14:paraId="1F3E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trPr>
        <w:tc>
          <w:tcPr>
            <w:tcW w:w="9140" w:type="dxa"/>
            <w:vAlign w:val="top"/>
          </w:tcPr>
          <w:p w14:paraId="7FCEFBF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目标 4：</w:t>
            </w:r>
            <w:r>
              <w:rPr>
                <w:rFonts w:hint="eastAsia" w:ascii="宋体" w:hAnsi="宋体" w:eastAsia="宋体" w:cs="宋体"/>
                <w:color w:val="000000"/>
                <w:kern w:val="0"/>
                <w:sz w:val="24"/>
                <w:szCs w:val="24"/>
                <w:lang w:val="en-US" w:eastAsia="zh-CN" w:bidi="ar"/>
              </w:rPr>
              <w:t xml:space="preserve">具备科学素养和发展观，理解机械工程师的职业性质和责任，并能在工 </w:t>
            </w:r>
          </w:p>
          <w:p w14:paraId="7211B23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程实践中自觉遵守诚实守信的职业道德和规范，履行责任。（从对机械工程师职 </w:t>
            </w:r>
          </w:p>
          <w:p w14:paraId="45806DE7">
            <w:pPr>
              <w:keepNext w:val="0"/>
              <w:keepLines w:val="0"/>
              <w:widowControl/>
              <w:suppressLineNumbers w:val="0"/>
              <w:jc w:val="left"/>
              <w:rPr>
                <w:rFonts w:hint="eastAsia" w:ascii="宋体" w:hAnsi="宋体" w:eastAsia="宋体" w:cs="宋体"/>
                <w:sz w:val="24"/>
                <w:szCs w:val="24"/>
                <w:vertAlign w:val="baseline"/>
                <w:lang w:val="en-US" w:eastAsia="zh-CN"/>
              </w:rPr>
            </w:pPr>
            <w:r>
              <w:rPr>
                <w:rFonts w:hint="eastAsia" w:ascii="宋体" w:hAnsi="宋体" w:eastAsia="宋体" w:cs="宋体"/>
                <w:color w:val="000000"/>
                <w:kern w:val="0"/>
                <w:sz w:val="24"/>
                <w:szCs w:val="24"/>
                <w:lang w:val="en-US" w:eastAsia="zh-CN" w:bidi="ar"/>
              </w:rPr>
              <w:t>业素养和职责的理解及所需能力来写，不超过 1000 字）</w:t>
            </w:r>
          </w:p>
        </w:tc>
      </w:tr>
      <w:tr w14:paraId="1DC3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3" w:hRule="atLeast"/>
        </w:trPr>
        <w:tc>
          <w:tcPr>
            <w:tcW w:w="9140" w:type="dxa"/>
            <w:vAlign w:val="top"/>
          </w:tcPr>
          <w:p w14:paraId="12CF2DF8">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对机械电子工程师职业责任与能力结构的理解</w:t>
            </w:r>
          </w:p>
          <w:p w14:paraId="79571D69">
            <w:pPr>
              <w:ind w:firstLine="480" w:firstLineChars="200"/>
              <w:rPr>
                <w:rFonts w:hint="eastAsia" w:ascii="宋体" w:hAnsi="宋体" w:eastAsia="宋体" w:cs="宋体"/>
                <w:sz w:val="24"/>
                <w:szCs w:val="24"/>
                <w:vertAlign w:val="baseline"/>
                <w:lang w:val="en-US" w:eastAsia="zh-CN"/>
              </w:rPr>
            </w:pPr>
          </w:p>
          <w:p w14:paraId="23FE14A7">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现场实习使我更加明确，机械电子工程师的工作并不局限于画图、编程或调试设备，而是要对技术方案的安全性、可实施性、质量稳定性和社会影响承担责任。在机器人、PLC 控制和无损检测等环节中，许多问题并非由单一错误造成，而是由设计、采购、装配、操作和管理中的细小疏忽累积形成。因此，工程师必须具备系统思维和责任意识。</w:t>
            </w:r>
          </w:p>
          <w:p w14:paraId="716B9AB4">
            <w:pPr>
              <w:numPr>
                <w:ilvl w:val="0"/>
                <w:numId w:val="2"/>
              </w:num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安全责任是工程活动的底线。设备设计和改造时要考虑防护围栏、急停回路、限位保护、互锁逻辑和警示标识；设备运行时要严格执行确认、点检和停机流程。无论是机器人运动、高压水切割，还是激光加工和吊装作业，都不能以赶工或省事为理由跳过安全步骤。</w:t>
            </w:r>
          </w:p>
          <w:p w14:paraId="16AA2BE4">
            <w:pPr>
              <w:widowControl w:val="0"/>
              <w:numPr>
                <w:numId w:val="0"/>
              </w:numPr>
              <w:jc w:val="both"/>
              <w:rPr>
                <w:rFonts w:hint="eastAsia" w:ascii="宋体" w:hAnsi="宋体" w:eastAsia="宋体" w:cs="宋体"/>
                <w:sz w:val="24"/>
                <w:szCs w:val="24"/>
                <w:vertAlign w:val="baseline"/>
                <w:lang w:val="en-US" w:eastAsia="zh-CN"/>
              </w:rPr>
            </w:pPr>
          </w:p>
          <w:p w14:paraId="59393DA6">
            <w:pPr>
              <w:numPr>
                <w:ilvl w:val="0"/>
                <w:numId w:val="2"/>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真实是质量责任的基础。尺寸测量记录、探伤结果、程序版本和故障处理信息，应当如实填写、及时归档。对发现的问题要按流程上报并推动闭环，而不是通过修改记录掩盖风险。工程师的专业信誉不仅来自技术能力，也来自对事实、标准和承诺的尊重。</w:t>
            </w:r>
          </w:p>
          <w:p w14:paraId="41AFDA64">
            <w:pPr>
              <w:widowControl w:val="0"/>
              <w:numPr>
                <w:numId w:val="0"/>
              </w:numPr>
              <w:jc w:val="both"/>
              <w:rPr>
                <w:rFonts w:hint="eastAsia" w:ascii="宋体" w:hAnsi="宋体" w:eastAsia="宋体" w:cs="宋体"/>
                <w:sz w:val="24"/>
                <w:szCs w:val="24"/>
                <w:vertAlign w:val="baseline"/>
                <w:lang w:val="en-US" w:eastAsia="zh-CN"/>
              </w:rPr>
            </w:pPr>
          </w:p>
          <w:p w14:paraId="64B1F954">
            <w:pPr>
              <w:numPr>
                <w:ilvl w:val="0"/>
                <w:numId w:val="2"/>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现代工程师需要复合能力。除机械设计与制造知识外，还应理解电气控制、传感器、通信网络、机器人运动、数据采集和质量管理。面对不同岗位人员，还要能够把复杂技术转化为清晰的操作要求，推动设计、工艺、生产和维护之间的协同。</w:t>
            </w:r>
          </w:p>
          <w:p w14:paraId="53B08E58">
            <w:pPr>
              <w:widowControl w:val="0"/>
              <w:numPr>
                <w:numId w:val="0"/>
              </w:numPr>
              <w:jc w:val="both"/>
              <w:rPr>
                <w:rFonts w:hint="eastAsia" w:ascii="宋体" w:hAnsi="宋体" w:eastAsia="宋体" w:cs="宋体"/>
                <w:sz w:val="24"/>
                <w:szCs w:val="24"/>
                <w:vertAlign w:val="baseline"/>
                <w:lang w:val="en-US" w:eastAsia="zh-CN"/>
              </w:rPr>
            </w:pPr>
          </w:p>
          <w:p w14:paraId="792496F6">
            <w:pPr>
              <w:numPr>
                <w:ilvl w:val="0"/>
                <w:numId w:val="2"/>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技术更新要求持续学习。当前国产控制系统、智能检测、数字化工厂和人工智能辅助设计不断发展，已有经验不能替代持续学习。未来无论从事研发、工艺还是现场服务，都应保持严谨、守信、尊重标准的职业态度，在保证公众安全和环境保护的前提下追求效率与创新。</w:t>
            </w:r>
          </w:p>
          <w:p w14:paraId="55F99B92">
            <w:pPr>
              <w:widowControl w:val="0"/>
              <w:numPr>
                <w:numId w:val="0"/>
              </w:numPr>
              <w:jc w:val="both"/>
              <w:rPr>
                <w:rFonts w:hint="eastAsia" w:ascii="宋体" w:hAnsi="宋体" w:eastAsia="宋体" w:cs="宋体"/>
                <w:sz w:val="24"/>
                <w:szCs w:val="24"/>
                <w:vertAlign w:val="baseline"/>
                <w:lang w:val="en-US" w:eastAsia="zh-CN"/>
              </w:rPr>
            </w:pPr>
          </w:p>
          <w:p w14:paraId="3A8BDE91">
            <w:pPr>
              <w:numPr>
                <w:ilvl w:val="0"/>
                <w:numId w:val="2"/>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责任还体现在问题处理方式上。当设备出现异常时，工程师应先采取安全措施，再通过数据、图纸、现场记录和试验结果定位原因，不能仅凭经验进行无依据的修改。对于涉及质量与安全的变更，应履行评审、验证和版本管理程序，保证后续人员能够了解问题经过与处理结论。这种可追溯的工作方式，是工程团队协同和事故预防的重要基础。</w:t>
            </w:r>
          </w:p>
          <w:p w14:paraId="3EF2033C">
            <w:pPr>
              <w:widowControl w:val="0"/>
              <w:numPr>
                <w:numId w:val="0"/>
              </w:numPr>
              <w:jc w:val="both"/>
              <w:rPr>
                <w:rFonts w:hint="eastAsia" w:ascii="宋体" w:hAnsi="宋体" w:eastAsia="宋体" w:cs="宋体"/>
                <w:sz w:val="24"/>
                <w:szCs w:val="24"/>
                <w:vertAlign w:val="baseline"/>
                <w:lang w:val="en-US" w:eastAsia="zh-CN"/>
              </w:rPr>
            </w:pPr>
          </w:p>
          <w:p w14:paraId="61BB71BE">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职业道德还要求工程师尊重知识产权和合作边界。企业图纸、程序、工艺参数和检测数据属于受保护的信息，在实习和工作中应遵守保密要求，不将未公开资料用于无关用途。面对供应商、客户和同事，工程师应保持公正、客观的立场，以技术事实和标准要求作为判断依据，避免因个人偏好影响质量与安全决策。</w:t>
            </w:r>
          </w:p>
        </w:tc>
      </w:tr>
      <w:tr w14:paraId="0D8F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9140" w:type="dxa"/>
            <w:vAlign w:val="top"/>
          </w:tcPr>
          <w:p w14:paraId="2AB9E66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目标 5：</w:t>
            </w:r>
            <w:r>
              <w:rPr>
                <w:rFonts w:hint="eastAsia" w:ascii="宋体" w:hAnsi="宋体" w:eastAsia="宋体" w:cs="宋体"/>
                <w:color w:val="000000"/>
                <w:kern w:val="0"/>
                <w:sz w:val="24"/>
                <w:szCs w:val="24"/>
                <w:lang w:val="en-US" w:eastAsia="zh-CN" w:bidi="ar"/>
              </w:rPr>
              <w:t xml:space="preserve">能够通过口头和书面方式表达自己的观点和主张，能够撰写实习文件， </w:t>
            </w:r>
          </w:p>
          <w:p w14:paraId="331FAC9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并能够回应质疑，理解与业界同行和社会公众交流的差异性。（写出自己的实习 </w:t>
            </w:r>
          </w:p>
          <w:p w14:paraId="57728D69">
            <w:pPr>
              <w:keepNext w:val="0"/>
              <w:keepLines w:val="0"/>
              <w:widowControl/>
              <w:suppressLineNumbers w:val="0"/>
              <w:jc w:val="left"/>
              <w:rPr>
                <w:rFonts w:hint="eastAsia" w:ascii="宋体" w:hAnsi="宋体" w:eastAsia="宋体" w:cs="宋体"/>
                <w:sz w:val="24"/>
                <w:szCs w:val="24"/>
                <w:vertAlign w:val="baseline"/>
                <w:lang w:val="en-US" w:eastAsia="zh-CN"/>
              </w:rPr>
            </w:pPr>
            <w:r>
              <w:rPr>
                <w:rFonts w:hint="eastAsia" w:ascii="宋体" w:hAnsi="宋体" w:eastAsia="宋体" w:cs="宋体"/>
                <w:color w:val="000000"/>
                <w:kern w:val="0"/>
                <w:sz w:val="24"/>
                <w:szCs w:val="24"/>
                <w:lang w:val="en-US" w:eastAsia="zh-CN" w:bidi="ar"/>
              </w:rPr>
              <w:t>体会和建议，评价时考虑报告撰写的规范性，不超过 1000 字）</w:t>
            </w:r>
          </w:p>
        </w:tc>
      </w:tr>
      <w:tr w14:paraId="6DC9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76" w:hRule="atLeast"/>
        </w:trPr>
        <w:tc>
          <w:tcPr>
            <w:tcW w:w="9140" w:type="dxa"/>
            <w:vAlign w:val="top"/>
          </w:tcPr>
          <w:p w14:paraId="421B7990">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实习体会、沟通方式与教学建议</w:t>
            </w:r>
          </w:p>
          <w:p w14:paraId="4E97B99C">
            <w:pPr>
              <w:ind w:firstLine="480" w:firstLineChars="200"/>
              <w:rPr>
                <w:rFonts w:hint="eastAsia" w:ascii="宋体" w:hAnsi="宋体" w:eastAsia="宋体" w:cs="宋体"/>
                <w:sz w:val="24"/>
                <w:szCs w:val="24"/>
                <w:vertAlign w:val="baseline"/>
                <w:lang w:val="en-US" w:eastAsia="zh-CN"/>
              </w:rPr>
            </w:pPr>
          </w:p>
          <w:p w14:paraId="37BD83E6">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本次实习使我认识到，工程表达不是简单介绍设备，而是根据对象、任务和场景选择合适的信息深度。一次有效的技术交流，既要让专业人员看到判断依据，也要让现场操作人员理解动作要求，还要让非专业对象把握项目价值。实习日志和总结报告的连续撰写，也帮助我把零散观察整理成可追溯的工程记录。</w:t>
            </w:r>
          </w:p>
          <w:p w14:paraId="495A70D7">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面对研发工程师或工艺人员时，沟通可以围绕设备参数、控制逻辑、误差来源和改进方案展开，重点是事实、数据与推理过程；面对操作人员时，应把内容转化为清晰的操作顺序、风险点和异常处置方法；面对管理人员或参观者时，则应突出应用场景、质量收益、成本影响和安全保障。不同对象需要不同表达，但所有表达都应避免夸大效果、隐瞒限制或使用模糊结论。</w:t>
            </w:r>
          </w:p>
          <w:p w14:paraId="429FB702">
            <w:pPr>
              <w:rPr>
                <w:rFonts w:hint="eastAsia" w:ascii="宋体" w:hAnsi="宋体" w:eastAsia="宋体" w:cs="宋体"/>
                <w:sz w:val="24"/>
                <w:szCs w:val="24"/>
                <w:vertAlign w:val="baseline"/>
                <w:lang w:val="en-US" w:eastAsia="zh-CN"/>
              </w:rPr>
            </w:pPr>
          </w:p>
          <w:p w14:paraId="6A0643F6">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在实习记录方面，我逐渐形成了“先事实、后分析、再反思”的写法：先记清当天设备、工序和操作内容；再说明关键原理、问题和判断依据；最后总结自身认识和后续要补足的能力。这样写出的报告更容易检查，也能为后续复盘提供依据。</w:t>
            </w:r>
          </w:p>
          <w:p w14:paraId="133421C7">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合此次经历，我认为校内实训可以进一步加强三个方面：其一，增加与企业设备流程相接近的综合项目，让学生同时接触机械、电气、控制和质量环节；其二，设置更多故障诊断与安全处置练习，避免实训只停留在“按步骤完成”；其三，建立小组技术汇报和互评机制，训练学生用图纸、数据和逻辑解释方案。</w:t>
            </w:r>
          </w:p>
          <w:p w14:paraId="695B388C">
            <w:pPr>
              <w:rPr>
                <w:rFonts w:hint="eastAsia" w:ascii="宋体" w:hAnsi="宋体" w:eastAsia="宋体" w:cs="宋体"/>
                <w:sz w:val="24"/>
                <w:szCs w:val="24"/>
                <w:vertAlign w:val="baseline"/>
                <w:lang w:val="en-US" w:eastAsia="zh-CN"/>
              </w:rPr>
            </w:pPr>
          </w:p>
          <w:p w14:paraId="308D5C49">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后续我将继续提升专业表达和现场沟通能力，尤其加强对工艺文件、检测记录和技术汇报的规范训练。工程沟通的目标不是展示术语，而是帮助团队形成共同判断、降低执行偏差并推动问题闭环。</w:t>
            </w:r>
          </w:p>
          <w:p w14:paraId="36DBF223">
            <w:pPr>
              <w:ind w:firstLine="480" w:firstLineChars="200"/>
              <w:rPr>
                <w:rFonts w:hint="eastAsia" w:ascii="宋体" w:hAnsi="宋体" w:eastAsia="宋体" w:cs="宋体"/>
                <w:sz w:val="24"/>
                <w:szCs w:val="24"/>
                <w:vertAlign w:val="baseline"/>
                <w:lang w:val="en-US" w:eastAsia="zh-CN"/>
              </w:rPr>
            </w:pPr>
          </w:p>
          <w:p w14:paraId="57139ED2">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个人成长角度看，本次实习也暴露出我在专业表达上的不足。例如，面对现场设备时能够理解基本动作，但要把控制逻辑、质量风险和工艺取舍讲清楚，还需要更多地使用图纸、流程图和数据进行支撑。后续学习中，我会把“能够做”进一步提升为“能够说明为什么这样做、还有哪些替代方案”，避免只停留在经验描述层面。</w:t>
            </w:r>
          </w:p>
          <w:p w14:paraId="2B7ECF9B">
            <w:pPr>
              <w:ind w:firstLine="480" w:firstLineChars="200"/>
              <w:rPr>
                <w:rFonts w:hint="eastAsia" w:ascii="宋体" w:hAnsi="宋体" w:eastAsia="宋体" w:cs="宋体"/>
                <w:sz w:val="24"/>
                <w:szCs w:val="24"/>
                <w:vertAlign w:val="baseline"/>
                <w:lang w:val="en-US" w:eastAsia="zh-CN"/>
              </w:rPr>
            </w:pPr>
          </w:p>
          <w:p w14:paraId="3F0E27CC">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对于报告规范性，我认为应坚持标题明确、事实准确、术语统一和结论有依据四项基本要求。日志中的时间、单位、设备名称和操作过程应尽量完整；总结部分的观点要能够回到具体观察或实操经历；对于自己尚未掌握的技术，应如实说明，不用模糊表述替代判断。这样才能使实习文件真正具有复盘和交流价值。</w:t>
            </w:r>
          </w:p>
        </w:tc>
      </w:tr>
      <w:tr w14:paraId="38EB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9140" w:type="dxa"/>
            <w:vAlign w:val="top"/>
          </w:tcPr>
          <w:p w14:paraId="47F5AF5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目标 6：</w:t>
            </w:r>
            <w:r>
              <w:rPr>
                <w:rFonts w:hint="eastAsia" w:ascii="宋体" w:hAnsi="宋体" w:eastAsia="宋体" w:cs="宋体"/>
                <w:color w:val="000000"/>
                <w:kern w:val="0"/>
                <w:sz w:val="24"/>
                <w:szCs w:val="24"/>
                <w:lang w:val="en-US" w:eastAsia="zh-CN" w:bidi="ar"/>
              </w:rPr>
              <w:t xml:space="preserve">了解机械产品全生命周期的成本构成，理解其中涉及的工程管理基本原 </w:t>
            </w:r>
          </w:p>
          <w:p w14:paraId="2579AE4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理与经济决策方法。（以某个零件或部件为例，分析其成本构成有哪些？如何做 </w:t>
            </w:r>
          </w:p>
          <w:p w14:paraId="6E5AE27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好成本决算？可通过讲座、网络调研获取相关资料，不超过 1000 字）</w:t>
            </w:r>
          </w:p>
          <w:p w14:paraId="2E5DF50E">
            <w:pPr>
              <w:rPr>
                <w:rFonts w:hint="eastAsia" w:ascii="宋体" w:hAnsi="宋体" w:eastAsia="宋体" w:cs="宋体"/>
                <w:sz w:val="24"/>
                <w:szCs w:val="24"/>
                <w:vertAlign w:val="baseline"/>
                <w:lang w:val="en-US" w:eastAsia="zh-CN"/>
              </w:rPr>
            </w:pPr>
          </w:p>
        </w:tc>
      </w:tr>
      <w:tr w14:paraId="3BDC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68" w:hRule="atLeast"/>
        </w:trPr>
        <w:tc>
          <w:tcPr>
            <w:tcW w:w="9140" w:type="dxa"/>
            <w:vAlign w:val="top"/>
          </w:tcPr>
          <w:p w14:paraId="0F0B113C">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以机器人末端执行器为例分析成本构成与成本决算</w:t>
            </w:r>
          </w:p>
          <w:p w14:paraId="26A2DE05">
            <w:pPr>
              <w:ind w:firstLine="480" w:firstLineChars="200"/>
              <w:rPr>
                <w:rFonts w:hint="eastAsia" w:ascii="宋体" w:hAnsi="宋体" w:eastAsia="宋体" w:cs="宋体"/>
                <w:sz w:val="24"/>
                <w:szCs w:val="24"/>
                <w:vertAlign w:val="baseline"/>
                <w:lang w:val="en-US" w:eastAsia="zh-CN"/>
              </w:rPr>
            </w:pPr>
          </w:p>
          <w:p w14:paraId="78B85823">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以工业机器人夹爪类末端执行器为例，其成本不仅包括采购时看到的材料与加工费用，还包含设计、装配、检测、仓储、运维和报废处理等全生命周期投入。若只压低初始采购价格，可能导致后续维护频繁、停机损失增加，反而不利于整体经济性。</w:t>
            </w:r>
          </w:p>
          <w:p w14:paraId="600C66F7">
            <w:pPr>
              <w:ind w:firstLine="480" w:firstLineChars="200"/>
              <w:rPr>
                <w:rFonts w:hint="eastAsia" w:ascii="宋体" w:hAnsi="宋体" w:eastAsia="宋体" w:cs="宋体"/>
                <w:sz w:val="24"/>
                <w:szCs w:val="24"/>
                <w:vertAlign w:val="baseline"/>
                <w:lang w:val="en-US" w:eastAsia="zh-CN"/>
              </w:rPr>
            </w:pPr>
          </w:p>
          <w:p w14:paraId="4DD3DB66">
            <w:pPr>
              <w:numPr>
                <w:ilvl w:val="0"/>
                <w:numId w:val="3"/>
              </w:num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直接材料成本。主要包括铝合金或钢制结构件、气缸或伺服执行元件、导轨、传感器、接头、线缆和紧固件。材料成本通常占较大比例，采购环节应建立合格供应商清单，明确关键件的规格、交期和质量要求，避免因替代件不匹配引起返工。</w:t>
            </w:r>
          </w:p>
          <w:p w14:paraId="10B87B01">
            <w:pPr>
              <w:widowControl w:val="0"/>
              <w:numPr>
                <w:numId w:val="0"/>
              </w:numPr>
              <w:jc w:val="both"/>
              <w:rPr>
                <w:rFonts w:hint="eastAsia" w:ascii="宋体" w:hAnsi="宋体" w:eastAsia="宋体" w:cs="宋体"/>
                <w:sz w:val="24"/>
                <w:szCs w:val="24"/>
                <w:vertAlign w:val="baseline"/>
                <w:lang w:val="en-US" w:eastAsia="zh-CN"/>
              </w:rPr>
            </w:pPr>
          </w:p>
          <w:p w14:paraId="08485E76">
            <w:pPr>
              <w:numPr>
                <w:ilvl w:val="0"/>
                <w:numId w:val="3"/>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制造与装配成本。包括零件数控加工、表面处理、夹具使用、装配人工、调试工时以及厂房、水电和设备折旧。对于结构变化较多的小批量产品，应控制工艺路线和换型次数；对于重复订单，可通过标准化模块和通用夹具降低单位制造成本。</w:t>
            </w:r>
          </w:p>
          <w:p w14:paraId="5664B5FE">
            <w:pPr>
              <w:widowControl w:val="0"/>
              <w:numPr>
                <w:numId w:val="0"/>
              </w:numPr>
              <w:jc w:val="both"/>
              <w:rPr>
                <w:rFonts w:hint="eastAsia" w:ascii="宋体" w:hAnsi="宋体" w:eastAsia="宋体" w:cs="宋体"/>
                <w:sz w:val="24"/>
                <w:szCs w:val="24"/>
                <w:vertAlign w:val="baseline"/>
                <w:lang w:val="en-US" w:eastAsia="zh-CN"/>
              </w:rPr>
            </w:pPr>
          </w:p>
          <w:p w14:paraId="037047F6">
            <w:pPr>
              <w:numPr>
                <w:ilvl w:val="0"/>
                <w:numId w:val="3"/>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质量与交付成本。尺寸检测、气密性测试、重复定位验证、包装、防震运输和现场安装均会产生费用。若在出厂前没有识别装配偏差，问题转移到客户现场后，返工、差旅和停线损失将显著增加。因此，合理投入检测资源本质上是在降低风险成本。</w:t>
            </w:r>
          </w:p>
          <w:p w14:paraId="151A6DCA">
            <w:pPr>
              <w:widowControl w:val="0"/>
              <w:numPr>
                <w:numId w:val="0"/>
              </w:numPr>
              <w:jc w:val="both"/>
              <w:rPr>
                <w:rFonts w:hint="eastAsia" w:ascii="宋体" w:hAnsi="宋体" w:eastAsia="宋体" w:cs="宋体"/>
                <w:sz w:val="24"/>
                <w:szCs w:val="24"/>
                <w:vertAlign w:val="baseline"/>
                <w:lang w:val="en-US" w:eastAsia="zh-CN"/>
              </w:rPr>
            </w:pPr>
          </w:p>
          <w:p w14:paraId="1E215491">
            <w:pPr>
              <w:numPr>
                <w:ilvl w:val="0"/>
                <w:numId w:val="3"/>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运维与回收成本。末端执行器在使用期内会产生密封件、夹指、传感器和线缆的更换成本。设计阶段若预留易损件维护空间、采用标准接口和可更换模块，可减少停机时间。报废时，金属结构件和电子元件也应按材料类别进行回收处理。</w:t>
            </w:r>
          </w:p>
          <w:p w14:paraId="335D4EC7">
            <w:pPr>
              <w:widowControl w:val="0"/>
              <w:numPr>
                <w:numId w:val="0"/>
              </w:numPr>
              <w:jc w:val="both"/>
              <w:rPr>
                <w:rFonts w:hint="eastAsia" w:ascii="宋体" w:hAnsi="宋体" w:eastAsia="宋体" w:cs="宋体"/>
                <w:sz w:val="24"/>
                <w:szCs w:val="24"/>
                <w:vertAlign w:val="baseline"/>
                <w:lang w:val="en-US" w:eastAsia="zh-CN"/>
              </w:rPr>
            </w:pPr>
          </w:p>
          <w:p w14:paraId="0935C81B">
            <w:pPr>
              <w:numPr>
                <w:ilvl w:val="0"/>
                <w:numId w:val="3"/>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成本决算方法。项目启动时可依据 BOM、工艺路线和标准工时形成目标成本；生产过程中按订单归集材料、人工与制造费用，并将实际消耗与预算进行对比。对偏差较大的项目，应区分是材料价格、加工效率、返工率还是设计变更造成，再形成改进措施。成本管理的目的不是单纯削减开支，而是在满足安全、性能和交付要求的前提下，让资源投入与产品价值相匹配。</w:t>
            </w:r>
          </w:p>
          <w:p w14:paraId="49FCEAEE">
            <w:pPr>
              <w:widowControl w:val="0"/>
              <w:numPr>
                <w:numId w:val="0"/>
              </w:numPr>
              <w:jc w:val="both"/>
              <w:rPr>
                <w:rFonts w:hint="eastAsia" w:ascii="宋体" w:hAnsi="宋体" w:eastAsia="宋体" w:cs="宋体"/>
                <w:sz w:val="24"/>
                <w:szCs w:val="24"/>
                <w:vertAlign w:val="baseline"/>
                <w:lang w:val="en-US" w:eastAsia="zh-CN"/>
              </w:rPr>
            </w:pPr>
          </w:p>
          <w:p w14:paraId="7F2B34CE">
            <w:pPr>
              <w:numPr>
                <w:ilvl w:val="0"/>
                <w:numId w:val="3"/>
              </w:numPr>
              <w:ind w:left="0"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经济决策与持续改进。成本分析还应考虑订单批量、交付周期和使用寿命。若产品需求不稳定，过度追求专用化生产线可能造成设备闲置；若关键件失效会引起长时间停机，则适当提高关键部件可靠性投入更具经济性。企业可通过定期复盘订单成本、供应商交付、返工原因和售后问题，逐步修正标准工时与成本模型，使成本决算从事后统计转向事前预防。</w:t>
            </w:r>
          </w:p>
          <w:p w14:paraId="4C42891E">
            <w:pPr>
              <w:widowControl w:val="0"/>
              <w:numPr>
                <w:numId w:val="0"/>
              </w:numPr>
              <w:jc w:val="both"/>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 xml:space="preserve"> </w:t>
            </w:r>
          </w:p>
          <w:p w14:paraId="4126CF8C">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七、降本的边界。降低成本不能以牺牲安全、检测和可靠性为代价。对于直接影响夹持安全、定位精度和人员防护的部件，应优先保证质量稳定；对于标准件、包装、物流和工艺节拍等环节，则可通过规格统一、批量采购、合理库存和流程优化降低消耗。只有把成本控制建立在质量底线之上，才能形成可持续的经济效益。</w:t>
            </w:r>
          </w:p>
        </w:tc>
      </w:tr>
    </w:tbl>
    <w:p w14:paraId="17B1669F">
      <w:pPr>
        <w:keepNext w:val="0"/>
        <w:keepLines w:val="0"/>
        <w:widowControl/>
        <w:suppressLineNumbers w:val="0"/>
        <w:jc w:val="left"/>
        <w:rPr>
          <w:rFonts w:hint="eastAsia" w:ascii="宋体" w:hAnsi="宋体"/>
          <w:sz w:val="32"/>
          <w:szCs w:val="32"/>
          <w:lang w:val="en-US" w:eastAsia="zh-CN"/>
        </w:rPr>
      </w:pPr>
      <w:r>
        <w:rPr>
          <w:rFonts w:hint="eastAsia" w:ascii="宋体" w:hAnsi="宋体" w:eastAsia="宋体" w:cs="宋体"/>
          <w:color w:val="000000"/>
          <w:kern w:val="0"/>
          <w:sz w:val="24"/>
          <w:szCs w:val="24"/>
          <w:lang w:val="en-US" w:eastAsia="zh-CN" w:bidi="ar"/>
        </w:rPr>
        <w:t>注：本实习报告由实习学生填写（可另加页），交实习单位和指导教师签署意见，给予成绩评定。交学院归档保管。</w:t>
      </w:r>
    </w:p>
    <w:p w14:paraId="098B9EE9">
      <w:pPr>
        <w:ind w:firstLine="3373" w:firstLineChars="1400"/>
        <w:rPr>
          <w:rFonts w:hint="eastAsia" w:ascii="宋体" w:hAnsi="宋体"/>
          <w:sz w:val="32"/>
          <w:szCs w:val="32"/>
          <w:lang w:val="en-US" w:eastAsia="zh-CN"/>
        </w:rPr>
      </w:pPr>
      <w:r>
        <w:rPr>
          <w:rFonts w:hint="eastAsia" w:ascii="宋体" w:hAnsi="宋体"/>
          <w:b/>
          <w:sz w:val="24"/>
        </w:rPr>
        <w:t>考核内容与成绩评定</w:t>
      </w:r>
    </w:p>
    <w:tbl>
      <w:tblPr>
        <w:tblStyle w:val="4"/>
        <w:tblW w:w="87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17"/>
        <w:gridCol w:w="3045"/>
        <w:gridCol w:w="1134"/>
        <w:gridCol w:w="1134"/>
      </w:tblGrid>
      <w:tr w14:paraId="1D25A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17" w:type="dxa"/>
            <w:noWrap w:val="0"/>
            <w:vAlign w:val="center"/>
          </w:tcPr>
          <w:p w14:paraId="38060B50">
            <w:pPr>
              <w:spacing w:line="300" w:lineRule="exact"/>
              <w:jc w:val="center"/>
              <w:rPr>
                <w:b/>
                <w:bCs/>
                <w:spacing w:val="7"/>
                <w:sz w:val="18"/>
                <w:szCs w:val="18"/>
              </w:rPr>
            </w:pPr>
            <w:r>
              <w:rPr>
                <w:rFonts w:hint="eastAsia"/>
                <w:b/>
                <w:bCs/>
                <w:spacing w:val="7"/>
                <w:sz w:val="18"/>
                <w:szCs w:val="18"/>
              </w:rPr>
              <w:t>课程</w:t>
            </w:r>
            <w:r>
              <w:rPr>
                <w:b/>
                <w:bCs/>
                <w:spacing w:val="7"/>
                <w:sz w:val="18"/>
                <w:szCs w:val="18"/>
              </w:rPr>
              <w:t>目标</w:t>
            </w:r>
          </w:p>
        </w:tc>
        <w:tc>
          <w:tcPr>
            <w:tcW w:w="3045" w:type="dxa"/>
            <w:noWrap w:val="0"/>
            <w:vAlign w:val="center"/>
          </w:tcPr>
          <w:p w14:paraId="01512FCF">
            <w:pPr>
              <w:spacing w:line="300" w:lineRule="exact"/>
              <w:jc w:val="center"/>
              <w:rPr>
                <w:b/>
                <w:bCs/>
                <w:spacing w:val="7"/>
                <w:sz w:val="18"/>
                <w:szCs w:val="18"/>
              </w:rPr>
            </w:pPr>
            <w:r>
              <w:rPr>
                <w:rFonts w:hint="eastAsia"/>
                <w:b/>
                <w:bCs/>
                <w:spacing w:val="7"/>
                <w:sz w:val="18"/>
                <w:szCs w:val="18"/>
              </w:rPr>
              <w:t>指标点</w:t>
            </w:r>
          </w:p>
        </w:tc>
        <w:tc>
          <w:tcPr>
            <w:tcW w:w="1134" w:type="dxa"/>
            <w:noWrap w:val="0"/>
            <w:vAlign w:val="center"/>
          </w:tcPr>
          <w:p w14:paraId="0DCD8E4A">
            <w:pPr>
              <w:spacing w:line="300" w:lineRule="exact"/>
              <w:jc w:val="center"/>
              <w:rPr>
                <w:b/>
                <w:bCs/>
                <w:spacing w:val="7"/>
                <w:sz w:val="18"/>
                <w:szCs w:val="18"/>
              </w:rPr>
            </w:pPr>
            <w:r>
              <w:rPr>
                <w:b/>
                <w:bCs/>
                <w:spacing w:val="7"/>
                <w:sz w:val="18"/>
                <w:szCs w:val="18"/>
              </w:rPr>
              <w:t>考核内容</w:t>
            </w:r>
          </w:p>
          <w:p w14:paraId="0802FE0D">
            <w:pPr>
              <w:widowControl/>
              <w:spacing w:line="300" w:lineRule="exact"/>
              <w:jc w:val="center"/>
              <w:rPr>
                <w:b/>
                <w:bCs/>
                <w:spacing w:val="7"/>
                <w:sz w:val="18"/>
                <w:szCs w:val="18"/>
              </w:rPr>
            </w:pPr>
            <w:r>
              <w:rPr>
                <w:b/>
                <w:bCs/>
                <w:spacing w:val="7"/>
                <w:sz w:val="18"/>
                <w:szCs w:val="18"/>
              </w:rPr>
              <w:t>（满分）</w:t>
            </w:r>
          </w:p>
        </w:tc>
        <w:tc>
          <w:tcPr>
            <w:tcW w:w="1134" w:type="dxa"/>
            <w:noWrap w:val="0"/>
            <w:vAlign w:val="center"/>
          </w:tcPr>
          <w:p w14:paraId="5A659B16">
            <w:pPr>
              <w:widowControl/>
              <w:spacing w:line="300" w:lineRule="exact"/>
              <w:jc w:val="center"/>
              <w:rPr>
                <w:b/>
                <w:bCs/>
                <w:spacing w:val="7"/>
                <w:sz w:val="18"/>
                <w:szCs w:val="18"/>
              </w:rPr>
            </w:pPr>
            <w:r>
              <w:rPr>
                <w:rFonts w:hint="eastAsia"/>
                <w:b/>
                <w:bCs/>
                <w:spacing w:val="7"/>
                <w:sz w:val="18"/>
                <w:szCs w:val="18"/>
              </w:rPr>
              <w:t>考核结果</w:t>
            </w:r>
          </w:p>
        </w:tc>
      </w:tr>
      <w:tr w14:paraId="668E2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jc w:val="center"/>
        </w:trPr>
        <w:tc>
          <w:tcPr>
            <w:tcW w:w="3417" w:type="dxa"/>
            <w:vMerge w:val="restart"/>
            <w:noWrap w:val="0"/>
            <w:vAlign w:val="center"/>
          </w:tcPr>
          <w:p w14:paraId="039CC264">
            <w:pPr>
              <w:keepNext w:val="0"/>
              <w:keepLines w:val="0"/>
              <w:pageBreakBefore w:val="0"/>
              <w:kinsoku/>
              <w:wordWrap/>
              <w:overflowPunct/>
              <w:topLinePunct w:val="0"/>
              <w:bidi w:val="0"/>
              <w:adjustRightInd/>
              <w:snapToGrid/>
              <w:spacing w:line="240" w:lineRule="auto"/>
              <w:jc w:val="both"/>
              <w:textAlignment w:val="auto"/>
              <w:rPr>
                <w:rFonts w:hint="default" w:ascii="Times New Roman" w:hAnsi="Times New Roman" w:eastAsia="宋体"/>
                <w:b w:val="0"/>
                <w:bCs/>
                <w:spacing w:val="7"/>
                <w:sz w:val="18"/>
                <w:szCs w:val="18"/>
                <w:lang w:val="en-US" w:eastAsia="zh-CN"/>
              </w:rPr>
            </w:pPr>
            <w:r>
              <w:rPr>
                <w:rFonts w:hint="eastAsia" w:ascii="Times New Roman" w:hAnsi="Times New Roman" w:eastAsia="宋体"/>
                <w:b w:val="0"/>
                <w:bCs/>
                <w:spacing w:val="6"/>
                <w:sz w:val="18"/>
                <w:szCs w:val="18"/>
                <w:lang w:val="en-US" w:eastAsia="zh-CN"/>
              </w:rPr>
              <w:t>目标1：能够结合实习企业的实际生产，调研和分析机电设备相关零部件生产工艺的流程，具备选择与使用机械电子工程环境中的现代设备与技术的能力。</w:t>
            </w:r>
          </w:p>
        </w:tc>
        <w:tc>
          <w:tcPr>
            <w:tcW w:w="3045" w:type="dxa"/>
            <w:vMerge w:val="restart"/>
            <w:noWrap w:val="0"/>
            <w:vAlign w:val="center"/>
          </w:tcPr>
          <w:p w14:paraId="39F10779">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7"/>
                <w:sz w:val="18"/>
                <w:szCs w:val="18"/>
              </w:rPr>
            </w:pPr>
            <w:r>
              <w:rPr>
                <w:rFonts w:hint="eastAsia" w:ascii="Times New Roman" w:hAnsi="Times New Roman" w:eastAsia="宋体"/>
                <w:b w:val="0"/>
                <w:bCs/>
                <w:sz w:val="18"/>
                <w:szCs w:val="21"/>
              </w:rPr>
              <w:t>4.1能够基于科学原理和方法，通过文献研究或相关方法，调研和分析机械电子工程中的复杂工程问题的解决方案。</w:t>
            </w:r>
          </w:p>
        </w:tc>
        <w:tc>
          <w:tcPr>
            <w:tcW w:w="1134" w:type="dxa"/>
            <w:tcBorders>
              <w:bottom w:val="single" w:color="auto" w:sz="4" w:space="0"/>
            </w:tcBorders>
            <w:noWrap w:val="0"/>
            <w:vAlign w:val="center"/>
          </w:tcPr>
          <w:p w14:paraId="60B6E965">
            <w:pPr>
              <w:keepNext w:val="0"/>
              <w:keepLines w:val="0"/>
              <w:pageBreakBefore w:val="0"/>
              <w:widowControl/>
              <w:kinsoku/>
              <w:wordWrap/>
              <w:overflowPunct/>
              <w:topLinePunct w:val="0"/>
              <w:bidi w:val="0"/>
              <w:adjustRightInd/>
              <w:snapToGrid/>
              <w:spacing w:line="240" w:lineRule="auto"/>
              <w:jc w:val="center"/>
              <w:textAlignment w:val="auto"/>
              <w:rPr>
                <w:rFonts w:hint="eastAsia"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实习报告</w:t>
            </w:r>
          </w:p>
          <w:p w14:paraId="51876358">
            <w:pPr>
              <w:keepNext w:val="0"/>
              <w:keepLines w:val="0"/>
              <w:pageBreakBefore w:val="0"/>
              <w:widowControl/>
              <w:kinsoku/>
              <w:wordWrap/>
              <w:overflowPunct/>
              <w:topLinePunct w:val="0"/>
              <w:bidi w:val="0"/>
              <w:adjustRightInd/>
              <w:snapToGrid/>
              <w:spacing w:line="240" w:lineRule="auto"/>
              <w:jc w:val="center"/>
              <w:textAlignment w:val="auto"/>
              <w:rPr>
                <w:rFonts w:hint="default"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（10分）</w:t>
            </w:r>
          </w:p>
        </w:tc>
        <w:tc>
          <w:tcPr>
            <w:tcW w:w="1134" w:type="dxa"/>
            <w:tcBorders>
              <w:bottom w:val="single" w:color="auto" w:sz="4" w:space="0"/>
            </w:tcBorders>
            <w:noWrap w:val="0"/>
            <w:vAlign w:val="center"/>
          </w:tcPr>
          <w:p w14:paraId="2AD3C43F">
            <w:pPr>
              <w:widowControl/>
              <w:spacing w:line="300" w:lineRule="exact"/>
              <w:jc w:val="center"/>
              <w:rPr>
                <w:rFonts w:hint="eastAsia"/>
                <w:b/>
                <w:bCs/>
                <w:spacing w:val="7"/>
                <w:sz w:val="18"/>
                <w:szCs w:val="18"/>
              </w:rPr>
            </w:pPr>
          </w:p>
        </w:tc>
      </w:tr>
      <w:tr w14:paraId="7CD7B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3" w:hRule="atLeast"/>
          <w:jc w:val="center"/>
        </w:trPr>
        <w:tc>
          <w:tcPr>
            <w:tcW w:w="3417" w:type="dxa"/>
            <w:vMerge w:val="continue"/>
            <w:noWrap w:val="0"/>
            <w:vAlign w:val="center"/>
          </w:tcPr>
          <w:p w14:paraId="6E8E0093">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6"/>
                <w:sz w:val="18"/>
                <w:szCs w:val="18"/>
                <w:lang w:val="en-US" w:eastAsia="zh-CN"/>
              </w:rPr>
            </w:pPr>
          </w:p>
        </w:tc>
        <w:tc>
          <w:tcPr>
            <w:tcW w:w="3045" w:type="dxa"/>
            <w:vMerge w:val="continue"/>
            <w:noWrap w:val="0"/>
            <w:vAlign w:val="center"/>
          </w:tcPr>
          <w:p w14:paraId="3BDFE126">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z w:val="18"/>
                <w:szCs w:val="21"/>
              </w:rPr>
            </w:pPr>
          </w:p>
        </w:tc>
        <w:tc>
          <w:tcPr>
            <w:tcW w:w="1134" w:type="dxa"/>
            <w:tcBorders>
              <w:top w:val="single" w:color="auto" w:sz="4" w:space="0"/>
            </w:tcBorders>
            <w:noWrap w:val="0"/>
            <w:vAlign w:val="center"/>
          </w:tcPr>
          <w:p w14:paraId="62D27A1D">
            <w:pPr>
              <w:keepNext w:val="0"/>
              <w:keepLines w:val="0"/>
              <w:pageBreakBefore w:val="0"/>
              <w:widowControl/>
              <w:kinsoku/>
              <w:wordWrap/>
              <w:overflowPunct/>
              <w:topLinePunct w:val="0"/>
              <w:bidi w:val="0"/>
              <w:adjustRightInd/>
              <w:snapToGrid/>
              <w:spacing w:line="240" w:lineRule="auto"/>
              <w:jc w:val="center"/>
              <w:textAlignment w:val="auto"/>
              <w:rPr>
                <w:rFonts w:hint="eastAsia"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实习答辩</w:t>
            </w:r>
          </w:p>
          <w:p w14:paraId="1693D6A6">
            <w:pPr>
              <w:keepNext w:val="0"/>
              <w:keepLines w:val="0"/>
              <w:pageBreakBefore w:val="0"/>
              <w:widowControl/>
              <w:kinsoku/>
              <w:wordWrap/>
              <w:overflowPunct/>
              <w:topLinePunct w:val="0"/>
              <w:bidi w:val="0"/>
              <w:adjustRightInd/>
              <w:snapToGrid/>
              <w:spacing w:line="240" w:lineRule="auto"/>
              <w:jc w:val="center"/>
              <w:textAlignment w:val="auto"/>
              <w:rPr>
                <w:rFonts w:hint="default"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（10分）</w:t>
            </w:r>
          </w:p>
        </w:tc>
        <w:tc>
          <w:tcPr>
            <w:tcW w:w="1134" w:type="dxa"/>
            <w:tcBorders>
              <w:top w:val="single" w:color="auto" w:sz="4" w:space="0"/>
            </w:tcBorders>
            <w:noWrap w:val="0"/>
            <w:vAlign w:val="center"/>
          </w:tcPr>
          <w:p w14:paraId="6CFD55CB">
            <w:pPr>
              <w:widowControl/>
              <w:spacing w:line="300" w:lineRule="exact"/>
              <w:jc w:val="center"/>
              <w:rPr>
                <w:rFonts w:hint="eastAsia"/>
                <w:b/>
                <w:bCs/>
                <w:spacing w:val="7"/>
                <w:sz w:val="18"/>
                <w:szCs w:val="18"/>
              </w:rPr>
            </w:pPr>
          </w:p>
        </w:tc>
      </w:tr>
      <w:tr w14:paraId="47DEE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17" w:type="dxa"/>
            <w:noWrap w:val="0"/>
            <w:vAlign w:val="center"/>
          </w:tcPr>
          <w:p w14:paraId="54904D9E">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7"/>
                <w:sz w:val="18"/>
                <w:szCs w:val="18"/>
              </w:rPr>
            </w:pPr>
            <w:r>
              <w:rPr>
                <w:rFonts w:hint="eastAsia" w:ascii="Times New Roman" w:hAnsi="Times New Roman" w:eastAsia="宋体"/>
                <w:b w:val="0"/>
                <w:bCs/>
                <w:spacing w:val="6"/>
                <w:sz w:val="18"/>
                <w:szCs w:val="18"/>
                <w:lang w:val="en-US" w:eastAsia="zh-CN"/>
              </w:rPr>
              <w:t>目标2：了解实习企业在机械电子工程行业的特点和其发展历史，了解相关的技术标准、知识产权、产业政策和法规，能够跟踪机械电子工程行业相关技术的发展趋势，并理解不同社会文化对工程活动的影响。</w:t>
            </w:r>
          </w:p>
        </w:tc>
        <w:tc>
          <w:tcPr>
            <w:tcW w:w="3045" w:type="dxa"/>
            <w:noWrap w:val="0"/>
            <w:vAlign w:val="center"/>
          </w:tcPr>
          <w:p w14:paraId="7108CCC5">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7"/>
                <w:sz w:val="18"/>
                <w:szCs w:val="18"/>
              </w:rPr>
            </w:pPr>
            <w:r>
              <w:rPr>
                <w:rFonts w:hint="eastAsia" w:ascii="Times New Roman" w:hAnsi="Times New Roman" w:eastAsia="宋体"/>
                <w:b w:val="0"/>
                <w:bCs/>
                <w:sz w:val="18"/>
                <w:szCs w:val="21"/>
              </w:rPr>
              <w:t>6.1了解机电行业的特点和发展现状，以及相关的技术标准、知识产权、产业政策和法律法规，理解不同社会文化对工程活动的影响。</w:t>
            </w:r>
          </w:p>
        </w:tc>
        <w:tc>
          <w:tcPr>
            <w:tcW w:w="1134" w:type="dxa"/>
            <w:noWrap w:val="0"/>
            <w:vAlign w:val="center"/>
          </w:tcPr>
          <w:p w14:paraId="36713265">
            <w:pPr>
              <w:keepNext w:val="0"/>
              <w:keepLines w:val="0"/>
              <w:pageBreakBefore w:val="0"/>
              <w:widowControl/>
              <w:kinsoku/>
              <w:wordWrap/>
              <w:overflowPunct/>
              <w:topLinePunct w:val="0"/>
              <w:bidi w:val="0"/>
              <w:adjustRightInd/>
              <w:snapToGrid/>
              <w:spacing w:line="240" w:lineRule="auto"/>
              <w:jc w:val="center"/>
              <w:textAlignment w:val="auto"/>
              <w:rPr>
                <w:rFonts w:hint="eastAsia"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实习报告</w:t>
            </w:r>
          </w:p>
          <w:p w14:paraId="1E0B09F6">
            <w:pPr>
              <w:keepNext w:val="0"/>
              <w:keepLines w:val="0"/>
              <w:pageBreakBefore w:val="0"/>
              <w:widowControl/>
              <w:kinsoku/>
              <w:wordWrap/>
              <w:overflowPunct/>
              <w:topLinePunct w:val="0"/>
              <w:bidi w:val="0"/>
              <w:adjustRightInd/>
              <w:snapToGrid/>
              <w:spacing w:line="240" w:lineRule="auto"/>
              <w:jc w:val="center"/>
              <w:textAlignment w:val="auto"/>
              <w:rPr>
                <w:rFonts w:hint="default"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（20分）</w:t>
            </w:r>
          </w:p>
        </w:tc>
        <w:tc>
          <w:tcPr>
            <w:tcW w:w="1134" w:type="dxa"/>
            <w:noWrap w:val="0"/>
            <w:vAlign w:val="center"/>
          </w:tcPr>
          <w:p w14:paraId="3D87E6F7">
            <w:pPr>
              <w:widowControl/>
              <w:spacing w:line="300" w:lineRule="exact"/>
              <w:jc w:val="center"/>
              <w:rPr>
                <w:rFonts w:hint="eastAsia"/>
                <w:b/>
                <w:bCs/>
                <w:spacing w:val="7"/>
                <w:sz w:val="18"/>
                <w:szCs w:val="18"/>
              </w:rPr>
            </w:pPr>
          </w:p>
        </w:tc>
      </w:tr>
      <w:tr w14:paraId="19AD6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2" w:hRule="atLeast"/>
          <w:jc w:val="center"/>
        </w:trPr>
        <w:tc>
          <w:tcPr>
            <w:tcW w:w="3417" w:type="dxa"/>
            <w:vMerge w:val="restart"/>
            <w:noWrap w:val="0"/>
            <w:vAlign w:val="center"/>
          </w:tcPr>
          <w:p w14:paraId="6D0C2EF7">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7"/>
                <w:sz w:val="18"/>
                <w:szCs w:val="18"/>
              </w:rPr>
            </w:pPr>
            <w:r>
              <w:rPr>
                <w:rFonts w:ascii="Times New Roman" w:hAnsi="Times New Roman" w:eastAsia="宋体" w:cs="宋体"/>
                <w:b w:val="0"/>
                <w:sz w:val="18"/>
                <w:szCs w:val="24"/>
              </w:rPr>
              <w:t>目标3：</w:t>
            </w:r>
            <w:r>
              <w:rPr>
                <w:rFonts w:ascii="Times New Roman" w:hAnsi="Times New Roman" w:eastAsia="宋体" w:cs="宋体"/>
                <w:b w:val="0"/>
                <w:bCs/>
                <w:sz w:val="18"/>
                <w:szCs w:val="24"/>
              </w:rPr>
              <w:t>能结合实习企业的生产及企业教师的授课，从环境保护和可持续发展的角度思考复杂机械电子工程问题工程实践的可持续性，评价产品全生命周期中可能对人类和环境造成的损害和隐患。</w:t>
            </w:r>
          </w:p>
        </w:tc>
        <w:tc>
          <w:tcPr>
            <w:tcW w:w="3045" w:type="dxa"/>
            <w:vMerge w:val="restart"/>
            <w:noWrap w:val="0"/>
            <w:vAlign w:val="center"/>
          </w:tcPr>
          <w:p w14:paraId="089A032A">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7"/>
                <w:sz w:val="18"/>
                <w:szCs w:val="18"/>
              </w:rPr>
            </w:pPr>
            <w:r>
              <w:rPr>
                <w:rFonts w:hint="eastAsia" w:ascii="Times New Roman" w:hAnsi="Times New Roman" w:eastAsia="宋体"/>
                <w:b w:val="0"/>
                <w:bCs/>
                <w:sz w:val="18"/>
                <w:szCs w:val="21"/>
              </w:rPr>
              <w:t>7.2能够站在环境保护和可持续发展的角度思考机械电子工程中的复杂工程问题工程实践的可持续性，评价产品全生命周期中可能对人类和环境造成的损害和隐患。</w:t>
            </w:r>
          </w:p>
        </w:tc>
        <w:tc>
          <w:tcPr>
            <w:tcW w:w="1134" w:type="dxa"/>
            <w:tcBorders>
              <w:bottom w:val="single" w:color="auto" w:sz="4" w:space="0"/>
            </w:tcBorders>
            <w:noWrap w:val="0"/>
            <w:vAlign w:val="center"/>
          </w:tcPr>
          <w:p w14:paraId="0F1F2C4E">
            <w:pPr>
              <w:keepNext w:val="0"/>
              <w:keepLines w:val="0"/>
              <w:pageBreakBefore w:val="0"/>
              <w:widowControl/>
              <w:kinsoku/>
              <w:wordWrap/>
              <w:overflowPunct/>
              <w:topLinePunct w:val="0"/>
              <w:bidi w:val="0"/>
              <w:adjustRightInd/>
              <w:snapToGrid/>
              <w:spacing w:line="240" w:lineRule="auto"/>
              <w:jc w:val="center"/>
              <w:textAlignment w:val="auto"/>
              <w:rPr>
                <w:rFonts w:hint="eastAsia"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过程考核</w:t>
            </w:r>
          </w:p>
          <w:p w14:paraId="18E74CFD">
            <w:pPr>
              <w:keepNext w:val="0"/>
              <w:keepLines w:val="0"/>
              <w:pageBreakBefore w:val="0"/>
              <w:widowControl/>
              <w:kinsoku/>
              <w:wordWrap/>
              <w:overflowPunct/>
              <w:topLinePunct w:val="0"/>
              <w:bidi w:val="0"/>
              <w:adjustRightInd/>
              <w:snapToGrid/>
              <w:spacing w:line="240" w:lineRule="auto"/>
              <w:jc w:val="center"/>
              <w:textAlignment w:val="auto"/>
              <w:rPr>
                <w:rFonts w:hint="default"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（10分）</w:t>
            </w:r>
          </w:p>
        </w:tc>
        <w:tc>
          <w:tcPr>
            <w:tcW w:w="1134" w:type="dxa"/>
            <w:tcBorders>
              <w:bottom w:val="single" w:color="auto" w:sz="4" w:space="0"/>
            </w:tcBorders>
            <w:noWrap w:val="0"/>
            <w:vAlign w:val="center"/>
          </w:tcPr>
          <w:p w14:paraId="71D97FF8">
            <w:pPr>
              <w:widowControl/>
              <w:spacing w:line="300" w:lineRule="exact"/>
              <w:jc w:val="center"/>
              <w:rPr>
                <w:rFonts w:hint="eastAsia"/>
                <w:b/>
                <w:bCs/>
                <w:spacing w:val="7"/>
                <w:sz w:val="18"/>
                <w:szCs w:val="18"/>
              </w:rPr>
            </w:pPr>
          </w:p>
        </w:tc>
      </w:tr>
      <w:tr w14:paraId="0D676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1" w:hRule="atLeast"/>
          <w:jc w:val="center"/>
        </w:trPr>
        <w:tc>
          <w:tcPr>
            <w:tcW w:w="3417" w:type="dxa"/>
            <w:vMerge w:val="continue"/>
            <w:noWrap w:val="0"/>
            <w:vAlign w:val="center"/>
          </w:tcPr>
          <w:p w14:paraId="0F141DE0">
            <w:pPr>
              <w:keepNext w:val="0"/>
              <w:keepLines w:val="0"/>
              <w:pageBreakBefore w:val="0"/>
              <w:kinsoku/>
              <w:wordWrap/>
              <w:overflowPunct/>
              <w:topLinePunct w:val="0"/>
              <w:bidi w:val="0"/>
              <w:adjustRightInd/>
              <w:snapToGrid/>
              <w:spacing w:line="240" w:lineRule="auto"/>
              <w:jc w:val="both"/>
              <w:textAlignment w:val="auto"/>
              <w:rPr>
                <w:rFonts w:ascii="Times New Roman" w:hAnsi="Times New Roman" w:eastAsia="宋体" w:cs="宋体"/>
                <w:b w:val="0"/>
                <w:sz w:val="18"/>
                <w:szCs w:val="24"/>
              </w:rPr>
            </w:pPr>
          </w:p>
        </w:tc>
        <w:tc>
          <w:tcPr>
            <w:tcW w:w="3045" w:type="dxa"/>
            <w:vMerge w:val="continue"/>
            <w:noWrap w:val="0"/>
            <w:vAlign w:val="center"/>
          </w:tcPr>
          <w:p w14:paraId="670F95CE">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z w:val="18"/>
                <w:szCs w:val="21"/>
              </w:rPr>
            </w:pPr>
          </w:p>
        </w:tc>
        <w:tc>
          <w:tcPr>
            <w:tcW w:w="1134" w:type="dxa"/>
            <w:tcBorders>
              <w:top w:val="single" w:color="auto" w:sz="4" w:space="0"/>
            </w:tcBorders>
            <w:noWrap w:val="0"/>
            <w:vAlign w:val="center"/>
          </w:tcPr>
          <w:p w14:paraId="46422F23">
            <w:pPr>
              <w:keepNext w:val="0"/>
              <w:keepLines w:val="0"/>
              <w:pageBreakBefore w:val="0"/>
              <w:widowControl/>
              <w:kinsoku/>
              <w:wordWrap/>
              <w:overflowPunct/>
              <w:topLinePunct w:val="0"/>
              <w:bidi w:val="0"/>
              <w:adjustRightInd/>
              <w:snapToGrid/>
              <w:spacing w:line="240" w:lineRule="auto"/>
              <w:jc w:val="center"/>
              <w:textAlignment w:val="auto"/>
              <w:rPr>
                <w:rFonts w:hint="default" w:ascii="Times New Roman" w:hAnsi="Times New Roman" w:eastAsia="宋体"/>
                <w:b w:val="0"/>
                <w:bCs/>
                <w:spacing w:val="7"/>
                <w:sz w:val="18"/>
                <w:szCs w:val="18"/>
                <w:lang w:val="en-US" w:eastAsia="zh-CN"/>
              </w:rPr>
            </w:pPr>
            <w:r>
              <w:rPr>
                <w:rFonts w:hint="eastAsia" w:ascii="Times New Roman" w:hAnsi="Times New Roman" w:eastAsia="宋体"/>
                <w:b w:val="0"/>
                <w:bCs/>
                <w:spacing w:val="7"/>
                <w:sz w:val="18"/>
                <w:szCs w:val="18"/>
                <w:lang w:val="en-US" w:eastAsia="zh-CN"/>
              </w:rPr>
              <w:t>实习报告（10分）</w:t>
            </w:r>
          </w:p>
        </w:tc>
        <w:tc>
          <w:tcPr>
            <w:tcW w:w="1134" w:type="dxa"/>
            <w:tcBorders>
              <w:top w:val="single" w:color="auto" w:sz="4" w:space="0"/>
            </w:tcBorders>
            <w:noWrap w:val="0"/>
            <w:vAlign w:val="center"/>
          </w:tcPr>
          <w:p w14:paraId="03561FD3">
            <w:pPr>
              <w:widowControl/>
              <w:spacing w:line="300" w:lineRule="exact"/>
              <w:jc w:val="center"/>
              <w:rPr>
                <w:rFonts w:hint="eastAsia"/>
                <w:b/>
                <w:bCs/>
                <w:spacing w:val="7"/>
                <w:sz w:val="18"/>
                <w:szCs w:val="18"/>
              </w:rPr>
            </w:pPr>
          </w:p>
        </w:tc>
      </w:tr>
      <w:tr w14:paraId="164C0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90" w:hRule="atLeast"/>
          <w:jc w:val="center"/>
        </w:trPr>
        <w:tc>
          <w:tcPr>
            <w:tcW w:w="3417" w:type="dxa"/>
            <w:noWrap w:val="0"/>
            <w:vAlign w:val="center"/>
          </w:tcPr>
          <w:p w14:paraId="545F21E9">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6"/>
                <w:sz w:val="18"/>
                <w:szCs w:val="18"/>
                <w:lang w:val="en-US" w:eastAsia="zh-CN"/>
              </w:rPr>
            </w:pPr>
            <w:r>
              <w:rPr>
                <w:rFonts w:hint="eastAsia" w:ascii="Times New Roman" w:hAnsi="Times New Roman" w:eastAsia="宋体"/>
                <w:b w:val="0"/>
                <w:bCs/>
                <w:spacing w:val="6"/>
                <w:sz w:val="18"/>
                <w:szCs w:val="18"/>
                <w:lang w:val="en-US" w:eastAsia="zh-CN"/>
              </w:rPr>
              <w:t>目标4：具备科学素养和发展观，理解机械电子工程师的职业性质和责任，并能在工程实践中自觉遵守诚实守信的职业道德和规范，履行责任。</w:t>
            </w:r>
          </w:p>
        </w:tc>
        <w:tc>
          <w:tcPr>
            <w:tcW w:w="3045" w:type="dxa"/>
            <w:noWrap w:val="0"/>
            <w:vAlign w:val="center"/>
          </w:tcPr>
          <w:p w14:paraId="7B51E49F">
            <w:pPr>
              <w:keepNext w:val="0"/>
              <w:keepLines w:val="0"/>
              <w:pageBreakBefore w:val="0"/>
              <w:kinsoku/>
              <w:wordWrap/>
              <w:overflowPunct/>
              <w:topLinePunct w:val="0"/>
              <w:bidi w:val="0"/>
              <w:adjustRightInd/>
              <w:snapToGrid/>
              <w:spacing w:line="240" w:lineRule="auto"/>
              <w:jc w:val="both"/>
              <w:textAlignment w:val="auto"/>
              <w:rPr>
                <w:rFonts w:ascii="Times New Roman" w:hAnsi="Times New Roman" w:eastAsia="宋体"/>
                <w:b w:val="0"/>
                <w:sz w:val="18"/>
                <w:szCs w:val="18"/>
              </w:rPr>
            </w:pPr>
            <w:r>
              <w:rPr>
                <w:rFonts w:hint="eastAsia" w:ascii="Times New Roman" w:hAnsi="Times New Roman" w:eastAsia="宋体"/>
                <w:b w:val="0"/>
                <w:bCs/>
                <w:sz w:val="18"/>
                <w:szCs w:val="21"/>
              </w:rPr>
              <w:t>8.2能够理解和自觉遵守机械工程师诚实、公正、守信的职业道德和规范，并履行机械工程师对公众的安全、健康、福祉及环境保护的社会责任。</w:t>
            </w:r>
          </w:p>
        </w:tc>
        <w:tc>
          <w:tcPr>
            <w:tcW w:w="1134" w:type="dxa"/>
            <w:noWrap w:val="0"/>
            <w:vAlign w:val="center"/>
          </w:tcPr>
          <w:p w14:paraId="5C9FFB67">
            <w:pPr>
              <w:keepNext w:val="0"/>
              <w:keepLines w:val="0"/>
              <w:pageBreakBefore w:val="0"/>
              <w:kinsoku/>
              <w:wordWrap/>
              <w:overflowPunct/>
              <w:topLinePunct w:val="0"/>
              <w:bidi w:val="0"/>
              <w:adjustRightInd/>
              <w:snapToGrid/>
              <w:spacing w:line="240" w:lineRule="auto"/>
              <w:jc w:val="center"/>
              <w:textAlignment w:val="auto"/>
              <w:rPr>
                <w:rFonts w:hint="eastAsia" w:ascii="Times New Roman" w:hAnsi="Times New Roman" w:eastAsia="宋体"/>
                <w:b w:val="0"/>
                <w:kern w:val="0"/>
                <w:sz w:val="18"/>
                <w:szCs w:val="18"/>
                <w:lang w:eastAsia="zh-CN"/>
              </w:rPr>
            </w:pPr>
            <w:r>
              <w:rPr>
                <w:rFonts w:ascii="Times New Roman" w:hAnsi="Times New Roman" w:eastAsia="宋体"/>
                <w:b w:val="0"/>
                <w:kern w:val="0"/>
                <w:sz w:val="18"/>
                <w:szCs w:val="18"/>
              </w:rPr>
              <w:t>实习</w:t>
            </w:r>
            <w:r>
              <w:rPr>
                <w:rFonts w:hint="eastAsia" w:ascii="Times New Roman" w:hAnsi="Times New Roman" w:eastAsia="宋体"/>
                <w:b w:val="0"/>
                <w:kern w:val="0"/>
                <w:sz w:val="18"/>
                <w:szCs w:val="18"/>
                <w:lang w:val="en-US" w:eastAsia="zh-CN"/>
              </w:rPr>
              <w:t>答辩</w:t>
            </w:r>
          </w:p>
          <w:p w14:paraId="78503B08">
            <w:pPr>
              <w:keepNext w:val="0"/>
              <w:keepLines w:val="0"/>
              <w:pageBreakBefore w:val="0"/>
              <w:kinsoku/>
              <w:wordWrap/>
              <w:overflowPunct/>
              <w:topLinePunct w:val="0"/>
              <w:bidi w:val="0"/>
              <w:adjustRightInd/>
              <w:snapToGrid/>
              <w:spacing w:line="240" w:lineRule="auto"/>
              <w:jc w:val="center"/>
              <w:textAlignment w:val="auto"/>
              <w:rPr>
                <w:rFonts w:ascii="Times New Roman" w:hAnsi="Times New Roman" w:eastAsia="宋体"/>
                <w:b w:val="0"/>
                <w:sz w:val="18"/>
              </w:rPr>
            </w:pPr>
            <w:r>
              <w:rPr>
                <w:rFonts w:ascii="Times New Roman" w:hAnsi="Times New Roman" w:eastAsia="宋体"/>
                <w:b w:val="0"/>
                <w:kern w:val="0"/>
                <w:sz w:val="18"/>
                <w:szCs w:val="18"/>
              </w:rPr>
              <w:t>（</w:t>
            </w:r>
            <w:r>
              <w:rPr>
                <w:rFonts w:hint="eastAsia" w:ascii="Times New Roman" w:hAnsi="Times New Roman" w:eastAsia="宋体"/>
                <w:b w:val="0"/>
                <w:kern w:val="0"/>
                <w:sz w:val="18"/>
                <w:szCs w:val="18"/>
                <w:lang w:val="en-US" w:eastAsia="zh-CN"/>
              </w:rPr>
              <w:t>1</w:t>
            </w:r>
            <w:r>
              <w:rPr>
                <w:rFonts w:ascii="Times New Roman" w:hAnsi="Times New Roman" w:eastAsia="宋体"/>
                <w:b w:val="0"/>
                <w:kern w:val="0"/>
                <w:sz w:val="18"/>
                <w:szCs w:val="18"/>
              </w:rPr>
              <w:t>0分）</w:t>
            </w:r>
          </w:p>
        </w:tc>
        <w:tc>
          <w:tcPr>
            <w:tcW w:w="1134" w:type="dxa"/>
            <w:noWrap w:val="0"/>
            <w:vAlign w:val="center"/>
          </w:tcPr>
          <w:p w14:paraId="585A3474">
            <w:pPr>
              <w:adjustRightInd w:val="0"/>
              <w:snapToGrid w:val="0"/>
              <w:jc w:val="center"/>
              <w:rPr>
                <w:spacing w:val="7"/>
                <w:sz w:val="18"/>
                <w:szCs w:val="18"/>
              </w:rPr>
            </w:pPr>
          </w:p>
        </w:tc>
      </w:tr>
      <w:tr w14:paraId="5BE95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3" w:hRule="atLeast"/>
          <w:jc w:val="center"/>
        </w:trPr>
        <w:tc>
          <w:tcPr>
            <w:tcW w:w="3417" w:type="dxa"/>
            <w:vMerge w:val="restart"/>
            <w:noWrap w:val="0"/>
            <w:vAlign w:val="center"/>
          </w:tcPr>
          <w:p w14:paraId="0C6DBF7B">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6"/>
                <w:sz w:val="18"/>
                <w:szCs w:val="18"/>
                <w:lang w:val="en-US" w:eastAsia="zh-CN"/>
              </w:rPr>
            </w:pPr>
            <w:r>
              <w:rPr>
                <w:rFonts w:hint="eastAsia" w:ascii="Times New Roman" w:hAnsi="Times New Roman" w:eastAsia="宋体"/>
                <w:b w:val="0"/>
                <w:bCs/>
                <w:spacing w:val="6"/>
                <w:sz w:val="18"/>
                <w:szCs w:val="18"/>
                <w:lang w:val="en-US" w:eastAsia="zh-CN"/>
              </w:rPr>
              <w:t>目标5：能够通过口头和书面方式表达自己的观点和主张，能够撰写实习文件，并能够回应质疑，理解与业界同行和社会公众交流的差异性。</w:t>
            </w:r>
          </w:p>
        </w:tc>
        <w:tc>
          <w:tcPr>
            <w:tcW w:w="3045" w:type="dxa"/>
            <w:vMerge w:val="restart"/>
            <w:noWrap w:val="0"/>
            <w:vAlign w:val="center"/>
          </w:tcPr>
          <w:p w14:paraId="5980FA75">
            <w:pPr>
              <w:keepNext w:val="0"/>
              <w:keepLines w:val="0"/>
              <w:pageBreakBefore w:val="0"/>
              <w:kinsoku/>
              <w:wordWrap/>
              <w:overflowPunct/>
              <w:topLinePunct w:val="0"/>
              <w:bidi w:val="0"/>
              <w:adjustRightInd/>
              <w:snapToGrid/>
              <w:spacing w:line="240" w:lineRule="auto"/>
              <w:jc w:val="both"/>
              <w:textAlignment w:val="auto"/>
              <w:rPr>
                <w:rFonts w:ascii="Times New Roman" w:hAnsi="Times New Roman" w:eastAsia="宋体"/>
                <w:b w:val="0"/>
                <w:sz w:val="18"/>
                <w:szCs w:val="18"/>
              </w:rPr>
            </w:pPr>
            <w:r>
              <w:rPr>
                <w:rFonts w:hint="eastAsia" w:ascii="Times New Roman" w:hAnsi="Times New Roman" w:eastAsia="宋体"/>
                <w:b w:val="0"/>
                <w:bCs/>
                <w:sz w:val="18"/>
                <w:szCs w:val="21"/>
              </w:rPr>
              <w:t>10.1能够针对机械电子工程中的复杂工程问题与业界同行及社会公众进行有效沟通和交流，包括撰写报告和设计说明书、陈述发言等方式，准确表达自己的观点、回应质疑，理解与业界同行和社会公众交流的差异性。</w:t>
            </w:r>
          </w:p>
        </w:tc>
        <w:tc>
          <w:tcPr>
            <w:tcW w:w="1134" w:type="dxa"/>
            <w:noWrap w:val="0"/>
            <w:vAlign w:val="center"/>
          </w:tcPr>
          <w:p w14:paraId="35F2A8F0">
            <w:pPr>
              <w:keepNext w:val="0"/>
              <w:keepLines w:val="0"/>
              <w:pageBreakBefore w:val="0"/>
              <w:kinsoku/>
              <w:wordWrap/>
              <w:overflowPunct/>
              <w:topLinePunct w:val="0"/>
              <w:bidi w:val="0"/>
              <w:adjustRightInd/>
              <w:snapToGrid/>
              <w:spacing w:line="240" w:lineRule="auto"/>
              <w:jc w:val="center"/>
              <w:textAlignment w:val="auto"/>
              <w:rPr>
                <w:rFonts w:ascii="Times New Roman" w:hAnsi="Times New Roman" w:eastAsia="宋体"/>
                <w:b w:val="0"/>
                <w:spacing w:val="7"/>
                <w:sz w:val="18"/>
                <w:szCs w:val="18"/>
              </w:rPr>
            </w:pPr>
            <w:r>
              <w:rPr>
                <w:rFonts w:hint="eastAsia" w:ascii="Times New Roman" w:hAnsi="Times New Roman" w:eastAsia="宋体"/>
                <w:b w:val="0"/>
                <w:kern w:val="0"/>
                <w:sz w:val="18"/>
                <w:szCs w:val="18"/>
                <w:lang w:val="en-US" w:eastAsia="zh-CN"/>
              </w:rPr>
              <w:t>过程考核</w:t>
            </w:r>
            <w:r>
              <w:rPr>
                <w:rFonts w:ascii="Times New Roman" w:hAnsi="Times New Roman" w:eastAsia="宋体"/>
                <w:b w:val="0"/>
                <w:kern w:val="0"/>
                <w:sz w:val="18"/>
                <w:szCs w:val="18"/>
              </w:rPr>
              <w:t>（10分）</w:t>
            </w:r>
          </w:p>
        </w:tc>
        <w:tc>
          <w:tcPr>
            <w:tcW w:w="1134" w:type="dxa"/>
            <w:noWrap w:val="0"/>
            <w:vAlign w:val="center"/>
          </w:tcPr>
          <w:p w14:paraId="3F267D9C">
            <w:pPr>
              <w:adjustRightInd w:val="0"/>
              <w:snapToGrid w:val="0"/>
              <w:jc w:val="center"/>
              <w:rPr>
                <w:spacing w:val="7"/>
                <w:sz w:val="18"/>
                <w:szCs w:val="18"/>
              </w:rPr>
            </w:pPr>
          </w:p>
        </w:tc>
      </w:tr>
      <w:tr w14:paraId="1D43E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5" w:hRule="atLeast"/>
          <w:jc w:val="center"/>
        </w:trPr>
        <w:tc>
          <w:tcPr>
            <w:tcW w:w="3417" w:type="dxa"/>
            <w:vMerge w:val="continue"/>
            <w:noWrap w:val="0"/>
            <w:vAlign w:val="center"/>
          </w:tcPr>
          <w:p w14:paraId="0D034AA8">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6"/>
                <w:sz w:val="18"/>
                <w:szCs w:val="18"/>
                <w:lang w:val="en-US" w:eastAsia="zh-CN"/>
              </w:rPr>
            </w:pPr>
          </w:p>
        </w:tc>
        <w:tc>
          <w:tcPr>
            <w:tcW w:w="3045" w:type="dxa"/>
            <w:vMerge w:val="continue"/>
            <w:noWrap w:val="0"/>
            <w:vAlign w:val="center"/>
          </w:tcPr>
          <w:p w14:paraId="39CBC66D">
            <w:pPr>
              <w:keepNext w:val="0"/>
              <w:keepLines w:val="0"/>
              <w:pageBreakBefore w:val="0"/>
              <w:kinsoku/>
              <w:wordWrap/>
              <w:overflowPunct/>
              <w:topLinePunct w:val="0"/>
              <w:bidi w:val="0"/>
              <w:adjustRightInd/>
              <w:snapToGrid/>
              <w:spacing w:line="240" w:lineRule="auto"/>
              <w:jc w:val="both"/>
              <w:textAlignment w:val="auto"/>
              <w:rPr>
                <w:rFonts w:ascii="Times New Roman" w:hAnsi="Times New Roman" w:eastAsia="宋体"/>
                <w:b w:val="0"/>
                <w:sz w:val="18"/>
                <w:szCs w:val="18"/>
              </w:rPr>
            </w:pPr>
          </w:p>
        </w:tc>
        <w:tc>
          <w:tcPr>
            <w:tcW w:w="1134" w:type="dxa"/>
            <w:noWrap w:val="0"/>
            <w:vAlign w:val="center"/>
          </w:tcPr>
          <w:p w14:paraId="4CA309A7">
            <w:pPr>
              <w:keepNext w:val="0"/>
              <w:keepLines w:val="0"/>
              <w:pageBreakBefore w:val="0"/>
              <w:kinsoku/>
              <w:wordWrap/>
              <w:overflowPunct/>
              <w:topLinePunct w:val="0"/>
              <w:bidi w:val="0"/>
              <w:adjustRightInd/>
              <w:snapToGrid/>
              <w:spacing w:line="240" w:lineRule="auto"/>
              <w:jc w:val="center"/>
              <w:textAlignment w:val="auto"/>
              <w:rPr>
                <w:rFonts w:hint="eastAsia" w:ascii="Times New Roman" w:hAnsi="Times New Roman" w:eastAsia="宋体"/>
                <w:b w:val="0"/>
                <w:sz w:val="18"/>
                <w:szCs w:val="18"/>
                <w:lang w:eastAsia="zh-CN"/>
              </w:rPr>
            </w:pPr>
            <w:r>
              <w:rPr>
                <w:rFonts w:ascii="Times New Roman" w:hAnsi="Times New Roman" w:eastAsia="宋体"/>
                <w:b w:val="0"/>
                <w:sz w:val="18"/>
                <w:szCs w:val="18"/>
              </w:rPr>
              <w:t>实习</w:t>
            </w:r>
            <w:r>
              <w:rPr>
                <w:rFonts w:hint="eastAsia" w:ascii="Times New Roman" w:hAnsi="Times New Roman" w:eastAsia="宋体"/>
                <w:b w:val="0"/>
                <w:sz w:val="18"/>
                <w:szCs w:val="18"/>
                <w:lang w:val="en-US" w:eastAsia="zh-CN"/>
              </w:rPr>
              <w:t>答辩</w:t>
            </w:r>
          </w:p>
          <w:p w14:paraId="47A312E9">
            <w:pPr>
              <w:keepNext w:val="0"/>
              <w:keepLines w:val="0"/>
              <w:pageBreakBefore w:val="0"/>
              <w:kinsoku/>
              <w:wordWrap/>
              <w:overflowPunct/>
              <w:topLinePunct w:val="0"/>
              <w:bidi w:val="0"/>
              <w:adjustRightInd/>
              <w:snapToGrid/>
              <w:spacing w:line="240" w:lineRule="auto"/>
              <w:jc w:val="center"/>
              <w:textAlignment w:val="auto"/>
              <w:rPr>
                <w:rFonts w:ascii="Times New Roman" w:hAnsi="Times New Roman" w:eastAsia="宋体"/>
                <w:b w:val="0"/>
                <w:spacing w:val="7"/>
                <w:sz w:val="18"/>
                <w:szCs w:val="18"/>
              </w:rPr>
            </w:pPr>
            <w:r>
              <w:rPr>
                <w:rFonts w:ascii="Times New Roman" w:hAnsi="Times New Roman" w:eastAsia="宋体"/>
                <w:b w:val="0"/>
                <w:sz w:val="18"/>
                <w:szCs w:val="18"/>
              </w:rPr>
              <w:t>（</w:t>
            </w:r>
            <w:r>
              <w:rPr>
                <w:rFonts w:hint="eastAsia" w:ascii="Times New Roman" w:hAnsi="Times New Roman" w:eastAsia="宋体"/>
                <w:b w:val="0"/>
                <w:sz w:val="18"/>
                <w:szCs w:val="18"/>
                <w:lang w:val="en-US" w:eastAsia="zh-CN"/>
              </w:rPr>
              <w:t>1</w:t>
            </w:r>
            <w:r>
              <w:rPr>
                <w:rFonts w:hint="eastAsia" w:ascii="Times New Roman" w:hAnsi="Times New Roman" w:eastAsia="宋体"/>
                <w:b w:val="0"/>
                <w:sz w:val="18"/>
                <w:szCs w:val="18"/>
              </w:rPr>
              <w:t>0</w:t>
            </w:r>
            <w:r>
              <w:rPr>
                <w:rFonts w:ascii="Times New Roman" w:hAnsi="Times New Roman" w:eastAsia="宋体"/>
                <w:b w:val="0"/>
                <w:sz w:val="18"/>
                <w:szCs w:val="18"/>
              </w:rPr>
              <w:t>分）</w:t>
            </w:r>
          </w:p>
        </w:tc>
        <w:tc>
          <w:tcPr>
            <w:tcW w:w="1134" w:type="dxa"/>
            <w:noWrap w:val="0"/>
            <w:vAlign w:val="center"/>
          </w:tcPr>
          <w:p w14:paraId="53C1F92E">
            <w:pPr>
              <w:adjustRightInd w:val="0"/>
              <w:snapToGrid w:val="0"/>
              <w:jc w:val="center"/>
              <w:rPr>
                <w:spacing w:val="7"/>
                <w:sz w:val="18"/>
                <w:szCs w:val="18"/>
              </w:rPr>
            </w:pPr>
          </w:p>
        </w:tc>
      </w:tr>
      <w:tr w14:paraId="17109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61" w:hRule="atLeast"/>
          <w:jc w:val="center"/>
        </w:trPr>
        <w:tc>
          <w:tcPr>
            <w:tcW w:w="3417" w:type="dxa"/>
            <w:noWrap w:val="0"/>
            <w:vAlign w:val="center"/>
          </w:tcPr>
          <w:p w14:paraId="2A36D80B">
            <w:pPr>
              <w:keepNext w:val="0"/>
              <w:keepLines w:val="0"/>
              <w:pageBreakBefore w:val="0"/>
              <w:kinsoku/>
              <w:wordWrap/>
              <w:overflowPunct/>
              <w:topLinePunct w:val="0"/>
              <w:bidi w:val="0"/>
              <w:adjustRightInd/>
              <w:snapToGrid/>
              <w:spacing w:line="240" w:lineRule="auto"/>
              <w:jc w:val="both"/>
              <w:textAlignment w:val="auto"/>
              <w:rPr>
                <w:rFonts w:hint="eastAsia" w:ascii="Times New Roman" w:hAnsi="Times New Roman" w:eastAsia="宋体"/>
                <w:b w:val="0"/>
                <w:bCs/>
                <w:spacing w:val="6"/>
                <w:sz w:val="18"/>
                <w:szCs w:val="18"/>
                <w:lang w:val="en-US" w:eastAsia="zh-CN"/>
              </w:rPr>
            </w:pPr>
            <w:r>
              <w:rPr>
                <w:rFonts w:hint="eastAsia" w:ascii="Times New Roman" w:hAnsi="Times New Roman" w:eastAsia="宋体"/>
                <w:b w:val="0"/>
                <w:bCs/>
                <w:spacing w:val="6"/>
                <w:sz w:val="18"/>
                <w:szCs w:val="18"/>
                <w:lang w:val="en-US" w:eastAsia="zh-CN"/>
              </w:rPr>
              <w:t>目标6：了解机械电子产品全生命周期的成本构成，理解其中涉及的工程管理基本原理与经济决策方法。</w:t>
            </w:r>
          </w:p>
        </w:tc>
        <w:tc>
          <w:tcPr>
            <w:tcW w:w="3045" w:type="dxa"/>
            <w:noWrap w:val="0"/>
            <w:vAlign w:val="center"/>
          </w:tcPr>
          <w:p w14:paraId="412705FF">
            <w:pPr>
              <w:keepNext w:val="0"/>
              <w:keepLines w:val="0"/>
              <w:pageBreakBefore w:val="0"/>
              <w:kinsoku/>
              <w:wordWrap/>
              <w:overflowPunct/>
              <w:topLinePunct w:val="0"/>
              <w:bidi w:val="0"/>
              <w:adjustRightInd/>
              <w:snapToGrid/>
              <w:spacing w:line="240" w:lineRule="auto"/>
              <w:jc w:val="both"/>
              <w:textAlignment w:val="auto"/>
              <w:rPr>
                <w:rFonts w:ascii="Times New Roman" w:hAnsi="Times New Roman" w:eastAsia="宋体"/>
                <w:b w:val="0"/>
                <w:sz w:val="18"/>
                <w:szCs w:val="18"/>
              </w:rPr>
            </w:pPr>
            <w:r>
              <w:rPr>
                <w:rFonts w:hint="eastAsia" w:ascii="Times New Roman" w:hAnsi="Times New Roman" w:eastAsia="宋体"/>
                <w:b w:val="0"/>
                <w:bCs/>
                <w:sz w:val="18"/>
                <w:szCs w:val="21"/>
              </w:rPr>
              <w:t>11.2在机械、电气、信息等多学科环境中，在设计开发解决方案的过程中，运用工程管理与经济决策方法。</w:t>
            </w:r>
          </w:p>
        </w:tc>
        <w:tc>
          <w:tcPr>
            <w:tcW w:w="1134" w:type="dxa"/>
            <w:noWrap w:val="0"/>
            <w:vAlign w:val="center"/>
          </w:tcPr>
          <w:p w14:paraId="74753E97">
            <w:pPr>
              <w:keepNext w:val="0"/>
              <w:keepLines w:val="0"/>
              <w:pageBreakBefore w:val="0"/>
              <w:kinsoku/>
              <w:wordWrap/>
              <w:overflowPunct/>
              <w:topLinePunct w:val="0"/>
              <w:bidi w:val="0"/>
              <w:adjustRightInd/>
              <w:snapToGrid/>
              <w:spacing w:line="240" w:lineRule="auto"/>
              <w:jc w:val="center"/>
              <w:textAlignment w:val="auto"/>
              <w:rPr>
                <w:rFonts w:ascii="Times New Roman" w:hAnsi="Times New Roman" w:eastAsia="宋体"/>
                <w:b w:val="0"/>
                <w:sz w:val="18"/>
                <w:szCs w:val="18"/>
              </w:rPr>
            </w:pPr>
            <w:r>
              <w:rPr>
                <w:rFonts w:ascii="Times New Roman" w:hAnsi="Times New Roman" w:eastAsia="宋体"/>
                <w:b w:val="0"/>
                <w:sz w:val="18"/>
                <w:szCs w:val="18"/>
              </w:rPr>
              <w:t>实习报告</w:t>
            </w:r>
          </w:p>
          <w:p w14:paraId="4A5C2987">
            <w:pPr>
              <w:keepNext w:val="0"/>
              <w:keepLines w:val="0"/>
              <w:pageBreakBefore w:val="0"/>
              <w:kinsoku/>
              <w:wordWrap/>
              <w:overflowPunct/>
              <w:topLinePunct w:val="0"/>
              <w:autoSpaceDE w:val="0"/>
              <w:autoSpaceDN w:val="0"/>
              <w:bidi w:val="0"/>
              <w:adjustRightInd/>
              <w:snapToGrid/>
              <w:spacing w:line="240" w:lineRule="auto"/>
              <w:jc w:val="center"/>
              <w:textAlignment w:val="auto"/>
              <w:rPr>
                <w:rFonts w:hint="eastAsia" w:ascii="Times New Roman" w:hAnsi="Times New Roman" w:eastAsia="宋体"/>
                <w:b w:val="0"/>
                <w:kern w:val="0"/>
                <w:sz w:val="18"/>
                <w:szCs w:val="18"/>
              </w:rPr>
            </w:pPr>
            <w:r>
              <w:rPr>
                <w:rFonts w:ascii="Times New Roman" w:hAnsi="Times New Roman" w:eastAsia="宋体"/>
                <w:b w:val="0"/>
                <w:sz w:val="18"/>
                <w:szCs w:val="18"/>
              </w:rPr>
              <w:t>（</w:t>
            </w:r>
            <w:r>
              <w:rPr>
                <w:rFonts w:hint="eastAsia" w:ascii="Times New Roman" w:hAnsi="Times New Roman" w:eastAsia="宋体"/>
                <w:b w:val="0"/>
                <w:sz w:val="18"/>
                <w:szCs w:val="18"/>
              </w:rPr>
              <w:t>10</w:t>
            </w:r>
            <w:r>
              <w:rPr>
                <w:rFonts w:ascii="Times New Roman" w:hAnsi="Times New Roman" w:eastAsia="宋体"/>
                <w:b w:val="0"/>
                <w:sz w:val="18"/>
                <w:szCs w:val="18"/>
              </w:rPr>
              <w:t>分）</w:t>
            </w:r>
          </w:p>
        </w:tc>
        <w:tc>
          <w:tcPr>
            <w:tcW w:w="1134" w:type="dxa"/>
            <w:noWrap w:val="0"/>
            <w:vAlign w:val="center"/>
          </w:tcPr>
          <w:p w14:paraId="389CC3B3">
            <w:pPr>
              <w:autoSpaceDE w:val="0"/>
              <w:autoSpaceDN w:val="0"/>
              <w:adjustRightInd w:val="0"/>
              <w:snapToGrid w:val="0"/>
              <w:jc w:val="center"/>
              <w:rPr>
                <w:sz w:val="18"/>
                <w:szCs w:val="18"/>
              </w:rPr>
            </w:pPr>
          </w:p>
        </w:tc>
      </w:tr>
      <w:tr w14:paraId="0FC54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5" w:hRule="atLeast"/>
          <w:jc w:val="center"/>
        </w:trPr>
        <w:tc>
          <w:tcPr>
            <w:tcW w:w="6462" w:type="dxa"/>
            <w:gridSpan w:val="2"/>
            <w:noWrap w:val="0"/>
            <w:vAlign w:val="center"/>
          </w:tcPr>
          <w:p w14:paraId="357E17FA">
            <w:pPr>
              <w:keepNext w:val="0"/>
              <w:keepLines w:val="0"/>
              <w:pageBreakBefore w:val="0"/>
              <w:kinsoku/>
              <w:wordWrap/>
              <w:overflowPunct/>
              <w:topLinePunct w:val="0"/>
              <w:bidi w:val="0"/>
              <w:adjustRightInd/>
              <w:snapToGrid/>
              <w:spacing w:line="240" w:lineRule="auto"/>
              <w:jc w:val="center"/>
              <w:textAlignment w:val="auto"/>
              <w:rPr>
                <w:rFonts w:hint="eastAsia" w:ascii="Times New Roman" w:hAnsi="Times New Roman" w:eastAsia="宋体"/>
                <w:b/>
                <w:bCs w:val="0"/>
                <w:sz w:val="18"/>
                <w:szCs w:val="18"/>
              </w:rPr>
            </w:pPr>
            <w:r>
              <w:rPr>
                <w:rFonts w:hint="eastAsia" w:ascii="Times New Roman" w:hAnsi="Times New Roman" w:eastAsia="宋体"/>
                <w:b/>
                <w:bCs w:val="0"/>
                <w:sz w:val="18"/>
                <w:szCs w:val="18"/>
              </w:rPr>
              <w:t>总分</w:t>
            </w:r>
          </w:p>
        </w:tc>
        <w:tc>
          <w:tcPr>
            <w:tcW w:w="1134" w:type="dxa"/>
            <w:noWrap w:val="0"/>
            <w:vAlign w:val="center"/>
          </w:tcPr>
          <w:p w14:paraId="00CC6255">
            <w:pPr>
              <w:keepNext w:val="0"/>
              <w:keepLines w:val="0"/>
              <w:pageBreakBefore w:val="0"/>
              <w:kinsoku/>
              <w:wordWrap/>
              <w:overflowPunct/>
              <w:topLinePunct w:val="0"/>
              <w:bidi w:val="0"/>
              <w:adjustRightInd/>
              <w:snapToGrid/>
              <w:spacing w:line="240" w:lineRule="auto"/>
              <w:jc w:val="center"/>
              <w:textAlignment w:val="auto"/>
              <w:rPr>
                <w:rFonts w:ascii="Times New Roman" w:hAnsi="Times New Roman" w:eastAsia="宋体"/>
                <w:b/>
                <w:bCs w:val="0"/>
                <w:kern w:val="0"/>
                <w:sz w:val="18"/>
                <w:szCs w:val="18"/>
              </w:rPr>
            </w:pPr>
            <w:r>
              <w:rPr>
                <w:rFonts w:hint="eastAsia" w:ascii="Times New Roman" w:hAnsi="Times New Roman" w:eastAsia="宋体"/>
                <w:b/>
                <w:bCs w:val="0"/>
                <w:kern w:val="0"/>
                <w:sz w:val="18"/>
                <w:szCs w:val="18"/>
              </w:rPr>
              <w:t>（1</w:t>
            </w:r>
            <w:r>
              <w:rPr>
                <w:rFonts w:ascii="Times New Roman" w:hAnsi="Times New Roman" w:eastAsia="宋体"/>
                <w:b/>
                <w:bCs w:val="0"/>
                <w:kern w:val="0"/>
                <w:sz w:val="18"/>
                <w:szCs w:val="18"/>
              </w:rPr>
              <w:t>00</w:t>
            </w:r>
            <w:r>
              <w:rPr>
                <w:rFonts w:hint="eastAsia" w:ascii="Times New Roman" w:hAnsi="Times New Roman" w:eastAsia="宋体"/>
                <w:b/>
                <w:bCs w:val="0"/>
                <w:kern w:val="0"/>
                <w:sz w:val="18"/>
                <w:szCs w:val="18"/>
              </w:rPr>
              <w:t>分）</w:t>
            </w:r>
          </w:p>
        </w:tc>
        <w:tc>
          <w:tcPr>
            <w:tcW w:w="1134" w:type="dxa"/>
            <w:noWrap w:val="0"/>
            <w:vAlign w:val="center"/>
          </w:tcPr>
          <w:p w14:paraId="77381FA2">
            <w:pPr>
              <w:autoSpaceDE w:val="0"/>
              <w:autoSpaceDN w:val="0"/>
              <w:adjustRightInd w:val="0"/>
              <w:snapToGrid w:val="0"/>
              <w:jc w:val="center"/>
              <w:rPr>
                <w:b/>
                <w:bCs/>
                <w:sz w:val="18"/>
                <w:szCs w:val="18"/>
              </w:rPr>
            </w:pPr>
          </w:p>
        </w:tc>
      </w:tr>
    </w:tbl>
    <w:p w14:paraId="0E225C18">
      <w:pPr>
        <w:spacing w:line="400" w:lineRule="exact"/>
        <w:ind w:firstLine="420"/>
        <w:rPr>
          <w:rFonts w:hint="eastAsia" w:ascii="宋体" w:hAnsi="宋体"/>
          <w:b/>
          <w:sz w:val="24"/>
        </w:rPr>
      </w:pPr>
    </w:p>
    <w:p w14:paraId="796E4A65">
      <w:pPr>
        <w:spacing w:line="400" w:lineRule="exact"/>
        <w:ind w:firstLine="420"/>
        <w:rPr>
          <w:rFonts w:hint="eastAsia" w:ascii="宋体" w:hAnsi="宋体"/>
          <w:sz w:val="24"/>
        </w:rPr>
      </w:pPr>
      <w:r>
        <w:rPr>
          <w:rFonts w:hint="eastAsia" w:ascii="宋体" w:hAnsi="宋体"/>
          <w:b/>
          <w:sz w:val="24"/>
        </w:rPr>
        <w:t>综合评定成绩：</w:t>
      </w:r>
      <w:r>
        <w:rPr>
          <w:rFonts w:hint="eastAsia" w:ascii="宋体" w:hAnsi="宋体"/>
          <w:b/>
          <w:sz w:val="24"/>
          <w:u w:val="single"/>
        </w:rPr>
        <w:t xml:space="preserve">            </w:t>
      </w:r>
    </w:p>
    <w:p w14:paraId="4ABADCBA">
      <w:pPr>
        <w:spacing w:line="400" w:lineRule="exact"/>
        <w:ind w:firstLine="5060" w:firstLineChars="2100"/>
        <w:rPr>
          <w:rFonts w:hint="eastAsia" w:ascii="宋体" w:hAnsi="宋体"/>
          <w:b/>
          <w:sz w:val="24"/>
          <w:u w:val="single"/>
        </w:rPr>
      </w:pPr>
      <w:r>
        <w:rPr>
          <w:rFonts w:hint="eastAsia" w:ascii="宋体" w:hAnsi="宋体"/>
          <w:b/>
          <w:sz w:val="24"/>
        </w:rPr>
        <w:t>指导教师</w:t>
      </w:r>
      <w:r>
        <w:rPr>
          <w:rFonts w:hint="eastAsia" w:ascii="宋体" w:hAnsi="宋体"/>
          <w:b/>
          <w:sz w:val="24"/>
          <w:u w:val="single"/>
        </w:rPr>
        <w:t>　　　　　　　</w:t>
      </w:r>
    </w:p>
    <w:p w14:paraId="6B098C2B">
      <w:pPr>
        <w:spacing w:line="240" w:lineRule="exact"/>
        <w:ind w:left="960" w:leftChars="457" w:firstLine="2882" w:firstLineChars="1196"/>
        <w:rPr>
          <w:rFonts w:hint="eastAsia" w:ascii="宋体" w:hAnsi="宋体"/>
          <w:b/>
          <w:sz w:val="24"/>
          <w:u w:val="single"/>
        </w:rPr>
      </w:pPr>
      <w:bookmarkStart w:id="0" w:name="_GoBack"/>
      <w:bookmarkEnd w:id="0"/>
    </w:p>
    <w:p w14:paraId="5AF2C686">
      <w:pPr>
        <w:ind w:firstLine="5060" w:firstLineChars="2100"/>
        <w:jc w:val="left"/>
      </w:pPr>
      <w:r>
        <w:rPr>
          <w:rFonts w:hint="eastAsia" w:ascii="宋体" w:hAnsi="宋体"/>
          <w:b/>
          <w:sz w:val="24"/>
        </w:rPr>
        <w:t>日　　期</w:t>
      </w:r>
      <w:r>
        <w:rPr>
          <w:rFonts w:hint="eastAsia" w:ascii="宋体" w:hAnsi="宋体"/>
          <w:b/>
          <w:sz w:val="24"/>
          <w:u w:val="single"/>
        </w:rPr>
        <w:t>　　　　　　　</w:t>
      </w:r>
    </w:p>
    <w:sectPr>
      <w:pgSz w:w="11906" w:h="16838"/>
      <w:pgMar w:top="1440" w:right="1463" w:bottom="1440" w:left="151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B1647"/>
    <w:multiLevelType w:val="singleLevel"/>
    <w:tmpl w:val="805B1647"/>
    <w:lvl w:ilvl="0" w:tentative="0">
      <w:start w:val="1"/>
      <w:numFmt w:val="chineseCounting"/>
      <w:suff w:val="nothing"/>
      <w:lvlText w:val="%1、"/>
      <w:lvlJc w:val="left"/>
      <w:rPr>
        <w:rFonts w:hint="eastAsia"/>
      </w:rPr>
    </w:lvl>
  </w:abstractNum>
  <w:abstractNum w:abstractNumId="1">
    <w:nsid w:val="3BE4F12F"/>
    <w:multiLevelType w:val="singleLevel"/>
    <w:tmpl w:val="3BE4F12F"/>
    <w:lvl w:ilvl="0" w:tentative="0">
      <w:start w:val="1"/>
      <w:numFmt w:val="chineseCounting"/>
      <w:suff w:val="nothing"/>
      <w:lvlText w:val="%1、"/>
      <w:lvlJc w:val="left"/>
      <w:rPr>
        <w:rFonts w:hint="eastAsia"/>
      </w:rPr>
    </w:lvl>
  </w:abstractNum>
  <w:abstractNum w:abstractNumId="2">
    <w:nsid w:val="3F4E07F8"/>
    <w:multiLevelType w:val="singleLevel"/>
    <w:tmpl w:val="3F4E07F8"/>
    <w:lvl w:ilvl="0" w:tentative="0">
      <w:start w:val="1"/>
      <w:numFmt w:val="chineseCounting"/>
      <w:suff w:val="nothing"/>
      <w:lvlText w:val="第%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CB46C1"/>
    <w:rsid w:val="08086534"/>
    <w:rsid w:val="16F37AE0"/>
    <w:rsid w:val="1CE5773D"/>
    <w:rsid w:val="37216B96"/>
    <w:rsid w:val="56CB46C1"/>
    <w:rsid w:val="62F5219E"/>
    <w:rsid w:val="7B025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hint="eastAsia" w:ascii="宋体" w:hAnsi="Courier New"/>
      <w:szCs w:val="21"/>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6224</Words>
  <Characters>6539</Characters>
  <Lines>0</Lines>
  <Paragraphs>0</Paragraphs>
  <TotalTime>1</TotalTime>
  <ScaleCrop>false</ScaleCrop>
  <LinksUpToDate>false</LinksUpToDate>
  <CharactersWithSpaces>6728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2025-10-31T05:54:00Z</dcterms:created>
  <dc:creator>白の 白</dc:creator>
  <cp:lastModifiedBy>WPS_1665895162</cp:lastModifiedBy>
  <dcterms:modified xsi:type="dcterms:W3CDTF">2026-07-05T03:27:14Z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34B53454DCBA4223AC3E0EF69181AE4F_13</vt:lpwstr>
  </property>
  <property fmtid="{D5CDD505-2E9C-101B-9397-08002B2CF9AE}" pid="4" name="KSOTemplateDocerSaveRecord">
    <vt:lpwstr>eyJoZGlkIjoiYjE5ODkyNDkyOGExMjhhNzMxMzQzN2IxOWJkY2Y2YTAiLCJ1c2VySWQiOiIxNDI4MjM0MTQ2In0=</vt:lpwstr>
  </property>
</Properties>
</file>