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AD417" w14:textId="54C0FAF6" w:rsidR="00AE2FDD" w:rsidRPr="00997D98" w:rsidRDefault="00AE2FDD" w:rsidP="00997D98">
      <w:pPr>
        <w:jc w:val="center"/>
        <w:rPr>
          <w:b/>
          <w:sz w:val="40"/>
        </w:rPr>
      </w:pPr>
      <w:r w:rsidRPr="00AE2FDD">
        <w:rPr>
          <w:b/>
          <w:sz w:val="40"/>
        </w:rPr>
        <w:t>Algorytmy numeryczne</w:t>
      </w:r>
      <w:r w:rsidR="00997D98">
        <w:rPr>
          <w:b/>
          <w:sz w:val="40"/>
        </w:rPr>
        <w:br/>
      </w:r>
      <w:r>
        <w:rPr>
          <w:b/>
          <w:sz w:val="40"/>
        </w:rPr>
        <w:t>Zadanie 1</w:t>
      </w:r>
    </w:p>
    <w:p w14:paraId="68D65014" w14:textId="6D443368" w:rsidR="00AE2FDD" w:rsidRDefault="00AE2FDD" w:rsidP="00AE2FDD">
      <w:pPr>
        <w:jc w:val="center"/>
        <w:rPr>
          <w:b/>
          <w:sz w:val="28"/>
        </w:rPr>
      </w:pPr>
      <w:r w:rsidRPr="00AE2FDD">
        <w:rPr>
          <w:b/>
          <w:sz w:val="28"/>
        </w:rPr>
        <w:t>Wojciech Rosiński</w:t>
      </w:r>
      <w:r>
        <w:rPr>
          <w:b/>
          <w:sz w:val="28"/>
        </w:rPr>
        <w:br/>
        <w:t>Nr indeksu: 240425</w:t>
      </w:r>
    </w:p>
    <w:p w14:paraId="2E746C41" w14:textId="44241C92" w:rsidR="00ED4B9A" w:rsidRPr="00997D98" w:rsidRDefault="00AE2FDD" w:rsidP="00ED4B9A">
      <w:pPr>
        <w:pStyle w:val="Nagwek1"/>
        <w:numPr>
          <w:ilvl w:val="0"/>
          <w:numId w:val="1"/>
        </w:numPr>
        <w:rPr>
          <w:b/>
          <w:color w:val="000000" w:themeColor="text1"/>
        </w:rPr>
      </w:pPr>
      <w:r w:rsidRPr="00997D98">
        <w:rPr>
          <w:b/>
          <w:color w:val="000000" w:themeColor="text1"/>
        </w:rPr>
        <w:t>Opis zadania</w:t>
      </w:r>
    </w:p>
    <w:p w14:paraId="23BD57FE" w14:textId="775E19D8" w:rsidR="0036699C" w:rsidRPr="00997D98" w:rsidRDefault="00AE2FDD" w:rsidP="00997D98">
      <w:pPr>
        <w:ind w:firstLine="360"/>
        <w:jc w:val="both"/>
      </w:pPr>
      <w:r>
        <w:t>Zadanie polegało na napisaniu programu wyliczającego wartości funkcji ln(1+x) z użyciem wzoru</w:t>
      </w:r>
      <w:r w:rsidR="00997D98">
        <w:t xml:space="preserve"> </w:t>
      </w:r>
      <w:r>
        <w:t>Taylora</w:t>
      </w:r>
      <w:r w:rsidR="000079D7">
        <w:t>, a dokładnie rozwinięci</w:t>
      </w:r>
      <w:r w:rsidR="00997D98">
        <w:t>a</w:t>
      </w:r>
      <w:r w:rsidR="000079D7">
        <w:t xml:space="preserve"> MacLaurina</w:t>
      </w:r>
      <w:r>
        <w:t>, który pre</w:t>
      </w:r>
      <w:r w:rsidR="0036699C">
        <w:t>zentuje się następująco:</w:t>
      </w:r>
      <w:r w:rsidR="00997D98">
        <w:br/>
      </w:r>
      <w:r w:rsidR="0036699C"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2693358" w14:textId="3C8EA787" w:rsidR="0036699C" w:rsidRDefault="00ED4B9A" w:rsidP="00ED4B9A">
      <w:pPr>
        <w:jc w:val="both"/>
        <w:rPr>
          <w:rFonts w:eastAsiaTheme="minorEastAsia"/>
        </w:rPr>
      </w:pPr>
      <w:r>
        <w:rPr>
          <w:rFonts w:eastAsiaTheme="minorEastAsia"/>
        </w:rPr>
        <w:t>Ponadto, głównym założeniem zadania był</w:t>
      </w:r>
      <w:r w:rsidR="0036699C">
        <w:rPr>
          <w:rFonts w:eastAsiaTheme="minorEastAsia"/>
        </w:rPr>
        <w:t xml:space="preserve"> podział </w:t>
      </w:r>
      <w:r>
        <w:rPr>
          <w:rFonts w:eastAsiaTheme="minorEastAsia"/>
        </w:rPr>
        <w:t>sposobu wyliczania wartości wyżej wymienionej funkcji</w:t>
      </w:r>
      <w:r w:rsidR="0036699C">
        <w:rPr>
          <w:rFonts w:eastAsiaTheme="minorEastAsia"/>
        </w:rPr>
        <w:t xml:space="preserve"> na </w:t>
      </w:r>
      <w:r>
        <w:rPr>
          <w:rFonts w:eastAsiaTheme="minorEastAsia"/>
        </w:rPr>
        <w:t>4 warianty i porównanie otrzymanych</w:t>
      </w:r>
      <w:r w:rsidR="000079D7">
        <w:rPr>
          <w:rFonts w:eastAsiaTheme="minorEastAsia"/>
        </w:rPr>
        <w:t xml:space="preserve"> z nich</w:t>
      </w:r>
      <w:r>
        <w:rPr>
          <w:rFonts w:eastAsiaTheme="minorEastAsia"/>
        </w:rPr>
        <w:t xml:space="preserve"> wyników z wbudowaną funkcją biblioteczną. Wspomniane sposoby otrzymania wyniku prezentują się następująco:</w:t>
      </w:r>
    </w:p>
    <w:p w14:paraId="6ADCE50B" w14:textId="76723A9B" w:rsidR="00ED4B9A" w:rsidRPr="00ED4B9A" w:rsidRDefault="00ED4B9A" w:rsidP="00ED4B9A">
      <w:pPr>
        <w:pStyle w:val="Akapitzlist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s</w:t>
      </w:r>
      <w:r w:rsidRPr="00ED4B9A">
        <w:rPr>
          <w:rFonts w:eastAsiaTheme="minorEastAsia"/>
        </w:rPr>
        <w:t>umując elementy szeregu potęgowego obliczane bezpośrednio ze wzoru Taylora w kolejności od początku,</w:t>
      </w:r>
    </w:p>
    <w:p w14:paraId="342A7A0A" w14:textId="703F3F18" w:rsidR="00ED4B9A" w:rsidRPr="00ED4B9A" w:rsidRDefault="00ED4B9A" w:rsidP="00ED4B9A">
      <w:pPr>
        <w:pStyle w:val="Akapitzlist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s</w:t>
      </w:r>
      <w:r w:rsidRPr="00ED4B9A">
        <w:rPr>
          <w:rFonts w:eastAsiaTheme="minorEastAsia"/>
        </w:rPr>
        <w:t>umując elementy szeregu potęgowego obliczane bezpośrednio ze wzoru Taylora w kolejności od końca,</w:t>
      </w:r>
    </w:p>
    <w:p w14:paraId="7E72F7CF" w14:textId="458A8E7B" w:rsidR="00ED4B9A" w:rsidRPr="00ED4B9A" w:rsidRDefault="00ED4B9A" w:rsidP="00ED4B9A">
      <w:pPr>
        <w:pStyle w:val="Akapitzlist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s</w:t>
      </w:r>
      <w:r w:rsidRPr="00ED4B9A">
        <w:rPr>
          <w:rFonts w:eastAsiaTheme="minorEastAsia"/>
        </w:rPr>
        <w:t>umując elementy szeregu potęgowego od początku, ale obliczając kolejny wyraz szeregu</w:t>
      </w:r>
      <w:r>
        <w:rPr>
          <w:rFonts w:eastAsiaTheme="minorEastAsia"/>
        </w:rPr>
        <w:br/>
      </w:r>
      <w:r w:rsidRPr="00ED4B9A">
        <w:rPr>
          <w:rFonts w:eastAsiaTheme="minorEastAsia"/>
        </w:rPr>
        <w:t>na podstawie poprzedniego,</w:t>
      </w:r>
    </w:p>
    <w:p w14:paraId="3961C118" w14:textId="6F88D7A0" w:rsidR="00ED4B9A" w:rsidRPr="00ED4B9A" w:rsidRDefault="00ED4B9A" w:rsidP="00ED4B9A">
      <w:pPr>
        <w:pStyle w:val="Akapitzlist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s</w:t>
      </w:r>
      <w:r w:rsidRPr="00ED4B9A">
        <w:rPr>
          <w:rFonts w:eastAsiaTheme="minorEastAsia"/>
        </w:rPr>
        <w:t>umując elementy szeregu potęgowego od końca, ale obliczając kolejny wyraz szeregu</w:t>
      </w:r>
      <w:r>
        <w:rPr>
          <w:rFonts w:eastAsiaTheme="minorEastAsia"/>
        </w:rPr>
        <w:br/>
      </w:r>
      <w:r w:rsidRPr="00ED4B9A">
        <w:rPr>
          <w:rFonts w:eastAsiaTheme="minorEastAsia"/>
        </w:rPr>
        <w:t>na podstawie poprzedniego.</w:t>
      </w:r>
    </w:p>
    <w:p w14:paraId="2C901C29" w14:textId="098A32B2" w:rsidR="000079D7" w:rsidRDefault="000079D7" w:rsidP="000079D7">
      <w:pPr>
        <w:jc w:val="both"/>
      </w:pPr>
      <w:r>
        <w:t xml:space="preserve">Do obliczenia kolejnego wyrazu szeregu na podstawie poprzedniego wykorzystano wzór </w:t>
      </w:r>
      <w:r w:rsidR="004D571A">
        <w:t xml:space="preserve">wyliczony </w:t>
      </w:r>
      <w:r w:rsidR="004D571A">
        <w:br/>
        <w:t>z</w:t>
      </w:r>
      <w:r>
        <w:t xml:space="preserve"> ilorazu dwóch, następujących po sobie elementów szeregu:</w:t>
      </w:r>
    </w:p>
    <w:p w14:paraId="2610DBF8" w14:textId="6D69DAB9" w:rsidR="0036699C" w:rsidRDefault="00AC220E" w:rsidP="00ED4B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*x*n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7F0E3CBC" w14:textId="3F535EA1" w:rsidR="003C1D94" w:rsidRPr="00997D98" w:rsidRDefault="000079D7" w:rsidP="00997D98">
      <w:pPr>
        <w:pStyle w:val="Nagwek1"/>
        <w:numPr>
          <w:ilvl w:val="0"/>
          <w:numId w:val="1"/>
        </w:numPr>
        <w:rPr>
          <w:b/>
          <w:color w:val="000000" w:themeColor="text1"/>
        </w:rPr>
      </w:pPr>
      <w:r w:rsidRPr="00997D98">
        <w:rPr>
          <w:b/>
          <w:color w:val="000000" w:themeColor="text1"/>
        </w:rPr>
        <w:t>Rozwiązanie zadania</w:t>
      </w:r>
    </w:p>
    <w:p w14:paraId="3A4FE4E8" w14:textId="4B92E3D8" w:rsidR="000F77A6" w:rsidRPr="000079D7" w:rsidRDefault="003C1D94" w:rsidP="000F77A6">
      <w:pPr>
        <w:ind w:firstLine="360"/>
        <w:jc w:val="both"/>
      </w:pPr>
      <w:r>
        <w:t xml:space="preserve">Funkcje liczące zostały zaimplementowane w języku Java w postaci metod klasy o nazwie „lnx”. Wszystkie metody realizują swe obliczenia na zmiennych typu double. Dodatkowo, zgodnie </w:t>
      </w:r>
      <w:r w:rsidR="00302D24">
        <w:br/>
      </w:r>
      <w:r>
        <w:t>ze wskazówką</w:t>
      </w:r>
      <w:r w:rsidR="00302D24">
        <w:t>,</w:t>
      </w:r>
      <w:r>
        <w:t xml:space="preserve"> do działania potęgowania wykor</w:t>
      </w:r>
      <w:r w:rsidR="00302D24">
        <w:t>zystano samodzielnie przygotowane rozwiązanie.</w:t>
      </w:r>
    </w:p>
    <w:p w14:paraId="2705ECEC" w14:textId="7C271410" w:rsidR="00646083" w:rsidRDefault="000F77A6" w:rsidP="00071A74">
      <w:pPr>
        <w:jc w:val="both"/>
        <w:rPr>
          <w:rFonts w:eastAsiaTheme="minorEastAsia"/>
        </w:rPr>
      </w:pPr>
      <w:r>
        <w:t xml:space="preserve">Program przyjmuje milion argumentów z przedziału </w:t>
      </w:r>
      <m:oMath>
        <m:r>
          <w:rPr>
            <w:rFonts w:ascii="Cambria Math" w:hAnsi="Cambria Math"/>
          </w:rPr>
          <m:t>(-1; 1&gt;</m:t>
        </m:r>
      </m:oMath>
      <w:r>
        <w:t xml:space="preserve"> ze względu na ograniczenie zmiennej </w:t>
      </w:r>
      <w:r w:rsidR="00071A74">
        <w:br/>
      </w:r>
      <w:r>
        <w:t xml:space="preserve">x postaci </w:t>
      </w:r>
      <m:oMath>
        <m:r>
          <w:rPr>
            <w:rFonts w:ascii="Cambria Math" w:hAnsi="Cambria Math"/>
          </w:rPr>
          <m:t>-1&lt;x≤1</m:t>
        </m:r>
      </m:oMath>
      <w:r w:rsidR="00071A74">
        <w:rPr>
          <w:rFonts w:eastAsiaTheme="minorEastAsia"/>
        </w:rPr>
        <w:t xml:space="preserve">. Szeroki zakres argumentów został podzielony na 20 przedziałów. W wyniku czego otrzymano 50 000 wartości pojedynczej funkcji </w:t>
      </w:r>
      <w:r w:rsidR="00C558B1">
        <w:rPr>
          <w:rFonts w:eastAsiaTheme="minorEastAsia"/>
        </w:rPr>
        <w:t>na każdy przedział</w:t>
      </w:r>
      <w:r w:rsidR="00071A74">
        <w:rPr>
          <w:rFonts w:eastAsiaTheme="minorEastAsia"/>
        </w:rPr>
        <w:t>.</w:t>
      </w:r>
      <w:r w:rsidR="002C1783">
        <w:rPr>
          <w:rFonts w:eastAsiaTheme="minorEastAsia"/>
        </w:rPr>
        <w:t xml:space="preserve"> Program wylicza różnicę pomiędzy </w:t>
      </w:r>
      <w:r w:rsidR="00BB7016">
        <w:rPr>
          <w:rFonts w:eastAsiaTheme="minorEastAsia"/>
        </w:rPr>
        <w:t>każdą z czterech funkcji a f</w:t>
      </w:r>
      <w:r w:rsidR="002C1783">
        <w:rPr>
          <w:rFonts w:eastAsiaTheme="minorEastAsia"/>
        </w:rPr>
        <w:t xml:space="preserve">unkcją biblioteczną. Różnice te są sumowane </w:t>
      </w:r>
      <w:r w:rsidR="00D705E5">
        <w:rPr>
          <w:rFonts w:eastAsiaTheme="minorEastAsia"/>
        </w:rPr>
        <w:t xml:space="preserve">grupami </w:t>
      </w:r>
      <w:r w:rsidR="002C1783">
        <w:rPr>
          <w:rFonts w:eastAsiaTheme="minorEastAsia"/>
        </w:rPr>
        <w:t xml:space="preserve">i na podstawie </w:t>
      </w:r>
      <w:r w:rsidR="00BB7016">
        <w:rPr>
          <w:rFonts w:eastAsiaTheme="minorEastAsia"/>
        </w:rPr>
        <w:t xml:space="preserve">takich sum </w:t>
      </w:r>
      <w:r w:rsidR="002C1783">
        <w:rPr>
          <w:rFonts w:eastAsiaTheme="minorEastAsia"/>
        </w:rPr>
        <w:t>liczony jest uśredniony błąd bezwzględny</w:t>
      </w:r>
      <w:r w:rsidR="00D705E5">
        <w:rPr>
          <w:rFonts w:eastAsiaTheme="minorEastAsia"/>
        </w:rPr>
        <w:t xml:space="preserve"> dla każdego przedziału.</w:t>
      </w:r>
    </w:p>
    <w:p w14:paraId="35E784D7" w14:textId="4F2F0037" w:rsidR="00DB449F" w:rsidRDefault="00571869" w:rsidP="00997D98">
      <w:pPr>
        <w:jc w:val="both"/>
        <w:rPr>
          <w:rFonts w:eastAsiaTheme="minorEastAsia"/>
        </w:rPr>
      </w:pPr>
      <w:r>
        <w:rPr>
          <w:rFonts w:eastAsiaTheme="minorEastAsia"/>
        </w:rPr>
        <w:t>Celem otrzymania wniosków</w:t>
      </w:r>
      <w:r w:rsidR="007467D3">
        <w:rPr>
          <w:rFonts w:eastAsiaTheme="minorEastAsia"/>
        </w:rPr>
        <w:t xml:space="preserve"> potrzebnych</w:t>
      </w:r>
      <w:r>
        <w:rPr>
          <w:rFonts w:eastAsiaTheme="minorEastAsia"/>
        </w:rPr>
        <w:t xml:space="preserve"> do rozwikłania</w:t>
      </w:r>
      <w:r w:rsidR="00BB7016">
        <w:rPr>
          <w:rFonts w:eastAsiaTheme="minorEastAsia"/>
        </w:rPr>
        <w:t xml:space="preserve"> hipotezy nr 3</w:t>
      </w:r>
      <w:r w:rsidR="004D571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BB7016">
        <w:rPr>
          <w:rFonts w:eastAsiaTheme="minorEastAsia"/>
        </w:rPr>
        <w:t xml:space="preserve">program porównuje pojedyncze błędy bezwzględne między funkcjami 1 i 3 oraz 2 i 4. </w:t>
      </w:r>
      <w:r w:rsidR="00646083">
        <w:rPr>
          <w:rFonts w:eastAsiaTheme="minorEastAsia"/>
        </w:rPr>
        <w:t xml:space="preserve">W przypadku </w:t>
      </w:r>
      <w:r w:rsidR="00BB7016">
        <w:rPr>
          <w:rFonts w:eastAsiaTheme="minorEastAsia"/>
        </w:rPr>
        <w:t>większego błędu</w:t>
      </w:r>
      <w:r w:rsidR="00646083">
        <w:rPr>
          <w:rFonts w:eastAsiaTheme="minorEastAsia"/>
        </w:rPr>
        <w:t xml:space="preserve"> dla funkcji nr 1 program uznaje licznik dokładniejszych obliczeń funkcji nr </w:t>
      </w:r>
      <w:r w:rsidR="002C1783">
        <w:rPr>
          <w:rFonts w:eastAsiaTheme="minorEastAsia"/>
        </w:rPr>
        <w:t>3</w:t>
      </w:r>
      <w:r w:rsidR="00997D98">
        <w:rPr>
          <w:rFonts w:eastAsiaTheme="minorEastAsia"/>
        </w:rPr>
        <w:t xml:space="preserve"> (a</w:t>
      </w:r>
      <w:r w:rsidR="00646083">
        <w:rPr>
          <w:rFonts w:eastAsiaTheme="minorEastAsia"/>
        </w:rPr>
        <w:t>nalogiczn</w:t>
      </w:r>
      <w:r w:rsidR="00FA76C9">
        <w:rPr>
          <w:rFonts w:eastAsiaTheme="minorEastAsia"/>
        </w:rPr>
        <w:t>a sytuacja</w:t>
      </w:r>
      <w:r w:rsidR="00646083">
        <w:rPr>
          <w:rFonts w:eastAsiaTheme="minorEastAsia"/>
        </w:rPr>
        <w:t xml:space="preserve"> jest z funkcjami </w:t>
      </w:r>
      <w:r w:rsidR="002C1783">
        <w:rPr>
          <w:rFonts w:eastAsiaTheme="minorEastAsia"/>
        </w:rPr>
        <w:t>2</w:t>
      </w:r>
      <w:r w:rsidR="00646083">
        <w:rPr>
          <w:rFonts w:eastAsiaTheme="minorEastAsia"/>
        </w:rPr>
        <w:t xml:space="preserve"> i 4</w:t>
      </w:r>
      <w:r w:rsidR="00997D98">
        <w:rPr>
          <w:rFonts w:eastAsiaTheme="minorEastAsia"/>
        </w:rPr>
        <w:t>)</w:t>
      </w:r>
      <w:r w:rsidR="00646083">
        <w:rPr>
          <w:rFonts w:eastAsiaTheme="minorEastAsia"/>
        </w:rPr>
        <w:t>.</w:t>
      </w:r>
    </w:p>
    <w:p w14:paraId="7F0DD5E0" w14:textId="38685A37" w:rsidR="00DB449F" w:rsidRDefault="001E4FBE" w:rsidP="00DB449F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2399995" wp14:editId="37121238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5760720" cy="2879725"/>
            <wp:effectExtent l="0" t="0" r="11430" b="15875"/>
            <wp:wrapNone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DB74ED2-AFCB-415B-984F-0AC1A95A5B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EC84EE7" w14:textId="2CDCAE8A" w:rsidR="00381613" w:rsidRDefault="00381613" w:rsidP="00DB449F"/>
    <w:p w14:paraId="62CB613B" w14:textId="2E4BD141" w:rsidR="00381613" w:rsidRDefault="000425A7">
      <w:r w:rsidRPr="000425A7">
        <w:rPr>
          <w:noProof/>
        </w:rPr>
        <w:drawing>
          <wp:anchor distT="0" distB="0" distL="114300" distR="114300" simplePos="0" relativeHeight="251667456" behindDoc="1" locked="0" layoutInCell="1" allowOverlap="1" wp14:anchorId="2F758E79" wp14:editId="03D1EBA0">
            <wp:simplePos x="0" y="0"/>
            <wp:positionH relativeFrom="margin">
              <wp:align>center</wp:align>
            </wp:positionH>
            <wp:positionV relativeFrom="paragraph">
              <wp:posOffset>6396355</wp:posOffset>
            </wp:positionV>
            <wp:extent cx="4838700" cy="581025"/>
            <wp:effectExtent l="0" t="0" r="0" b="9525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783">
        <w:rPr>
          <w:noProof/>
        </w:rPr>
        <w:drawing>
          <wp:anchor distT="0" distB="0" distL="114300" distR="114300" simplePos="0" relativeHeight="251666432" behindDoc="1" locked="0" layoutInCell="1" allowOverlap="1" wp14:anchorId="6AA29884" wp14:editId="4A08E6AD">
            <wp:simplePos x="0" y="0"/>
            <wp:positionH relativeFrom="margin">
              <wp:align>left</wp:align>
            </wp:positionH>
            <wp:positionV relativeFrom="paragraph">
              <wp:posOffset>2900680</wp:posOffset>
            </wp:positionV>
            <wp:extent cx="5760720" cy="2876550"/>
            <wp:effectExtent l="0" t="0" r="11430" b="0"/>
            <wp:wrapNone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C5059220-359A-4C5D-8780-0978A242C0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613">
        <w:br w:type="page"/>
      </w:r>
    </w:p>
    <w:p w14:paraId="47E78721" w14:textId="0BEB4175" w:rsidR="00DB449F" w:rsidRDefault="00BB7016" w:rsidP="00877625">
      <w:pPr>
        <w:jc w:val="both"/>
      </w:pPr>
      <w:r w:rsidRPr="00C9170C">
        <w:rPr>
          <w:b/>
        </w:rPr>
        <w:lastRenderedPageBreak/>
        <w:t>Hipoteza nr 1</w:t>
      </w:r>
      <w:r w:rsidRPr="00BB7016">
        <w:t xml:space="preserve"> -  Sumowanie od końca daje dokładniejsze wyniki niż sumowanie od początku, ponieważ zgodnie z </w:t>
      </w:r>
      <w:r>
        <w:t xml:space="preserve">wykresem nr 1 </w:t>
      </w:r>
      <w:r w:rsidR="00C9170C">
        <w:t xml:space="preserve">uśredniony </w:t>
      </w:r>
      <w:r>
        <w:t xml:space="preserve">błąd bezwzględny dla sumowania od tyłu jest </w:t>
      </w:r>
      <w:r w:rsidR="00C9170C">
        <w:t>mniejszy lub równy uśrednionemu błędowi bezwzględnemu sumowania od przodu</w:t>
      </w:r>
      <w:r w:rsidRPr="00BB7016">
        <w:t>. Zależność ta zachodzi dla obu sposobów wyliczania kolejnych elementów szeregu. Jest to potwierdzenie hipotezy.</w:t>
      </w:r>
    </w:p>
    <w:p w14:paraId="5E4FBB35" w14:textId="60222036" w:rsidR="00C9170C" w:rsidRDefault="00C9170C" w:rsidP="00877625">
      <w:pPr>
        <w:jc w:val="both"/>
      </w:pPr>
      <w:r w:rsidRPr="00C9170C">
        <w:rPr>
          <w:b/>
        </w:rPr>
        <w:t>Hipoteza nr 2</w:t>
      </w:r>
      <w:r>
        <w:t xml:space="preserve"> – Na wykresie nr 1 widać, że dla mniejszych argumentów uśredniony błąd bezwzględny jest również mniejszy. Przykładowo, dla przedziałów o numerach od 5 do 16, błąd jest zdecydowanie mniejszy niż dla przedziałów od 1 do 4 oraz od 17 do 20, gdzie znajdują się większe argumenty.</w:t>
      </w:r>
    </w:p>
    <w:p w14:paraId="183A90DC" w14:textId="405937BA" w:rsidR="00C9170C" w:rsidRPr="00C9170C" w:rsidRDefault="00C9170C" w:rsidP="00877625">
      <w:pPr>
        <w:jc w:val="both"/>
        <w:rPr>
          <w:b/>
        </w:rPr>
      </w:pPr>
      <w:r w:rsidRPr="00C9170C">
        <w:rPr>
          <w:b/>
        </w:rPr>
        <w:t xml:space="preserve">Hipoteza nr 3 </w:t>
      </w:r>
      <w:r w:rsidR="000425A7">
        <w:rPr>
          <w:b/>
        </w:rPr>
        <w:t>–</w:t>
      </w:r>
      <w:r w:rsidRPr="00C9170C">
        <w:rPr>
          <w:b/>
        </w:rPr>
        <w:t xml:space="preserve"> </w:t>
      </w:r>
      <w:r w:rsidR="000425A7">
        <w:t>Sumowanie elementów obliczanych na podstawie poprzedniego daje dokładniejsze wyniki niż obliczanych bezpośrednio ze wzoru. Potwierdza to tabela nr 1, która przedstawia ilość razy, w których dana funkcja była dokładniejsza, w przypadku gdy wystąpiła różnica w błędach bezwzględnych.</w:t>
      </w:r>
    </w:p>
    <w:p w14:paraId="09516ECC" w14:textId="77777777" w:rsidR="000425A7" w:rsidRDefault="000425A7" w:rsidP="00381613">
      <w:r w:rsidRPr="000425A7">
        <w:rPr>
          <w:b/>
        </w:rPr>
        <w:t>Pytanie: Jak zależy dokładność obliczeń (błąd) od liczby sumowanych składników?</w:t>
      </w:r>
    </w:p>
    <w:p w14:paraId="7A3FFB73" w14:textId="3CA2BBBC" w:rsidR="00381613" w:rsidRPr="00381613" w:rsidRDefault="000425A7" w:rsidP="00877625">
      <w:pPr>
        <w:jc w:val="both"/>
      </w:pPr>
      <w:r w:rsidRPr="000425A7">
        <w:t xml:space="preserve"> - </w:t>
      </w:r>
      <w:r w:rsidR="00877625">
        <w:t>Na to pytanie odpowiada wykres nr 2, który przedstawia uśredniony błąd b</w:t>
      </w:r>
      <w:r>
        <w:t>ez</w:t>
      </w:r>
      <w:r w:rsidRPr="000425A7">
        <w:t>względny</w:t>
      </w:r>
      <w:r w:rsidR="00877625">
        <w:t xml:space="preserve"> w zależności od ilości sumowanych składników. Widać, że im większa liczba takich składników, tym błąd jest mniejszy.</w:t>
      </w:r>
    </w:p>
    <w:sectPr w:rsidR="00381613" w:rsidRPr="00381613" w:rsidSect="00C558B1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9E0F3" w14:textId="77777777" w:rsidR="00AC220E" w:rsidRDefault="00AC220E" w:rsidP="00FA76C9">
      <w:pPr>
        <w:spacing w:after="0" w:line="240" w:lineRule="auto"/>
      </w:pPr>
      <w:r>
        <w:separator/>
      </w:r>
    </w:p>
  </w:endnote>
  <w:endnote w:type="continuationSeparator" w:id="0">
    <w:p w14:paraId="1AFAE7AD" w14:textId="77777777" w:rsidR="00AC220E" w:rsidRDefault="00AC220E" w:rsidP="00FA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4614"/>
      <w:docPartObj>
        <w:docPartGallery w:val="Page Numbers (Bottom of Page)"/>
        <w:docPartUnique/>
      </w:docPartObj>
    </w:sdtPr>
    <w:sdtEndPr/>
    <w:sdtContent>
      <w:p w14:paraId="5546282F" w14:textId="7DCAD412" w:rsidR="00C558B1" w:rsidRDefault="00C558B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C39BD" w14:textId="77777777" w:rsidR="00C558B1" w:rsidRDefault="00C558B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8C948" w14:textId="77777777" w:rsidR="00AC220E" w:rsidRDefault="00AC220E" w:rsidP="00FA76C9">
      <w:pPr>
        <w:spacing w:after="0" w:line="240" w:lineRule="auto"/>
      </w:pPr>
      <w:r>
        <w:separator/>
      </w:r>
    </w:p>
  </w:footnote>
  <w:footnote w:type="continuationSeparator" w:id="0">
    <w:p w14:paraId="46A5A47C" w14:textId="77777777" w:rsidR="00AC220E" w:rsidRDefault="00AC220E" w:rsidP="00FA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37347" w14:textId="0955BEE8" w:rsidR="00C558B1" w:rsidRDefault="00C558B1" w:rsidP="00C558B1">
    <w:pPr>
      <w:pStyle w:val="Nagwek"/>
      <w:jc w:val="right"/>
    </w:pPr>
    <w:r>
      <w:t xml:space="preserve"> </w:t>
    </w:r>
  </w:p>
  <w:p w14:paraId="5AF578A2" w14:textId="77777777" w:rsidR="00C558B1" w:rsidRDefault="00C558B1" w:rsidP="00C558B1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01A1B" w14:textId="64D66728" w:rsidR="00C558B1" w:rsidRDefault="00C558B1" w:rsidP="00C558B1">
    <w:pPr>
      <w:pStyle w:val="Nagwek"/>
      <w:jc w:val="right"/>
    </w:pPr>
    <w:r>
      <w:t>13.10.2019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3812"/>
    <w:multiLevelType w:val="hybridMultilevel"/>
    <w:tmpl w:val="7E0E51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3778"/>
    <w:multiLevelType w:val="multilevel"/>
    <w:tmpl w:val="C92E8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eastAsiaTheme="minorEastAsia" w:hint="default"/>
      </w:rPr>
    </w:lvl>
  </w:abstractNum>
  <w:abstractNum w:abstractNumId="2" w15:restartNumberingAfterBreak="0">
    <w:nsid w:val="3E3F3F4E"/>
    <w:multiLevelType w:val="hybridMultilevel"/>
    <w:tmpl w:val="C24C73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D3DBE"/>
    <w:multiLevelType w:val="hybridMultilevel"/>
    <w:tmpl w:val="EBA2405A"/>
    <w:lvl w:ilvl="0" w:tplc="5F84E404">
      <w:start w:val="2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D2212B"/>
    <w:multiLevelType w:val="hybridMultilevel"/>
    <w:tmpl w:val="5F90A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93"/>
    <w:rsid w:val="000079D7"/>
    <w:rsid w:val="000425A7"/>
    <w:rsid w:val="0006339B"/>
    <w:rsid w:val="00071A74"/>
    <w:rsid w:val="000B054B"/>
    <w:rsid w:val="000F77A6"/>
    <w:rsid w:val="00133AD8"/>
    <w:rsid w:val="00181816"/>
    <w:rsid w:val="001E4FBE"/>
    <w:rsid w:val="00261608"/>
    <w:rsid w:val="002C1783"/>
    <w:rsid w:val="00302D24"/>
    <w:rsid w:val="003176C3"/>
    <w:rsid w:val="0036699C"/>
    <w:rsid w:val="00381613"/>
    <w:rsid w:val="003C1D94"/>
    <w:rsid w:val="003C77A7"/>
    <w:rsid w:val="003E1B4F"/>
    <w:rsid w:val="00462601"/>
    <w:rsid w:val="004A4F45"/>
    <w:rsid w:val="004D571A"/>
    <w:rsid w:val="00541AD8"/>
    <w:rsid w:val="005610AA"/>
    <w:rsid w:val="00571869"/>
    <w:rsid w:val="00646083"/>
    <w:rsid w:val="00677EB4"/>
    <w:rsid w:val="007467D3"/>
    <w:rsid w:val="00877625"/>
    <w:rsid w:val="00906293"/>
    <w:rsid w:val="00944CEC"/>
    <w:rsid w:val="00997D98"/>
    <w:rsid w:val="009A7708"/>
    <w:rsid w:val="00AC220E"/>
    <w:rsid w:val="00AD64FB"/>
    <w:rsid w:val="00AE2FDD"/>
    <w:rsid w:val="00B91D01"/>
    <w:rsid w:val="00BB7016"/>
    <w:rsid w:val="00BC72ED"/>
    <w:rsid w:val="00BF791B"/>
    <w:rsid w:val="00C558B1"/>
    <w:rsid w:val="00C9170C"/>
    <w:rsid w:val="00D33D2A"/>
    <w:rsid w:val="00D705E5"/>
    <w:rsid w:val="00DB449F"/>
    <w:rsid w:val="00E06024"/>
    <w:rsid w:val="00E37403"/>
    <w:rsid w:val="00ED4B9A"/>
    <w:rsid w:val="00F4298A"/>
    <w:rsid w:val="00F951FA"/>
    <w:rsid w:val="00FA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2F18"/>
  <w15:chartTrackingRefBased/>
  <w15:docId w15:val="{3EF6939A-82DF-4EE3-BF08-0F86E320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2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B4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2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36699C"/>
    <w:rPr>
      <w:color w:val="808080"/>
    </w:rPr>
  </w:style>
  <w:style w:type="paragraph" w:styleId="Akapitzlist">
    <w:name w:val="List Paragraph"/>
    <w:basedOn w:val="Normalny"/>
    <w:uiPriority w:val="34"/>
    <w:qFormat/>
    <w:rsid w:val="0036699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A76C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A76C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A76C9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DB4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4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449F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997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97D98"/>
  </w:style>
  <w:style w:type="paragraph" w:styleId="Stopka">
    <w:name w:val="footer"/>
    <w:basedOn w:val="Normalny"/>
    <w:link w:val="StopkaZnak"/>
    <w:uiPriority w:val="99"/>
    <w:unhideWhenUsed/>
    <w:rsid w:val="00997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97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liki\Studia\Algorytmy%20alfanumeryczne\240425ALGNUMSPR1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liki\Studia\Algorytmy%20alfanumeryczne\240425ALGNUMSPR1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 b="1"/>
              <a:t>Wykres 1.</a:t>
            </a:r>
            <a:r>
              <a:rPr lang="pl-PL" sz="1200" b="1" baseline="0"/>
              <a:t> </a:t>
            </a:r>
            <a:r>
              <a:rPr lang="pl-PL" sz="1200" b="1"/>
              <a:t>Uśredniony błąd bezwzględny dla szeregu</a:t>
            </a:r>
            <a:r>
              <a:rPr lang="pl-PL" sz="1200" b="1" baseline="0"/>
              <a:t> MacLaurina</a:t>
            </a:r>
            <a:endParaRPr lang="pl-PL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Arkusz1!$D$2</c:f>
              <c:strCache>
                <c:ptCount val="1"/>
                <c:pt idx="0">
                  <c:v>Wzór - Przód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Arkusz1!$D$3:$D$22</c:f>
              <c:numCache>
                <c:formatCode>0.00E+00</c:formatCode>
                <c:ptCount val="20"/>
                <c:pt idx="0">
                  <c:v>0.14073569934518401</c:v>
                </c:pt>
                <c:pt idx="1">
                  <c:v>8.0958786558406802E-6</c:v>
                </c:pt>
                <c:pt idx="2">
                  <c:v>9.3222645027424191E-10</c:v>
                </c:pt>
                <c:pt idx="3">
                  <c:v>4.3222445622603799E-14</c:v>
                </c:pt>
                <c:pt idx="4">
                  <c:v>1.9432455644618999E-16</c:v>
                </c:pt>
                <c:pt idx="5">
                  <c:v>1.7618351222381501E-16</c:v>
                </c:pt>
                <c:pt idx="6">
                  <c:v>9.3053342808957404E-17</c:v>
                </c:pt>
                <c:pt idx="7">
                  <c:v>7.0621286596406195E-17</c:v>
                </c:pt>
                <c:pt idx="8">
                  <c:v>4.5220771571763397E-17</c:v>
                </c:pt>
                <c:pt idx="9">
                  <c:v>3.2249755242937901E-17</c:v>
                </c:pt>
                <c:pt idx="10">
                  <c:v>5.3272135602471801E-17</c:v>
                </c:pt>
                <c:pt idx="11">
                  <c:v>5.2013948703688501E-17</c:v>
                </c:pt>
                <c:pt idx="12">
                  <c:v>5.7423510391174603E-17</c:v>
                </c:pt>
                <c:pt idx="13">
                  <c:v>8.2749362917411406E-17</c:v>
                </c:pt>
                <c:pt idx="14">
                  <c:v>9.2443830368438206E-17</c:v>
                </c:pt>
                <c:pt idx="15">
                  <c:v>1.06615827277778E-16</c:v>
                </c:pt>
                <c:pt idx="16">
                  <c:v>8.2209727914062095E-15</c:v>
                </c:pt>
                <c:pt idx="17">
                  <c:v>1.1587149068459301E-10</c:v>
                </c:pt>
                <c:pt idx="18">
                  <c:v>5.2937713220475096E-7</c:v>
                </c:pt>
                <c:pt idx="19">
                  <c:v>9.913097774300059E-4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58-4D6D-883D-C9985844F63D}"/>
            </c:ext>
          </c:extLst>
        </c:ser>
        <c:ser>
          <c:idx val="1"/>
          <c:order val="1"/>
          <c:tx>
            <c:strRef>
              <c:f>Arkusz1!$E$2</c:f>
              <c:strCache>
                <c:ptCount val="1"/>
                <c:pt idx="0">
                  <c:v>Wzór - Tył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Arkusz1!$E$3:$E$22</c:f>
              <c:numCache>
                <c:formatCode>0.00E+00</c:formatCode>
                <c:ptCount val="20"/>
                <c:pt idx="0">
                  <c:v>0.14073569934518401</c:v>
                </c:pt>
                <c:pt idx="1">
                  <c:v>8.0958786558405803E-6</c:v>
                </c:pt>
                <c:pt idx="2">
                  <c:v>9.3222645257018406E-10</c:v>
                </c:pt>
                <c:pt idx="3">
                  <c:v>4.3163652652111698E-14</c:v>
                </c:pt>
                <c:pt idx="4">
                  <c:v>1.8844925619987401E-17</c:v>
                </c:pt>
                <c:pt idx="5">
                  <c:v>5.8850702089330297E-17</c:v>
                </c:pt>
                <c:pt idx="6">
                  <c:v>4.7148951409781099E-17</c:v>
                </c:pt>
                <c:pt idx="7">
                  <c:v>3.88750143187621E-17</c:v>
                </c:pt>
                <c:pt idx="8">
                  <c:v>3.3323621639880198E-17</c:v>
                </c:pt>
                <c:pt idx="9">
                  <c:v>2.9307818607906202E-17</c:v>
                </c:pt>
                <c:pt idx="10">
                  <c:v>5.2897710710542301E-17</c:v>
                </c:pt>
                <c:pt idx="11">
                  <c:v>4.83632578429649E-17</c:v>
                </c:pt>
                <c:pt idx="12">
                  <c:v>4.4763082129861599E-17</c:v>
                </c:pt>
                <c:pt idx="13">
                  <c:v>4.2370551511794398E-17</c:v>
                </c:pt>
                <c:pt idx="14">
                  <c:v>4.0727421435349199E-17</c:v>
                </c:pt>
                <c:pt idx="15">
                  <c:v>4.0735192996521602E-17</c:v>
                </c:pt>
                <c:pt idx="16">
                  <c:v>8.1938233975620195E-15</c:v>
                </c:pt>
                <c:pt idx="17">
                  <c:v>1.15871487920138E-10</c:v>
                </c:pt>
                <c:pt idx="18">
                  <c:v>5.2937713220379403E-7</c:v>
                </c:pt>
                <c:pt idx="19">
                  <c:v>9.9130977743000395E-4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58-4D6D-883D-C9985844F6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4905360"/>
        <c:axId val="524904376"/>
      </c:lineChart>
      <c:catAx>
        <c:axId val="524905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przedziału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4904376"/>
        <c:crosses val="autoZero"/>
        <c:auto val="1"/>
        <c:lblAlgn val="ctr"/>
        <c:lblOffset val="100"/>
        <c:noMultiLvlLbl val="0"/>
      </c:catAx>
      <c:valAx>
        <c:axId val="5249043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Uśredniony błąd bezwzględny</a:t>
                </a:r>
              </a:p>
            </c:rich>
          </c:tx>
          <c:layout>
            <c:manualLayout>
              <c:xMode val="edge"/>
              <c:yMode val="edge"/>
              <c:x val="2.4383198099869077E-2"/>
              <c:y val="0.248581774469086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4905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532909689483314"/>
          <c:y val="0.15221330453192405"/>
          <c:w val="0.16060479648871448"/>
          <c:h val="0.140626030389117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pl-PL" sz="12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2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Wykres 2. Uśredniony błąd bezwzględny w zależności od liczby sumowanych składników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pl-PL" sz="1200" b="1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416254226448946"/>
          <c:y val="0.20768822253100927"/>
          <c:w val="0.723632456250623"/>
          <c:h val="0.6317460994842193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Arkusz1!$D$26</c:f>
              <c:strCache>
                <c:ptCount val="1"/>
                <c:pt idx="0">
                  <c:v>N = 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Arkusz1!$D$27:$D$46</c:f>
              <c:numCache>
                <c:formatCode>0.00E+00</c:formatCode>
                <c:ptCount val="20"/>
                <c:pt idx="0">
                  <c:v>1.1290574723149001</c:v>
                </c:pt>
                <c:pt idx="1">
                  <c:v>0.21408594064810099</c:v>
                </c:pt>
                <c:pt idx="2">
                  <c:v>6.18311401185992E-2</c:v>
                </c:pt>
                <c:pt idx="3">
                  <c:v>1.77319290832266E-2</c:v>
                </c:pt>
                <c:pt idx="4">
                  <c:v>4.5858858807919503E-3</c:v>
                </c:pt>
                <c:pt idx="5">
                  <c:v>9.8313292309260502E-4</c:v>
                </c:pt>
                <c:pt idx="6">
                  <c:v>1.5550464058868699E-4</c:v>
                </c:pt>
                <c:pt idx="7">
                  <c:v>1.4778730776498699E-5</c:v>
                </c:pt>
                <c:pt idx="8">
                  <c:v>5.3990854550864602E-7</c:v>
                </c:pt>
                <c:pt idx="9">
                  <c:v>1.9365495749411099E-9</c:v>
                </c:pt>
                <c:pt idx="10">
                  <c:v>1.6572286420870801E-9</c:v>
                </c:pt>
                <c:pt idx="11">
                  <c:v>3.9417150906753898E-7</c:v>
                </c:pt>
                <c:pt idx="12">
                  <c:v>9.1139248607859399E-6</c:v>
                </c:pt>
                <c:pt idx="13">
                  <c:v>7.9899917165168006E-5</c:v>
                </c:pt>
                <c:pt idx="14">
                  <c:v>4.1400544200618199E-4</c:v>
                </c:pt>
                <c:pt idx="15">
                  <c:v>1.5478219521747199E-3</c:v>
                </c:pt>
                <c:pt idx="16">
                  <c:v>4.6392707985557797E-3</c:v>
                </c:pt>
                <c:pt idx="17">
                  <c:v>1.18604942614947E-2</c:v>
                </c:pt>
                <c:pt idx="18">
                  <c:v>2.6901432973332199E-2</c:v>
                </c:pt>
                <c:pt idx="19">
                  <c:v>5.5587178985550698E-2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4A-4B64-A66E-F1C81CC4C79C}"/>
            </c:ext>
          </c:extLst>
        </c:ser>
        <c:ser>
          <c:idx val="1"/>
          <c:order val="1"/>
          <c:tx>
            <c:strRef>
              <c:f>Arkusz1!$E$26</c:f>
              <c:strCache>
                <c:ptCount val="1"/>
                <c:pt idx="0">
                  <c:v>N = 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Arkusz1!$E$27:$E$46</c:f>
              <c:numCache>
                <c:formatCode>0.00E+00</c:formatCode>
                <c:ptCount val="20"/>
                <c:pt idx="0">
                  <c:v>1.0273559336740199</c:v>
                </c:pt>
                <c:pt idx="1">
                  <c:v>0.16717649397672499</c:v>
                </c:pt>
                <c:pt idx="2">
                  <c:v>4.2166295275361303E-2</c:v>
                </c:pt>
                <c:pt idx="3">
                  <c:v>1.0437033526135699E-2</c:v>
                </c:pt>
                <c:pt idx="4">
                  <c:v>2.28414506763399E-3</c:v>
                </c:pt>
                <c:pt idx="5">
                  <c:v>4.02625671650823E-4</c:v>
                </c:pt>
                <c:pt idx="6">
                  <c:v>5.0194168693467202E-5</c:v>
                </c:pt>
                <c:pt idx="7">
                  <c:v>3.5200963418439499E-6</c:v>
                </c:pt>
                <c:pt idx="8">
                  <c:v>8.4569545061845501E-8</c:v>
                </c:pt>
                <c:pt idx="9">
                  <c:v>1.5097814255355899E-10</c:v>
                </c:pt>
                <c:pt idx="10">
                  <c:v>1.2862851146862801E-10</c:v>
                </c:pt>
                <c:pt idx="11">
                  <c:v>6.1203776624728295E-8</c:v>
                </c:pt>
                <c:pt idx="12">
                  <c:v>2.1452978519830101E-6</c:v>
                </c:pt>
                <c:pt idx="13">
                  <c:v>2.54146109633639E-5</c:v>
                </c:pt>
                <c:pt idx="14">
                  <c:v>1.6651944949343001E-4</c:v>
                </c:pt>
                <c:pt idx="15">
                  <c:v>7.5397652052407399E-4</c:v>
                </c:pt>
                <c:pt idx="16">
                  <c:v>2.6557800728144302E-3</c:v>
                </c:pt>
                <c:pt idx="17">
                  <c:v>7.8047144653278404E-3</c:v>
                </c:pt>
                <c:pt idx="18">
                  <c:v>2.0008781064417499E-2</c:v>
                </c:pt>
                <c:pt idx="19">
                  <c:v>5.5587178985550698E-2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4A-4B64-A66E-F1C81CC4C79C}"/>
            </c:ext>
          </c:extLst>
        </c:ser>
        <c:ser>
          <c:idx val="2"/>
          <c:order val="2"/>
          <c:tx>
            <c:strRef>
              <c:f>Arkusz1!$F$26</c:f>
              <c:strCache>
                <c:ptCount val="1"/>
                <c:pt idx="0">
                  <c:v>N = 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Arkusz1!$F$27:$F$46</c:f>
              <c:numCache>
                <c:formatCode>0.00E+00</c:formatCode>
                <c:ptCount val="20"/>
                <c:pt idx="0">
                  <c:v>0.94227615794855102</c:v>
                </c:pt>
                <c:pt idx="1">
                  <c:v>0.132009772204495</c:v>
                </c:pt>
                <c:pt idx="2">
                  <c:v>2.9129749457008601E-2</c:v>
                </c:pt>
                <c:pt idx="3">
                  <c:v>6.2320969514120103E-3</c:v>
                </c:pt>
                <c:pt idx="4">
                  <c:v>1.15574854087579E-3</c:v>
                </c:pt>
                <c:pt idx="5">
                  <c:v>1.6777126296631299E-4</c:v>
                </c:pt>
                <c:pt idx="6">
                  <c:v>1.6519766977583301E-5</c:v>
                </c:pt>
                <c:pt idx="7">
                  <c:v>8.57536263732592E-7</c:v>
                </c:pt>
                <c:pt idx="8">
                  <c:v>1.36005102556802E-8</c:v>
                </c:pt>
                <c:pt idx="9">
                  <c:v>1.2101755112768201E-11</c:v>
                </c:pt>
                <c:pt idx="10">
                  <c:v>1.0272893768938301E-11</c:v>
                </c:pt>
                <c:pt idx="11">
                  <c:v>9.7716330990782398E-9</c:v>
                </c:pt>
                <c:pt idx="12">
                  <c:v>5.1741984909204995E-7</c:v>
                </c:pt>
                <c:pt idx="13">
                  <c:v>8.2612651084721294E-6</c:v>
                </c:pt>
                <c:pt idx="14">
                  <c:v>6.8343086311084506E-5</c:v>
                </c:pt>
                <c:pt idx="15">
                  <c:v>3.7445223059283497E-4</c:v>
                </c:pt>
                <c:pt idx="16">
                  <c:v>1.5492586302149601E-3</c:v>
                </c:pt>
                <c:pt idx="17">
                  <c:v>5.23210665984228E-3</c:v>
                </c:pt>
                <c:pt idx="18">
                  <c:v>1.51585974369531E-2</c:v>
                </c:pt>
                <c:pt idx="19">
                  <c:v>3.8965349322695998E-2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4A-4B64-A66E-F1C81CC4C7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5456840"/>
        <c:axId val="515457496"/>
      </c:barChart>
      <c:catAx>
        <c:axId val="515456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przedziału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5457496"/>
        <c:crosses val="autoZero"/>
        <c:auto val="1"/>
        <c:lblAlgn val="ctr"/>
        <c:lblOffset val="100"/>
        <c:noMultiLvlLbl val="0"/>
      </c:catAx>
      <c:valAx>
        <c:axId val="515457496"/>
        <c:scaling>
          <c:logBase val="10"/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Uśredniony</a:t>
                </a:r>
                <a:r>
                  <a:rPr lang="pl-PL" baseline="0"/>
                  <a:t> błąd bezwzględny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5456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664437778611005"/>
          <c:y val="9.9664181050216405E-2"/>
          <c:w val="7.5707685072307337E-2"/>
          <c:h val="0.198823096112580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0.85111</cdr:x>
      <cdr:y>0.29208</cdr:y>
    </cdr:from>
    <cdr:to>
      <cdr:x>0.96048</cdr:x>
      <cdr:y>0.9171</cdr:y>
    </cdr:to>
    <cdr:sp macro="" textlink="">
      <cdr:nvSpPr>
        <cdr:cNvPr id="2" name="pole tekstowe 1">
          <a:extLst xmlns:a="http://schemas.openxmlformats.org/drawingml/2006/main">
            <a:ext uri="{FF2B5EF4-FFF2-40B4-BE49-F238E27FC236}">
              <a16:creationId xmlns:a16="http://schemas.microsoft.com/office/drawing/2014/main" id="{5D6730A9-1CE6-458F-8210-754A06DAE21D}"/>
            </a:ext>
          </a:extLst>
        </cdr:cNvPr>
        <cdr:cNvSpPr txBox="1"/>
      </cdr:nvSpPr>
      <cdr:spPr>
        <a:xfrm xmlns:a="http://schemas.openxmlformats.org/drawingml/2006/main">
          <a:off x="4903023" y="841114"/>
          <a:ext cx="630050" cy="17998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l"/>
          <a:r>
            <a:rPr lang="pl-PL" sz="600"/>
            <a:t>1.</a:t>
          </a:r>
          <a:r>
            <a:rPr lang="pl-PL" sz="600" baseline="0"/>
            <a:t> </a:t>
          </a:r>
          <a:r>
            <a:rPr lang="pl-PL" sz="600"/>
            <a:t>(-1; -0,9&gt;</a:t>
          </a:r>
          <a:br>
            <a:rPr lang="pl-PL" sz="600"/>
          </a:br>
          <a:r>
            <a:rPr lang="pl-PL" sz="600"/>
            <a:t>2. (-0,9;</a:t>
          </a:r>
          <a:r>
            <a:rPr lang="pl-PL" sz="600" baseline="0"/>
            <a:t> -0,8&gt;</a:t>
          </a:r>
          <a:br>
            <a:rPr lang="pl-PL" sz="600" baseline="0"/>
          </a:br>
          <a:r>
            <a:rPr lang="pl-PL" sz="600" baseline="0"/>
            <a:t>3. (-0,8; -0,7&gt;</a:t>
          </a:r>
        </a:p>
        <a:p xmlns:a="http://schemas.openxmlformats.org/drawingml/2006/main">
          <a:pPr algn="l"/>
          <a:r>
            <a:rPr lang="pl-PL" sz="600" baseline="0"/>
            <a:t>4. (-0,7; -0,6&gt;</a:t>
          </a:r>
        </a:p>
        <a:p xmlns:a="http://schemas.openxmlformats.org/drawingml/2006/main">
          <a:pPr algn="l"/>
          <a:r>
            <a:rPr lang="pl-PL" sz="600" baseline="0"/>
            <a:t>5. (-0,6; -0,5&gt;</a:t>
          </a:r>
        </a:p>
        <a:p xmlns:a="http://schemas.openxmlformats.org/drawingml/2006/main">
          <a:pPr algn="l"/>
          <a:r>
            <a:rPr lang="pl-PL" sz="600" baseline="0"/>
            <a:t>6. (-0,5; -0,4&gt;</a:t>
          </a:r>
        </a:p>
        <a:p xmlns:a="http://schemas.openxmlformats.org/drawingml/2006/main">
          <a:pPr algn="l"/>
          <a:r>
            <a:rPr lang="pl-PL" sz="600" baseline="0"/>
            <a:t>7. (-0,4; -0,3&gt;</a:t>
          </a:r>
        </a:p>
        <a:p xmlns:a="http://schemas.openxmlformats.org/drawingml/2006/main">
          <a:pPr algn="l"/>
          <a:r>
            <a:rPr lang="pl-PL" sz="600" baseline="0"/>
            <a:t>8. (-0,3; -0,2&gt;</a:t>
          </a:r>
        </a:p>
        <a:p xmlns:a="http://schemas.openxmlformats.org/drawingml/2006/main">
          <a:pPr algn="l"/>
          <a:r>
            <a:rPr lang="pl-PL" sz="600" baseline="0"/>
            <a:t>9. (-0,2; -0,1&gt;</a:t>
          </a:r>
        </a:p>
        <a:p xmlns:a="http://schemas.openxmlformats.org/drawingml/2006/main">
          <a:pPr algn="l"/>
          <a:r>
            <a:rPr lang="pl-PL" sz="600" baseline="0"/>
            <a:t>10. (-0,1; 0&gt;</a:t>
          </a:r>
        </a:p>
        <a:p xmlns:a="http://schemas.openxmlformats.org/drawingml/2006/main">
          <a:pPr algn="l"/>
          <a:r>
            <a:rPr lang="pl-PL" sz="600" baseline="0"/>
            <a:t>11. (0; 0,1&gt;</a:t>
          </a:r>
        </a:p>
        <a:p xmlns:a="http://schemas.openxmlformats.org/drawingml/2006/main">
          <a:pPr algn="l"/>
          <a:r>
            <a:rPr lang="pl-PL" sz="600" baseline="0"/>
            <a:t>12. (0,1; 0,2&gt;</a:t>
          </a:r>
        </a:p>
        <a:p xmlns:a="http://schemas.openxmlformats.org/drawingml/2006/main">
          <a:pPr algn="l"/>
          <a:r>
            <a:rPr lang="pl-PL" sz="600" baseline="0"/>
            <a:t>13. (0,2; 0,3&gt;</a:t>
          </a:r>
        </a:p>
        <a:p xmlns:a="http://schemas.openxmlformats.org/drawingml/2006/main">
          <a:pPr algn="l"/>
          <a:r>
            <a:rPr lang="pl-PL" sz="600" baseline="0"/>
            <a:t>14. (0,3; 0,4&gt;</a:t>
          </a:r>
        </a:p>
        <a:p xmlns:a="http://schemas.openxmlformats.org/drawingml/2006/main">
          <a:pPr algn="l"/>
          <a:r>
            <a:rPr lang="pl-PL" sz="600" baseline="0"/>
            <a:t>15. (0,4; 0,5&gt;</a:t>
          </a:r>
        </a:p>
        <a:p xmlns:a="http://schemas.openxmlformats.org/drawingml/2006/main">
          <a:pPr algn="l"/>
          <a:r>
            <a:rPr lang="pl-PL" sz="600"/>
            <a:t>16</a:t>
          </a:r>
          <a:r>
            <a:rPr lang="pl-PL" sz="600" baseline="0"/>
            <a:t>. (0,5; 0,6&gt;</a:t>
          </a:r>
        </a:p>
        <a:p xmlns:a="http://schemas.openxmlformats.org/drawingml/2006/main">
          <a:pPr algn="l"/>
          <a:r>
            <a:rPr lang="pl-PL" sz="600" baseline="0"/>
            <a:t>17. (0,6; 0,7&gt;</a:t>
          </a:r>
        </a:p>
        <a:p xmlns:a="http://schemas.openxmlformats.org/drawingml/2006/main">
          <a:pPr algn="l"/>
          <a:r>
            <a:rPr lang="pl-PL" sz="600" baseline="0"/>
            <a:t>18. (0,7; 0,8&gt;</a:t>
          </a:r>
        </a:p>
        <a:p xmlns:a="http://schemas.openxmlformats.org/drawingml/2006/main">
          <a:pPr algn="l"/>
          <a:r>
            <a:rPr lang="pl-PL" sz="600" baseline="0"/>
            <a:t>19. (0,8; 0,9&gt;</a:t>
          </a:r>
        </a:p>
        <a:p xmlns:a="http://schemas.openxmlformats.org/drawingml/2006/main">
          <a:pPr algn="l"/>
          <a:r>
            <a:rPr lang="pl-PL" sz="600" baseline="0"/>
            <a:t>20. (0,9; 1&gt;</a:t>
          </a:r>
          <a:endParaRPr lang="pl-PL" sz="6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0.875</cdr:x>
      <cdr:y>0.30647</cdr:y>
    </cdr:from>
    <cdr:to>
      <cdr:x>1</cdr:x>
      <cdr:y>0.9384</cdr:y>
    </cdr:to>
    <cdr:sp macro="" textlink="">
      <cdr:nvSpPr>
        <cdr:cNvPr id="2" name="pole tekstowe 1">
          <a:extLst xmlns:a="http://schemas.openxmlformats.org/drawingml/2006/main">
            <a:ext uri="{FF2B5EF4-FFF2-40B4-BE49-F238E27FC236}">
              <a16:creationId xmlns:a16="http://schemas.microsoft.com/office/drawing/2014/main" id="{7B9A9A5B-AEEE-45C2-BE10-31FF89D1310C}"/>
            </a:ext>
          </a:extLst>
        </cdr:cNvPr>
        <cdr:cNvSpPr txBox="1"/>
      </cdr:nvSpPr>
      <cdr:spPr>
        <a:xfrm xmlns:a="http://schemas.openxmlformats.org/drawingml/2006/main">
          <a:off x="5040630" y="881580"/>
          <a:ext cx="720090" cy="181777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l"/>
          <a:r>
            <a:rPr lang="pl-PL" sz="600"/>
            <a:t>1.</a:t>
          </a:r>
          <a:r>
            <a:rPr lang="pl-PL" sz="600" baseline="0"/>
            <a:t> </a:t>
          </a:r>
          <a:r>
            <a:rPr lang="pl-PL" sz="600"/>
            <a:t>(-1; -0,9&gt;</a:t>
          </a:r>
          <a:br>
            <a:rPr lang="pl-PL" sz="600"/>
          </a:br>
          <a:r>
            <a:rPr lang="pl-PL" sz="600"/>
            <a:t>2. (-0,9;</a:t>
          </a:r>
          <a:r>
            <a:rPr lang="pl-PL" sz="600" baseline="0"/>
            <a:t> -0,8&gt;</a:t>
          </a:r>
          <a:br>
            <a:rPr lang="pl-PL" sz="600" baseline="0"/>
          </a:br>
          <a:r>
            <a:rPr lang="pl-PL" sz="600" baseline="0"/>
            <a:t>3. (-0,8; -0,7&gt;</a:t>
          </a:r>
        </a:p>
        <a:p xmlns:a="http://schemas.openxmlformats.org/drawingml/2006/main">
          <a:pPr algn="l"/>
          <a:r>
            <a:rPr lang="pl-PL" sz="600" baseline="0"/>
            <a:t>4. (-0,7; -0,6&gt;</a:t>
          </a:r>
        </a:p>
        <a:p xmlns:a="http://schemas.openxmlformats.org/drawingml/2006/main">
          <a:pPr algn="l"/>
          <a:r>
            <a:rPr lang="pl-PL" sz="600" baseline="0"/>
            <a:t>5. (-0,6; -0,5&gt;</a:t>
          </a:r>
        </a:p>
        <a:p xmlns:a="http://schemas.openxmlformats.org/drawingml/2006/main">
          <a:pPr algn="l"/>
          <a:r>
            <a:rPr lang="pl-PL" sz="600" baseline="0"/>
            <a:t>6. (-0,5; -0,4&gt;</a:t>
          </a:r>
        </a:p>
        <a:p xmlns:a="http://schemas.openxmlformats.org/drawingml/2006/main">
          <a:pPr algn="l"/>
          <a:r>
            <a:rPr lang="pl-PL" sz="600" baseline="0"/>
            <a:t>7. (-0,4; -0,3&gt;</a:t>
          </a:r>
        </a:p>
        <a:p xmlns:a="http://schemas.openxmlformats.org/drawingml/2006/main">
          <a:pPr algn="l"/>
          <a:r>
            <a:rPr lang="pl-PL" sz="600" baseline="0"/>
            <a:t>8. (-0,3; -0,2&gt;</a:t>
          </a:r>
        </a:p>
        <a:p xmlns:a="http://schemas.openxmlformats.org/drawingml/2006/main">
          <a:pPr algn="l"/>
          <a:r>
            <a:rPr lang="pl-PL" sz="600" baseline="0"/>
            <a:t>9. (-0,2; -0,1&gt;</a:t>
          </a:r>
        </a:p>
        <a:p xmlns:a="http://schemas.openxmlformats.org/drawingml/2006/main">
          <a:pPr algn="l"/>
          <a:r>
            <a:rPr lang="pl-PL" sz="600" baseline="0"/>
            <a:t>10. (-0,1; 0&gt;</a:t>
          </a:r>
        </a:p>
        <a:p xmlns:a="http://schemas.openxmlformats.org/drawingml/2006/main">
          <a:pPr algn="l"/>
          <a:r>
            <a:rPr lang="pl-PL" sz="600" baseline="0"/>
            <a:t>11. (0; 0,1&gt;</a:t>
          </a:r>
        </a:p>
        <a:p xmlns:a="http://schemas.openxmlformats.org/drawingml/2006/main">
          <a:pPr algn="l"/>
          <a:r>
            <a:rPr lang="pl-PL" sz="600" baseline="0"/>
            <a:t>12. (0,1; 0,2&gt;</a:t>
          </a:r>
        </a:p>
        <a:p xmlns:a="http://schemas.openxmlformats.org/drawingml/2006/main">
          <a:pPr algn="l"/>
          <a:r>
            <a:rPr lang="pl-PL" sz="600" baseline="0"/>
            <a:t>13. (0,2; 0,3&gt;</a:t>
          </a:r>
        </a:p>
        <a:p xmlns:a="http://schemas.openxmlformats.org/drawingml/2006/main">
          <a:pPr algn="l"/>
          <a:r>
            <a:rPr lang="pl-PL" sz="600" baseline="0"/>
            <a:t>14. (0,3; 0,4&gt;</a:t>
          </a:r>
        </a:p>
        <a:p xmlns:a="http://schemas.openxmlformats.org/drawingml/2006/main">
          <a:pPr algn="l"/>
          <a:r>
            <a:rPr lang="pl-PL" sz="600" baseline="0"/>
            <a:t>15. (0,4; 0,5&gt;</a:t>
          </a:r>
        </a:p>
        <a:p xmlns:a="http://schemas.openxmlformats.org/drawingml/2006/main">
          <a:pPr algn="l"/>
          <a:r>
            <a:rPr lang="pl-PL" sz="600"/>
            <a:t>16</a:t>
          </a:r>
          <a:r>
            <a:rPr lang="pl-PL" sz="600" baseline="0"/>
            <a:t>. (0,5; 0,6&gt;</a:t>
          </a:r>
        </a:p>
        <a:p xmlns:a="http://schemas.openxmlformats.org/drawingml/2006/main">
          <a:pPr algn="l"/>
          <a:r>
            <a:rPr lang="pl-PL" sz="600" baseline="0"/>
            <a:t>17. (0,6; 0,7&gt;</a:t>
          </a:r>
        </a:p>
        <a:p xmlns:a="http://schemas.openxmlformats.org/drawingml/2006/main">
          <a:pPr algn="l"/>
          <a:r>
            <a:rPr lang="pl-PL" sz="600" baseline="0"/>
            <a:t>18. (0,7; 0,8&gt;</a:t>
          </a:r>
        </a:p>
        <a:p xmlns:a="http://schemas.openxmlformats.org/drawingml/2006/main">
          <a:pPr algn="l"/>
          <a:r>
            <a:rPr lang="pl-PL" sz="600" baseline="0"/>
            <a:t>19. (0,8; 0,9&gt;</a:t>
          </a:r>
        </a:p>
        <a:p xmlns:a="http://schemas.openxmlformats.org/drawingml/2006/main">
          <a:pPr algn="l"/>
          <a:r>
            <a:rPr lang="pl-PL" sz="600" baseline="0"/>
            <a:t>20. (0,9; 1&gt;</a:t>
          </a:r>
          <a:endParaRPr lang="pl-PL" sz="600"/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495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Rosiński</dc:creator>
  <cp:keywords/>
  <dc:description/>
  <cp:lastModifiedBy>Wojciech Rosiński</cp:lastModifiedBy>
  <cp:revision>7</cp:revision>
  <cp:lastPrinted>2019-10-19T14:45:00Z</cp:lastPrinted>
  <dcterms:created xsi:type="dcterms:W3CDTF">2019-10-14T15:19:00Z</dcterms:created>
  <dcterms:modified xsi:type="dcterms:W3CDTF">2019-10-20T20:53:00Z</dcterms:modified>
</cp:coreProperties>
</file>