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e12c453c17c65f40b513a4e3d409ecd11dd0631"/>
    <w:p>
      <w:pPr>
        <w:pStyle w:val="Heading1"/>
      </w:pPr>
      <w:r>
        <w:t xml:space="preserve">Honda Cars India Ltd: Employee Expenses Analysis</w:t>
      </w:r>
    </w:p>
    <w:bookmarkStart w:id="20" w:name="summary"/>
    <w:p>
      <w:pPr>
        <w:pStyle w:val="Heading2"/>
      </w:pPr>
      <w:r>
        <w:t xml:space="preserve">Summary</w:t>
      </w:r>
    </w:p>
    <w:p>
      <w:pPr>
        <w:pStyle w:val="FirstParagraph"/>
      </w:pPr>
      <w:r>
        <w:t xml:space="preserve">For the financial year FY 24-25, Honda Cars India Ltd (HCIL) reported</w:t>
      </w:r>
      <w:r>
        <w:t xml:space="preserve"> </w:t>
      </w:r>
      <w:r>
        <w:rPr>
          <w:bCs/>
          <w:b/>
        </w:rPr>
        <w:t xml:space="preserve">Total Expenses of ₹16,619 Crore</w:t>
      </w:r>
      <w:r>
        <w:t xml:space="preserve">, an increase of 5.8% year-on-year. While the specific</w:t>
      </w:r>
      <w:r>
        <w:t xml:space="preserve"> </w:t>
      </w:r>
      <w:r>
        <w:t xml:space="preserve">“</w:t>
      </w:r>
      <w:r>
        <w:t xml:space="preserve">Employee Benefit Expense</w:t>
      </w:r>
      <w:r>
        <w:t xml:space="preserve">”</w:t>
      </w:r>
      <w:r>
        <w:t xml:space="preserve"> </w:t>
      </w:r>
      <w:r>
        <w:t xml:space="preserve">line item is not publicly disclosed for this unlisted subsidiary in interim summaries, the overall expense rise contributed to a 9% decline in Net Profit (₹604 Crore), despite a 4.6% rise in revenue driven by record exports.</w:t>
      </w:r>
    </w:p>
    <w:p>
      <w:pPr>
        <w:pStyle w:val="BodyText"/>
      </w:pPr>
      <w:r>
        <w:t xml:space="preserve">For Q1 and Q2 of FY 26 (April–September 2025), specific financial data for the unlisted car unit is not in the public domain. However, industry trends and global reports indicate the company faces pressure from weak domestic volumes (lowest in two decades), likely forcing continued strict control over fixed costs like employee salaries and overheads.</w:t>
      </w:r>
    </w:p>
    <w:p>
      <w:r>
        <w:pict>
          <v:rect style="width:0;height:1.5pt" o:hralign="center" o:hrstd="t" o:hr="t"/>
        </w:pict>
      </w:r>
    </w:p>
    <w:bookmarkEnd w:id="20"/>
    <w:bookmarkStart w:id="23" w:name="X61537e3f4d8489537d9a212ddb479b14a6d61f5"/>
    <w:p>
      <w:pPr>
        <w:pStyle w:val="Heading2"/>
      </w:pPr>
      <w:r>
        <w:t xml:space="preserve">1. Financial Analysis: FY 24-25 (April 2024 – March 2025)</w:t>
      </w:r>
    </w:p>
    <w:p>
      <w:pPr>
        <w:pStyle w:val="FirstParagraph"/>
      </w:pPr>
      <w:r>
        <w:t xml:space="preserve">The following table summarizes the available financial data for Honda Cars India Ltd (4-wheeler entity). Note that HCIL is an unlisted private company, so granular quarterly disclosures are less frequent than listed peers like Maruti Suzuki.</w:t>
      </w:r>
    </w:p>
    <w:bookmarkStart w:id="21" w:name="key-financial-metrics-fy-24-25"/>
    <w:p>
      <w:pPr>
        <w:pStyle w:val="Heading3"/>
      </w:pPr>
      <w:r>
        <w:t xml:space="preserve">Key Financial Metrics (FY 24-25)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Metric</w:t>
            </w:r>
          </w:p>
        </w:tc>
        <w:tc>
          <w:tcPr/>
          <w:p>
            <w:pPr>
              <w:pStyle w:val="Compact"/>
              <w:jc w:val="left"/>
            </w:pPr>
            <w:r>
              <w:rPr>
                <w:bCs/>
                <w:b/>
              </w:rPr>
              <w:t xml:space="preserve">FY 24-25 (₹ Crore)</w:t>
            </w:r>
          </w:p>
        </w:tc>
        <w:tc>
          <w:tcPr/>
          <w:p>
            <w:pPr>
              <w:pStyle w:val="Compact"/>
              <w:jc w:val="left"/>
            </w:pPr>
            <w:r>
              <w:rPr>
                <w:bCs/>
                <w:b/>
              </w:rPr>
              <w:t xml:space="preserve">FY 23-24 (₹ Crore)</w:t>
            </w:r>
          </w:p>
        </w:tc>
        <w:tc>
          <w:tcPr/>
          <w:p>
            <w:pPr>
              <w:pStyle w:val="Compact"/>
              <w:jc w:val="left"/>
            </w:pPr>
            <w:r>
              <w:rPr>
                <w:bCs/>
                <w:b/>
              </w:rPr>
              <w:t xml:space="preserve">YoY Change</w:t>
            </w:r>
          </w:p>
        </w:tc>
      </w:tr>
      <w:tr>
        <w:tc>
          <w:tcPr/>
          <w:p>
            <w:pPr>
              <w:pStyle w:val="Compact"/>
              <w:jc w:val="left"/>
            </w:pPr>
            <w:r>
              <w:rPr>
                <w:bCs/>
                <w:b/>
              </w:rPr>
              <w:t xml:space="preserve">Total Revenue</w:t>
            </w:r>
          </w:p>
        </w:tc>
        <w:tc>
          <w:tcPr/>
          <w:p>
            <w:pPr>
              <w:pStyle w:val="Compact"/>
              <w:jc w:val="left"/>
            </w:pPr>
            <w:r>
              <w:rPr>
                <w:bCs/>
                <w:b/>
              </w:rPr>
              <w:t xml:space="preserve">17,219</w:t>
            </w:r>
          </w:p>
        </w:tc>
        <w:tc>
          <w:tcPr/>
          <w:p>
            <w:pPr>
              <w:pStyle w:val="Compact"/>
              <w:jc w:val="left"/>
            </w:pPr>
            <w:r>
              <w:rPr>
                <w:bCs/>
                <w:b/>
              </w:rPr>
              <w:t xml:space="preserve">16,461</w:t>
            </w:r>
          </w:p>
        </w:tc>
        <w:tc>
          <w:tcPr/>
          <w:p>
            <w:pPr>
              <w:pStyle w:val="Compact"/>
              <w:jc w:val="left"/>
            </w:pPr>
            <w:r>
              <w:rPr>
                <w:bCs/>
                <w:b/>
              </w:rPr>
              <w:t xml:space="preserve">+4.6%</w:t>
            </w:r>
          </w:p>
        </w:tc>
      </w:tr>
      <w:tr>
        <w:tc>
          <w:tcPr/>
          <w:p>
            <w:pPr>
              <w:pStyle w:val="Compact"/>
              <w:jc w:val="left"/>
            </w:pPr>
            <w:r>
              <w:rPr>
                <w:bCs/>
                <w:b/>
              </w:rPr>
              <w:t xml:space="preserve">Total Expenses</w:t>
            </w:r>
          </w:p>
        </w:tc>
        <w:tc>
          <w:tcPr/>
          <w:p>
            <w:pPr>
              <w:pStyle w:val="Compact"/>
              <w:jc w:val="left"/>
            </w:pPr>
            <w:r>
              <w:rPr>
                <w:bCs/>
                <w:b/>
              </w:rPr>
              <w:t xml:space="preserve">16,619</w:t>
            </w:r>
          </w:p>
        </w:tc>
        <w:tc>
          <w:tcPr/>
          <w:p>
            <w:pPr>
              <w:pStyle w:val="Compact"/>
              <w:jc w:val="left"/>
            </w:pPr>
            <w:r>
              <w:rPr>
                <w:bCs/>
                <w:b/>
              </w:rPr>
              <w:t xml:space="preserve">15,708</w:t>
            </w:r>
          </w:p>
        </w:tc>
        <w:tc>
          <w:tcPr/>
          <w:p>
            <w:pPr>
              <w:pStyle w:val="Compact"/>
              <w:jc w:val="left"/>
            </w:pPr>
            <w:r>
              <w:rPr>
                <w:bCs/>
                <w:b/>
              </w:rPr>
              <w:t xml:space="preserve">+5.8%</w:t>
            </w:r>
          </w:p>
        </w:tc>
      </w:tr>
      <w:tr>
        <w:tc>
          <w:tcPr/>
          <w:p>
            <w:pPr>
              <w:pStyle w:val="Compact"/>
              <w:jc w:val="left"/>
            </w:pPr>
            <w:r>
              <w:rPr>
                <w:bCs/>
                <w:b/>
              </w:rPr>
              <w:t xml:space="preserve">Net Profit (PAT)</w:t>
            </w:r>
          </w:p>
        </w:tc>
        <w:tc>
          <w:tcPr/>
          <w:p>
            <w:pPr>
              <w:pStyle w:val="Compact"/>
              <w:jc w:val="left"/>
            </w:pPr>
            <w:r>
              <w:rPr>
                <w:bCs/>
                <w:b/>
              </w:rPr>
              <w:t xml:space="preserve">604</w:t>
            </w:r>
          </w:p>
        </w:tc>
        <w:tc>
          <w:tcPr/>
          <w:p>
            <w:pPr>
              <w:pStyle w:val="Compact"/>
              <w:jc w:val="left"/>
            </w:pPr>
            <w:r>
              <w:rPr>
                <w:bCs/>
                <w:b/>
              </w:rPr>
              <w:t xml:space="preserve">664</w:t>
            </w:r>
          </w:p>
        </w:tc>
        <w:tc>
          <w:tcPr/>
          <w:p>
            <w:pPr>
              <w:pStyle w:val="Compact"/>
              <w:jc w:val="left"/>
            </w:pPr>
            <w:r>
              <w:rPr>
                <w:bCs/>
                <w:b/>
              </w:rPr>
              <w:t xml:space="preserve">-9.0%</w:t>
            </w:r>
          </w:p>
        </w:tc>
      </w:tr>
      <w:tr>
        <w:tc>
          <w:tcPr/>
          <w:p>
            <w:pPr>
              <w:pStyle w:val="Compact"/>
              <w:jc w:val="left"/>
            </w:pPr>
            <w:r>
              <w:rPr>
                <w:bCs/>
                <w:b/>
              </w:rPr>
              <w:t xml:space="preserve">Domestic Sales (Units)</w:t>
            </w:r>
          </w:p>
        </w:tc>
        <w:tc>
          <w:tcPr/>
          <w:p>
            <w:pPr>
              <w:pStyle w:val="Compact"/>
              <w:jc w:val="left"/>
            </w:pPr>
            <w:r>
              <w:rPr>
                <w:bCs/>
                <w:b/>
              </w:rPr>
              <w:t xml:space="preserve">65,925</w:t>
            </w:r>
          </w:p>
        </w:tc>
        <w:tc>
          <w:tcPr/>
          <w:p>
            <w:pPr>
              <w:pStyle w:val="Compact"/>
              <w:jc w:val="left"/>
            </w:pPr>
            <w:r>
              <w:rPr>
                <w:bCs/>
                <w:b/>
              </w:rPr>
              <w:t xml:space="preserve">~91,000</w:t>
            </w:r>
          </w:p>
        </w:tc>
        <w:tc>
          <w:tcPr/>
          <w:p>
            <w:pPr>
              <w:pStyle w:val="Compact"/>
              <w:jc w:val="left"/>
            </w:pPr>
            <w:r>
              <w:rPr>
                <w:bCs/>
                <w:b/>
              </w:rPr>
              <w:t xml:space="preserve">-27.5%</w:t>
            </w:r>
          </w:p>
        </w:tc>
      </w:tr>
      <w:tr>
        <w:tc>
          <w:tcPr/>
          <w:p>
            <w:pPr>
              <w:pStyle w:val="Compact"/>
              <w:jc w:val="left"/>
            </w:pPr>
            <w:r>
              <w:rPr>
                <w:bCs/>
                <w:b/>
              </w:rPr>
              <w:t xml:space="preserve">Export Sales (Units)</w:t>
            </w:r>
          </w:p>
        </w:tc>
        <w:tc>
          <w:tcPr/>
          <w:p>
            <w:pPr>
              <w:pStyle w:val="Compact"/>
              <w:jc w:val="left"/>
            </w:pPr>
            <w:r>
              <w:rPr>
                <w:bCs/>
                <w:b/>
              </w:rPr>
              <w:t xml:space="preserve">Strong Growth</w:t>
            </w:r>
          </w:p>
        </w:tc>
        <w:tc>
          <w:tcPr/>
          <w:p>
            <w:pPr>
              <w:pStyle w:val="Compact"/>
              <w:jc w:val="left"/>
            </w:pPr>
            <w:r>
              <w:rPr>
                <w:bCs/>
                <w:b/>
              </w:rPr>
              <w:t xml:space="preserve">~22,000</w:t>
            </w:r>
          </w:p>
        </w:tc>
        <w:tc>
          <w:tcPr/>
          <w:p>
            <w:pPr>
              <w:pStyle w:val="Compact"/>
              <w:jc w:val="left"/>
            </w:pPr>
            <w:r>
              <w:rPr>
                <w:bCs/>
                <w:b/>
              </w:rPr>
              <w:t xml:space="preserve">Significant Rise</w:t>
            </w:r>
          </w:p>
        </w:tc>
      </w:tr>
    </w:tbl>
    <w:p>
      <w:pPr>
        <w:pStyle w:val="BodyText"/>
      </w:pPr>
      <w:r>
        <w:rPr>
          <w:bCs/>
          <w:b/>
        </w:rPr>
        <w:t xml:space="preserve">Source: Autocar Professional / Tofler Financial Summaries</w:t>
      </w:r>
    </w:p>
    <w:bookmarkEnd w:id="21"/>
    <w:bookmarkStart w:id="22" w:name="detailed-expense--employee-cost-analysis"/>
    <w:p>
      <w:pPr>
        <w:pStyle w:val="Heading3"/>
      </w:pPr>
      <w:r>
        <w:t xml:space="preserve">Detailed Expense &amp; Employee Cost Analysis</w:t>
      </w:r>
    </w:p>
    <w:p>
      <w:pPr>
        <w:numPr>
          <w:ilvl w:val="0"/>
          <w:numId w:val="1001"/>
        </w:numPr>
      </w:pPr>
      <w:r>
        <w:rPr>
          <w:bCs/>
          <w:b/>
        </w:rPr>
        <w:t xml:space="preserve">Total Expense Growth:</w:t>
      </w:r>
      <w:r>
        <w:t xml:space="preserve"> </w:t>
      </w:r>
      <w:r>
        <w:t xml:space="preserve">The 5.8% increase in Total Expenses (to ₹16,619 Cr) outpaced revenue growth, compressing margins. This increase typically includes raw material costs, employee benefits, and logistics (which rose significantly due to the focus on exports).</w:t>
      </w:r>
    </w:p>
    <w:p>
      <w:pPr>
        <w:numPr>
          <w:ilvl w:val="0"/>
          <w:numId w:val="1001"/>
        </w:numPr>
      </w:pPr>
      <w:r>
        <w:rPr>
          <w:bCs/>
          <w:b/>
        </w:rPr>
        <w:t xml:space="preserve">Employee Cost Dynamics:</w:t>
      </w:r>
    </w:p>
    <w:p>
      <w:pPr>
        <w:numPr>
          <w:ilvl w:val="1"/>
          <w:numId w:val="1002"/>
        </w:numPr>
      </w:pPr>
      <w:r>
        <w:rPr>
          <w:bCs/>
          <w:b/>
        </w:rPr>
        <w:t xml:space="preserve">Cost Control Focus:</w:t>
      </w:r>
      <w:r>
        <w:t xml:space="preserve"> </w:t>
      </w:r>
      <w:r>
        <w:t xml:space="preserve">In FY24, HCIL explicitly highlighted</w:t>
      </w:r>
      <w:r>
        <w:t xml:space="preserve"> </w:t>
      </w:r>
      <w:r>
        <w:t xml:space="preserve">“</w:t>
      </w:r>
      <w:r>
        <w:t xml:space="preserve">cost control concerning employee expenses</w:t>
      </w:r>
      <w:r>
        <w:t xml:space="preserve">”</w:t>
      </w:r>
      <w:r>
        <w:t xml:space="preserve"> </w:t>
      </w:r>
      <w:r>
        <w:t xml:space="preserve">as a key driver for profitability. This discipline likely continued into FY25 to manage the sharp decline in domestic sales.</w:t>
      </w:r>
    </w:p>
    <w:p>
      <w:pPr>
        <w:numPr>
          <w:ilvl w:val="1"/>
          <w:numId w:val="1002"/>
        </w:numPr>
      </w:pPr>
      <w:r>
        <w:rPr>
          <w:bCs/>
          <w:b/>
        </w:rPr>
        <w:t xml:space="preserve">Workforce Optimization:</w:t>
      </w:r>
      <w:r>
        <w:t xml:space="preserve"> </w:t>
      </w:r>
      <w:r>
        <w:t xml:space="preserve">HCIL has historically used Voluntary Retirement Schemes (VRS) to right-size its workforce, notably reducing its headcount by over 1,300 employees during the restructuring of its Greater Noida and Tapukara plants in previous years. This suggests the current employee base is leaner, with expenses more sensitive to annual increments rather than headcount expansion.</w:t>
      </w:r>
    </w:p>
    <w:p>
      <w:pPr>
        <w:numPr>
          <w:ilvl w:val="1"/>
          <w:numId w:val="1002"/>
        </w:numPr>
      </w:pPr>
      <w:r>
        <w:rPr>
          <w:bCs/>
          <w:b/>
        </w:rPr>
        <w:t xml:space="preserve">Impact of Exports:</w:t>
      </w:r>
      <w:r>
        <w:t xml:space="preserve"> </w:t>
      </w:r>
      <w:r>
        <w:t xml:space="preserve">The shift toward being an</w:t>
      </w:r>
      <w:r>
        <w:t xml:space="preserve"> </w:t>
      </w:r>
      <w:r>
        <w:t xml:space="preserve">“</w:t>
      </w:r>
      <w:r>
        <w:t xml:space="preserve">export hub</w:t>
      </w:r>
      <w:r>
        <w:t xml:space="preserve">”</w:t>
      </w:r>
      <w:r>
        <w:t xml:space="preserve"> </w:t>
      </w:r>
      <w:r>
        <w:t xml:space="preserve">(sending Elevate and City models to Japan/Global markets) often requires specialized skilled labor and overtime costs, which may have kept employee expenses firm despite low domestic demand.</w:t>
      </w:r>
    </w:p>
    <w:p>
      <w:r>
        <w:pict>
          <v:rect style="width:0;height:1.5pt" o:hralign="center" o:hrstd="t" o:hr="t"/>
        </w:pict>
      </w:r>
    </w:p>
    <w:bookmarkEnd w:id="22"/>
    <w:bookmarkEnd w:id="23"/>
    <w:bookmarkStart w:id="25" w:name="Xddb71ccbda4c0528068beb1e1ef616a198e69e8"/>
    <w:p>
      <w:pPr>
        <w:pStyle w:val="Heading2"/>
      </w:pPr>
      <w:r>
        <w:t xml:space="preserve">2. Analysis of Q1 &amp; Q2 FY 26 (April 2025 – September 2025)</w:t>
      </w:r>
    </w:p>
    <w:p>
      <w:pPr>
        <w:pStyle w:val="FirstParagraph"/>
      </w:pPr>
      <w:r>
        <w:t xml:space="preserve">As HCIL is an unlisted entity, it does not release public quarterly financial result decks like its listed sister concern Honda India Power Products. However, the following analysis is derived from parent company reports and market data.</w:t>
      </w:r>
    </w:p>
    <w:bookmarkStart w:id="24" w:name="X9ca9e9ccfcdd6bef01d545767f21bd218631c91"/>
    <w:p>
      <w:pPr>
        <w:pStyle w:val="Heading3"/>
      </w:pPr>
      <w:r>
        <w:t xml:space="preserve">Operational Context &amp; Expense Implications</w:t>
      </w:r>
    </w:p>
    <w:p>
      <w:pPr>
        <w:numPr>
          <w:ilvl w:val="0"/>
          <w:numId w:val="1003"/>
        </w:numPr>
      </w:pPr>
      <w:r>
        <w:rPr>
          <w:bCs/>
          <w:b/>
        </w:rPr>
        <w:t xml:space="preserve">Weak Domestic Demand:</w:t>
      </w:r>
      <w:r>
        <w:t xml:space="preserve"> </w:t>
      </w:r>
      <w:r>
        <w:t xml:space="preserve">Reports indicate HCIL’s domestic sales dropped to their lowest levels in nearly two decades during this period. Low production volumes for the domestic market typically lead to:</w:t>
      </w:r>
    </w:p>
    <w:p>
      <w:pPr>
        <w:numPr>
          <w:ilvl w:val="1"/>
          <w:numId w:val="1004"/>
        </w:numPr>
      </w:pPr>
      <w:r>
        <w:rPr>
          <w:bCs/>
          <w:b/>
        </w:rPr>
        <w:t xml:space="preserve">Under-recovery of Fixed Employee Costs:</w:t>
      </w:r>
      <w:r>
        <w:t xml:space="preserve"> </w:t>
      </w:r>
      <w:r>
        <w:t xml:space="preserve">Permanent employee salaries become a heavier burden per unit when production volumes drop.</w:t>
      </w:r>
    </w:p>
    <w:p>
      <w:pPr>
        <w:numPr>
          <w:ilvl w:val="1"/>
          <w:numId w:val="1004"/>
        </w:numPr>
      </w:pPr>
      <w:r>
        <w:rPr>
          <w:bCs/>
          <w:b/>
        </w:rPr>
        <w:t xml:space="preserve">Reduction in Variable Pay:</w:t>
      </w:r>
      <w:r>
        <w:t xml:space="preserve"> </w:t>
      </w:r>
      <w:r>
        <w:t xml:space="preserve">Overtime, shift allowances, and variable performance bonuses are likely reduced to manage the P&amp;L.</w:t>
      </w:r>
    </w:p>
    <w:p>
      <w:pPr>
        <w:numPr>
          <w:ilvl w:val="0"/>
          <w:numId w:val="1003"/>
        </w:numPr>
      </w:pPr>
      <w:r>
        <w:rPr>
          <w:bCs/>
          <w:b/>
        </w:rPr>
        <w:t xml:space="preserve">Global Parent Pressure:</w:t>
      </w:r>
      <w:r>
        <w:t xml:space="preserve"> </w:t>
      </w:r>
      <w:r>
        <w:t xml:space="preserve">Honda Motor Co. (Japan) reported a 50% drop in operating profit for Q1 FY26 globally, driven by tariffs and marketing costs. This global squeeze often translates to mandates for regional subsidiaries (like India) to freeze hiring and cut discretionary administrative expenses.</w:t>
      </w:r>
    </w:p>
    <w:p>
      <w:pPr>
        <w:numPr>
          <w:ilvl w:val="0"/>
          <w:numId w:val="1003"/>
        </w:numPr>
      </w:pPr>
      <w:r>
        <w:rPr>
          <w:bCs/>
          <w:b/>
        </w:rPr>
        <w:t xml:space="preserve">No Major VRS Announced:</w:t>
      </w:r>
      <w:r>
        <w:t xml:space="preserve"> </w:t>
      </w:r>
      <w:r>
        <w:t xml:space="preserve">Unlike FY20-21, there have been no public reports of a new mass Voluntary Retirement Scheme in Q1/Q2 FY26, suggesting the company is maintaining its core workforce while managing costs through other efficiencies.</w:t>
      </w:r>
    </w:p>
    <w:p>
      <w:r>
        <w:pict>
          <v:rect style="width:0;height:1.5pt" o:hralign="center" o:hrstd="t" o:hr="t"/>
        </w:pict>
      </w:r>
    </w:p>
    <w:bookmarkEnd w:id="24"/>
    <w:bookmarkEnd w:id="25"/>
    <w:bookmarkStart w:id="26" w:name="X0c6548a512df4c77a5da58dbe56e130cfabc744"/>
    <w:p>
      <w:pPr>
        <w:pStyle w:val="Heading2"/>
      </w:pPr>
      <w:r>
        <w:t xml:space="preserve">3. Data Constraints &amp; Methodology</w:t>
      </w:r>
    </w:p>
    <w:p>
      <w:pPr>
        <w:numPr>
          <w:ilvl w:val="0"/>
          <w:numId w:val="1005"/>
        </w:numPr>
      </w:pPr>
      <w:r>
        <w:rPr>
          <w:bCs/>
          <w:b/>
        </w:rPr>
        <w:t xml:space="preserve">Unlisted Status:</w:t>
      </w:r>
      <w:r>
        <w:t xml:space="preserve"> </w:t>
      </w:r>
      <w:r>
        <w:t xml:space="preserve">Unlike Maruti Suzuki or Tata Motors, Honda Cars India Ltd is not required to publish quarterly audited</w:t>
      </w:r>
      <w:r>
        <w:t xml:space="preserve"> </w:t>
      </w:r>
      <w:r>
        <w:t xml:space="preserve">“</w:t>
      </w:r>
      <w:r>
        <w:t xml:space="preserve">Employee Benefit Expenses</w:t>
      </w:r>
      <w:r>
        <w:t xml:space="preserve">”</w:t>
      </w:r>
      <w:r>
        <w:t xml:space="preserve">. The data above is sourced from annual summaries reported by financial news agencies accessing Registrar of Companies (RoC) filings.</w:t>
      </w:r>
    </w:p>
    <w:p>
      <w:pPr>
        <w:numPr>
          <w:ilvl w:val="0"/>
          <w:numId w:val="1005"/>
        </w:numPr>
      </w:pPr>
      <w:r>
        <w:rPr>
          <w:bCs/>
          <w:b/>
        </w:rPr>
        <w:t xml:space="preserve">Exclusions:</w:t>
      </w:r>
      <w:r>
        <w:t xml:space="preserve"> </w:t>
      </w:r>
      <w:r>
        <w:t xml:space="preserve">This analysis strictly excludes Honda Motorcycle and Scooter India (HMSI) and Honda India Power Products (HIPP), whose financials are separate and should not be conflated with the 4-wheeler business.</w:t>
      </w:r>
    </w:p>
    <w:p>
      <w:r>
        <w:pict>
          <v:rect style="width:0;height:1.5pt" o:hralign="center" o:hrstd="t" o:hr="t"/>
        </w:pict>
      </w:r>
    </w:p>
    <w:bookmarkEnd w:id="26"/>
    <w:bookmarkStart w:id="27" w:name="conclusion"/>
    <w:p>
      <w:pPr>
        <w:pStyle w:val="Heading2"/>
      </w:pPr>
      <w:r>
        <w:t xml:space="preserve">Conclusion</w:t>
      </w:r>
    </w:p>
    <w:p>
      <w:pPr>
        <w:pStyle w:val="FirstParagraph"/>
      </w:pPr>
      <w:r>
        <w:t xml:space="preserve">For FY 24-25, Honda Cars India’s employee strategy was defined by a lean workforce supporting a high-export business model. While Total Expenses rose to ₹16,619 Crore, the lack of domestic volume growth suggests that employee costs were likely contained strictly to essential increments and export-related production needs. For Q1/Q2 FY 26, the financial pressure has likely intensified due to a 20-year low in domestic sales, signaling a period of freezing discretionary employee spends.</w:t>
      </w:r>
    </w:p>
    <w:p>
      <w:r>
        <w:pict>
          <v:rect style="width:0;height:1.5pt" o:hralign="center" o:hrstd="t" o:hr="t"/>
        </w:pict>
      </w:r>
    </w:p>
    <w:bookmarkEnd w:id="27"/>
    <w:bookmarkStart w:id="28" w:name="sources-of-information"/>
    <w:p>
      <w:pPr>
        <w:pStyle w:val="Heading2"/>
      </w:pPr>
      <w:r>
        <w:t xml:space="preserve">Sources of Information</w:t>
      </w:r>
    </w:p>
    <w:p>
      <w:pPr>
        <w:numPr>
          <w:ilvl w:val="0"/>
          <w:numId w:val="1006"/>
        </w:numPr>
        <w:pStyle w:val="Compact"/>
      </w:pPr>
      <w:r>
        <w:t xml:space="preserve">https://www.autocarpro.in/news/honda-cars-india-fy24-revenues-jump-16-to-rs-16461-crore-on-record-exports-123331</w:t>
      </w:r>
    </w:p>
    <w:p>
      <w:pPr>
        <w:numPr>
          <w:ilvl w:val="0"/>
          <w:numId w:val="1006"/>
        </w:numPr>
        <w:pStyle w:val="Compact"/>
      </w:pPr>
      <w:r>
        <w:t xml:space="preserve">https://www.linkedin.com/posts/ketan-r-thakkar-9145793a_exports-cushion-honda-cars-indias-weak-domestic-activity-7381683962965831680-bhOI</w:t>
      </w:r>
    </w:p>
    <w:p>
      <w:pPr>
        <w:numPr>
          <w:ilvl w:val="0"/>
          <w:numId w:val="1006"/>
        </w:numPr>
        <w:pStyle w:val="Compact"/>
      </w:pPr>
      <w:r>
        <w:t xml:space="preserve">https://global.honda/en/investors/library/financialresult/main/08/teaserItems3/015/linkList/00/link/FYE202603_1Q_financial_presentation_e_2.pdf</w:t>
      </w:r>
    </w:p>
    <w:p>
      <w:pPr>
        <w:numPr>
          <w:ilvl w:val="0"/>
          <w:numId w:val="1006"/>
        </w:numPr>
        <w:pStyle w:val="Compact"/>
      </w:pPr>
      <w:r>
        <w:t xml:space="preserve">https://www.tofler.in/honda-cars-india-limited/company/U15114UP1995PLC099377</w:t>
      </w:r>
    </w:p>
    <w:p>
      <w:pPr>
        <w:numPr>
          <w:ilvl w:val="0"/>
          <w:numId w:val="1006"/>
        </w:numPr>
        <w:pStyle w:val="Compact"/>
      </w:pPr>
      <w:r>
        <w:t xml:space="preserve">https://www.thenewsminute.com/money/amidst-slowdown-honda-cars-india-floats-vrs-scheme-its-employees-et-report-117093</w:t>
      </w:r>
    </w:p>
    <w:p>
      <w:pPr>
        <w:numPr>
          <w:ilvl w:val="0"/>
          <w:numId w:val="1006"/>
        </w:numPr>
        <w:pStyle w:val="Compact"/>
      </w:pPr>
      <w:r>
        <w:t xml:space="preserve">https://www.hrkatha.com/news/honda-cars-india-closes-plant-1300-employees-take-vrs/</w:t>
      </w:r>
    </w:p>
    <w:p>
      <w:pPr>
        <w:numPr>
          <w:ilvl w:val="0"/>
          <w:numId w:val="1006"/>
        </w:numPr>
        <w:pStyle w:val="Compact"/>
      </w:pPr>
      <w:r>
        <w:t xml:space="preserve">https://www.reuters.com/business/autos-transportation/honda-q1-operating-profit-halves-tariffs-lifts-full-year-forecast-2025-08-06/</w:t>
      </w:r>
    </w:p>
    <w:p>
      <w:pPr>
        <w:numPr>
          <w:ilvl w:val="0"/>
          <w:numId w:val="1006"/>
        </w:numPr>
        <w:pStyle w:val="Compact"/>
      </w:pPr>
      <w:r>
        <w:t xml:space="preserve">https://global.honda/en/sustainability/integratedreport/pdf/Honda_Report_2025-en-all.pdf</w:t>
      </w:r>
    </w:p>
    <w:p>
      <w:pPr>
        <w:numPr>
          <w:ilvl w:val="0"/>
          <w:numId w:val="1006"/>
        </w:numPr>
        <w:pStyle w:val="Compact"/>
      </w:pPr>
      <w:r>
        <w:t xml:space="preserve">https://www.hondacarindia.com/press-release/achieves-total-sales-of-126151-units-in-fy-24-25</w:t>
      </w:r>
    </w:p>
    <w:p>
      <w:pPr>
        <w:numPr>
          <w:ilvl w:val="0"/>
          <w:numId w:val="1006"/>
        </w:numPr>
        <w:pStyle w:val="Compact"/>
      </w:pPr>
      <w:r>
        <w:t xml:space="preserve">https://www.hondacarindia.com/content/pdf/governance/notice2.pdf</w:t>
      </w:r>
    </w:p>
    <w:p>
      <w:pPr>
        <w:numPr>
          <w:ilvl w:val="0"/>
          <w:numId w:val="1006"/>
        </w:numPr>
        <w:pStyle w:val="Compact"/>
      </w:pPr>
      <w:r>
        <w:t xml:space="preserve">https://scanx.trade/stock-market-news/earnings/honda-india-power-products-reports-revenue-and-profit-decline-in-q2-fy26/24590117</w:t>
      </w:r>
    </w:p>
    <w:p>
      <w:pPr>
        <w:numPr>
          <w:ilvl w:val="0"/>
          <w:numId w:val="1006"/>
        </w:numPr>
        <w:pStyle w:val="Compact"/>
      </w:pPr>
      <w:r>
        <w:t xml:space="preserve">https://global.honda/en/investors/library/financialresult/main/0/teaserItems3/06/linkList/01/link/FY202403_4Q_financial_presentation_script_e_2.pdf</w:t>
      </w:r>
    </w:p>
    <w:p>
      <w:pPr>
        <w:numPr>
          <w:ilvl w:val="0"/>
          <w:numId w:val="1006"/>
        </w:numPr>
        <w:pStyle w:val="Compact"/>
      </w:pPr>
      <w:r>
        <w:t xml:space="preserve">https://www.scribd.com/document/693236769/Honda-India-annual-report</w:t>
      </w:r>
    </w:p>
    <w:p>
      <w:pPr>
        <w:numPr>
          <w:ilvl w:val="0"/>
          <w:numId w:val="1006"/>
        </w:numPr>
        <w:pStyle w:val="Compact"/>
      </w:pPr>
      <w:r>
        <w:t xml:space="preserve">https://www.hondaindiapower.com/admin/public/uploads/document/1i9l77Uis5.pdf</w:t>
      </w:r>
    </w:p>
    <w:p>
      <w:pPr>
        <w:numPr>
          <w:ilvl w:val="0"/>
          <w:numId w:val="1006"/>
        </w:numPr>
        <w:pStyle w:val="Compact"/>
      </w:pPr>
      <w:r>
        <w:t xml:space="preserve">https://www.honda.com.cn/uploads/upload/files/20250715/df9e67d04de6921b4267b4a520ee5d63.pdf</w:t>
      </w:r>
    </w:p>
    <w:p>
      <w:pPr>
        <w:numPr>
          <w:ilvl w:val="0"/>
          <w:numId w:val="1006"/>
        </w:numPr>
        <w:pStyle w:val="Compact"/>
      </w:pPr>
      <w:r>
        <w:t xml:space="preserve">https://www.hondaindiafoundation.org/uploads/csrreports/280120251123176321csrreport2324.pdf</w:t>
      </w:r>
    </w:p>
    <w:p>
      <w:pPr>
        <w:numPr>
          <w:ilvl w:val="0"/>
          <w:numId w:val="1006"/>
        </w:numPr>
        <w:pStyle w:val="Compact"/>
      </w:pPr>
      <w:r>
        <w:t xml:space="preserve">https://global.honda/en/sustainability/integratedreport/</w:t>
      </w:r>
    </w:p>
    <w:p>
      <w:pPr>
        <w:numPr>
          <w:ilvl w:val="0"/>
          <w:numId w:val="1006"/>
        </w:numPr>
        <w:pStyle w:val="Compact"/>
      </w:pPr>
      <w:r>
        <w:t xml:space="preserve">https://www.youtube.com/watch?v=6KIEpr4Wpqc</w:t>
      </w:r>
    </w:p>
    <w:p>
      <w:pPr>
        <w:numPr>
          <w:ilvl w:val="0"/>
          <w:numId w:val="1006"/>
        </w:numPr>
        <w:pStyle w:val="Compact"/>
      </w:pPr>
      <w:r>
        <w:t xml:space="preserve">https://www.facebook.com/thefinancialexpress/posts/hondas-indian-subsidiaries-showed-sharply-contrasting-financial-results-for-fy25/1244889087666681/</w:t>
      </w:r>
    </w:p>
    <w:p>
      <w:pPr>
        <w:numPr>
          <w:ilvl w:val="0"/>
          <w:numId w:val="1006"/>
        </w:numPr>
        <w:pStyle w:val="Compact"/>
      </w:pPr>
      <w:r>
        <w:t xml:space="preserve">https://global.honda/en/sustainability/integratedreport/pdf/Honda_Report_2024-en-all.pdf</w:t>
      </w:r>
    </w:p>
    <w:p>
      <w:pPr>
        <w:numPr>
          <w:ilvl w:val="0"/>
          <w:numId w:val="1006"/>
        </w:numPr>
        <w:pStyle w:val="Compact"/>
      </w:pPr>
      <w:r>
        <w:t xml:space="preserve">https://www.facebook.com/EconomicTimesAuto/posts/-indias-auto-sales-dip-51-in-q1-fy26-two-wheelers-and-passenger-cars-dragged-ove/1298864832249140/</w:t>
      </w:r>
    </w:p>
    <w:p>
      <w:pPr>
        <w:numPr>
          <w:ilvl w:val="0"/>
          <w:numId w:val="1006"/>
        </w:numPr>
        <w:pStyle w:val="Compact"/>
      </w:pPr>
      <w:r>
        <w:t xml:space="preserve">https://global.honda/en/investors/library/financialresult.html</w:t>
      </w:r>
    </w:p>
    <w:p>
      <w:pPr>
        <w:numPr>
          <w:ilvl w:val="0"/>
          <w:numId w:val="1006"/>
        </w:numPr>
        <w:pStyle w:val="Compact"/>
      </w:pPr>
      <w:r>
        <w:t xml:space="preserve">https://investors.bajajauto.com/employee-benefits-expense/</w:t>
      </w:r>
    </w:p>
    <w:p>
      <w:pPr>
        <w:numPr>
          <w:ilvl w:val="0"/>
          <w:numId w:val="1006"/>
        </w:numPr>
        <w:pStyle w:val="Compact"/>
      </w:pPr>
      <w:r>
        <w:t xml:space="preserve">https://www.facebook.com/BusinessToday/posts/markettoday-jupiter-wagons-q2-profit-slumps-49-yoy-income-slips-22-the-companys-/1296861659154876/</w:t>
      </w:r>
    </w:p>
    <w:p>
      <w:pPr>
        <w:numPr>
          <w:ilvl w:val="0"/>
          <w:numId w:val="1006"/>
        </w:numPr>
        <w:pStyle w:val="Compact"/>
      </w:pPr>
      <w:r>
        <w:t xml:space="preserve">https://forum.valuepickr.com/uploads/short-url/hl2ZaT9XjHWIXaZI6McivfRc3Y7.pdf</w:t>
      </w:r>
    </w:p>
    <w:p>
      <w:pPr>
        <w:numPr>
          <w:ilvl w:val="0"/>
          <w:numId w:val="1006"/>
        </w:numPr>
        <w:pStyle w:val="Compact"/>
      </w:pPr>
      <w:r>
        <w:t xml:space="preserve">https://investors.bajajauto.com/ar25/employee-benefits-2/</w:t>
      </w:r>
    </w:p>
    <w:p>
      <w:pPr>
        <w:numPr>
          <w:ilvl w:val="0"/>
          <w:numId w:val="1006"/>
        </w:numPr>
        <w:pStyle w:val="Compact"/>
      </w:pPr>
      <w:r>
        <w:t xml:space="preserve">https://investmentguruindia.com/editorial/uploads/news-pdf/182946b2_MSIL%20Q4FY25%20Result%20Update_Others.pdf</w:t>
      </w:r>
    </w:p>
    <w:p>
      <w:pPr>
        <w:numPr>
          <w:ilvl w:val="0"/>
          <w:numId w:val="1006"/>
        </w:numPr>
        <w:pStyle w:val="Compact"/>
      </w:pPr>
      <w:r>
        <w:t xml:space="preserve">https://www.anandgroupindia.com/wp-content/uploads/2024/12/FY25-Q2-Investors-meeting-presentation.pdf</w:t>
      </w:r>
    </w:p>
    <w:p>
      <w:pPr>
        <w:numPr>
          <w:ilvl w:val="0"/>
          <w:numId w:val="1006"/>
        </w:numPr>
        <w:pStyle w:val="Compact"/>
      </w:pPr>
      <w:r>
        <w:t xml:space="preserve">https://www.scribd.com/document/816641124/Annual-Report-FY-23-24</w:t>
      </w:r>
    </w:p>
    <w:p>
      <w:pPr>
        <w:numPr>
          <w:ilvl w:val="0"/>
          <w:numId w:val="1006"/>
        </w:numPr>
        <w:pStyle w:val="Compact"/>
      </w:pPr>
      <w:r>
        <w:t xml:space="preserve">https://research.emkayglobal.com/ResearchDownload.aspx?Pid=SmO37o8SEDk%3D&amp;fName=6DF6jcTsw9LkKHEtxHvHnfIdrV3ruKNqYoISzrxrcAXGRItboSBFYQ%3D%3D&amp;typ=APSSeVhmQ%2B8%3D</w:t>
      </w:r>
    </w:p>
    <w:p>
      <w:pPr>
        <w:numPr>
          <w:ilvl w:val="0"/>
          <w:numId w:val="1006"/>
        </w:numPr>
        <w:pStyle w:val="Compact"/>
      </w:pPr>
      <w:r>
        <w:t xml:space="preserve">https://assets.ashikagroup.com/Ashika%20Monthly%20Insight%20-%20March%202025.pdf</w:t>
      </w:r>
    </w:p>
    <w:p>
      <w:pPr>
        <w:numPr>
          <w:ilvl w:val="0"/>
          <w:numId w:val="1006"/>
        </w:numPr>
        <w:pStyle w:val="Compact"/>
      </w:pPr>
      <w:r>
        <w:t xml:space="preserve">https://www.inves21.com/market/corporateinformation/director-report/Hyundai-Motor-Ind</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