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989138d271f337d2880e762b1bdde7bd617bd1"/>
    <w:p>
      <w:pPr>
        <w:pStyle w:val="Heading1"/>
      </w:pPr>
      <w:r>
        <w:t xml:space="preserve">Employee Expense Analysis: Maruti Suzuki India vs. Competitors</w:t>
      </w:r>
    </w:p>
    <w:p>
      <w:pPr>
        <w:pStyle w:val="FirstParagraph"/>
      </w:pPr>
      <w:r>
        <w:rPr>
          <w:bCs/>
          <w:b/>
        </w:rPr>
        <w:t xml:space="preserve">Financial Year 2024-25 (FY25) &amp; FY 2025-26 Comparison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Maruti Suzuki India Limited (MSIL) reported standalone employee benefit expenses of</w:t>
      </w:r>
      <w:r>
        <w:t xml:space="preserve"> </w:t>
      </w:r>
      <w:r>
        <w:rPr>
          <w:bCs/>
          <w:b/>
        </w:rPr>
        <w:t xml:space="preserve">₹6,137 Crore</w:t>
      </w:r>
      <w:r>
        <w:t xml:space="preserve"> </w:t>
      </w:r>
      <w:r>
        <w:t xml:space="preserve">for FY25, reflecting a</w:t>
      </w:r>
      <w:r>
        <w:t xml:space="preserve"> </w:t>
      </w:r>
      <w:r>
        <w:rPr>
          <w:bCs/>
          <w:b/>
        </w:rPr>
        <w:t xml:space="preserve">12% YoY increase</w:t>
      </w:r>
      <w:r>
        <w:t xml:space="preserve">. This growth outpaced its revenue growth, driven by annual increments and capacity expansion.</w:t>
      </w:r>
    </w:p>
    <w:p>
      <w:pPr>
        <w:pStyle w:val="BodyText"/>
      </w:pPr>
      <w:r>
        <w:t xml:space="preserve">In comparison, competitors like Hyundai and Tata Motors (PV) operate with lower absolute employee costs in their specific passenger vehicle entities, though they are seeing steeper percentage increases (17% for Hyundai) due to aggressive scaling in the EV and SUV segments.</w:t>
      </w:r>
    </w:p>
    <w:p>
      <w:pPr>
        <w:pStyle w:val="BodyText"/>
      </w:pPr>
      <w:r>
        <w:t xml:space="preserve">Mahindra &amp; Mahindra’s significantly higher standalone employee cost (₹11,126 Cr) reflects its larger conglomerate structure (Auto + Farm Equipment) within the standalone entity.</w:t>
      </w:r>
    </w:p>
    <w:p>
      <w:r>
        <w:pict>
          <v:rect style="width:0;height:1.5pt" o:hralign="center" o:hrstd="t" o:hr="t"/>
        </w:pict>
      </w:r>
    </w:p>
    <w:bookmarkEnd w:id="20"/>
    <w:bookmarkStart w:id="21" w:name="Xc3abc21a08ea012c3361205f8f4efa333cf0e49"/>
    <w:p>
      <w:pPr>
        <w:pStyle w:val="Heading2"/>
      </w:pPr>
      <w:r>
        <w:t xml:space="preserve">1. Comparative Employee Expense Summary (FY 2024-25)</w:t>
      </w:r>
    </w:p>
    <w:p>
      <w:pPr>
        <w:pStyle w:val="FirstParagraph"/>
      </w:pPr>
      <w:r>
        <w:t xml:space="preserve">The following table compares annual employee benefit expenses across major automotive manufacturers. Note that for unlisted entities (Honda, Nissan), exact proprietary figures are not disclosed in public filings.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FY25 Employee Expense (₹ 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 (Approx.)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Expense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Maruti Suzuki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6,137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inflation, headcount for new plants, higher variable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Mahindra &amp; Mahindra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Farm Sector &amp; Auto. One-time ESOP costs in FY26 driving recent spikes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Tata Motors (PV)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4,513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for EV division (TPEM) and software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Hyundai India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2,311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% growth among peers. Strategic hiring for capacity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Honda Cars India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cost control; lean workforce maintained for export-led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Nissan India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Volatile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from global restructuring (job cuts) vs. overtime for high export volumes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M&amp;M figure is for the Standalone entity which includes both Automotive and Farm Equipment Sectors, making the absolute base higher than pure-play passenger vehicle peers.</w:t>
      </w:r>
    </w:p>
    <w:p>
      <w:r>
        <w:pict>
          <v:rect style="width:0;height:1.5pt" o:hralign="center" o:hrstd="t" o:hr="t"/>
        </w:pict>
      </w:r>
    </w:p>
    <w:bookmarkEnd w:id="21"/>
    <w:bookmarkStart w:id="27" w:name="X317c179eb9cc6b257bfc5d4e1fd7b9448eb54e0"/>
    <w:p>
      <w:pPr>
        <w:pStyle w:val="Heading2"/>
      </w:pPr>
      <w:r>
        <w:t xml:space="preserve">2. Detailed Competitor Analysis</w:t>
      </w:r>
    </w:p>
    <w:bookmarkStart w:id="22" w:name="X9e6486c9dc40ecd2ac20eb685c34235dfa9203c"/>
    <w:p>
      <w:pPr>
        <w:pStyle w:val="Heading3"/>
      </w:pPr>
      <w:r>
        <w:t xml:space="preserve">Maruti Suzuki India Limited (The Benchmark)</w:t>
      </w:r>
    </w:p>
    <w:p>
      <w:pPr>
        <w:pStyle w:val="FirstParagraph"/>
      </w:pPr>
      <w:r>
        <w:rPr>
          <w:bCs/>
          <w:b/>
        </w:rPr>
        <w:t xml:space="preserve">FY25 Performance:</w:t>
      </w:r>
      <w:r>
        <w:t xml:space="preserve"> </w:t>
      </w:r>
      <w:r>
        <w:t xml:space="preserve">Employee expenses stood at</w:t>
      </w:r>
      <w:r>
        <w:t xml:space="preserve"> </w:t>
      </w:r>
      <w:r>
        <w:rPr>
          <w:bCs/>
          <w:b/>
        </w:rPr>
        <w:t xml:space="preserve">₹6,137 Crore</w:t>
      </w:r>
      <w:r>
        <w:t xml:space="preserve">, up from ₹5,478 Crore in FY24.</w:t>
      </w:r>
    </w:p>
    <w:p>
      <w:pPr>
        <w:pStyle w:val="BodyText"/>
      </w:pPr>
      <w:r>
        <w:rPr>
          <w:bCs/>
          <w:b/>
        </w:rPr>
        <w:t xml:space="preserve">Current Trend (FY26):</w:t>
      </w:r>
      <w:r>
        <w:t xml:space="preserve"> </w:t>
      </w:r>
      <w:r>
        <w:t xml:space="preserve">In Q2 FY26, employee costs reached</w:t>
      </w:r>
      <w:r>
        <w:t xml:space="preserve"> </w:t>
      </w:r>
      <w:r>
        <w:rPr>
          <w:bCs/>
          <w:b/>
        </w:rPr>
        <w:t xml:space="preserve">₹2,052 Crore</w:t>
      </w:r>
      <w:r>
        <w:t xml:space="preserve"> </w:t>
      </w:r>
      <w:r>
        <w:t xml:space="preserve">(up 22% YoY). Despite this sharp rise, costs remained flat sequentially (QoQ), indicating improved productivity and operational leverage.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While staff costs are rising faster than revenue, they remain a small fraction (4.5%) of total expenses, ensuring they do not severely impact operating margins.</w:t>
      </w:r>
    </w:p>
    <w:p>
      <w:r>
        <w:pict>
          <v:rect style="width:0;height:1.5pt" o:hralign="center" o:hrstd="t" o:hr="t"/>
        </w:pict>
      </w:r>
    </w:p>
    <w:bookmarkEnd w:id="22"/>
    <w:bookmarkStart w:id="23" w:name="hyundai-motor-india"/>
    <w:p>
      <w:pPr>
        <w:pStyle w:val="Heading3"/>
      </w:pPr>
      <w:r>
        <w:t xml:space="preserve">Hyundai Motor India</w:t>
      </w:r>
    </w:p>
    <w:p>
      <w:pPr>
        <w:pStyle w:val="FirstParagraph"/>
      </w:pPr>
      <w:r>
        <w:rPr>
          <w:bCs/>
          <w:b/>
        </w:rPr>
        <w:t xml:space="preserve">FY25 Performance:</w:t>
      </w:r>
      <w:r>
        <w:t xml:space="preserve"> </w:t>
      </w:r>
      <w:r>
        <w:t xml:space="preserve">Consolidated employee expenses were</w:t>
      </w:r>
      <w:r>
        <w:t xml:space="preserve"> </w:t>
      </w:r>
      <w:r>
        <w:rPr>
          <w:bCs/>
          <w:b/>
        </w:rPr>
        <w:t xml:space="preserve">₹2,311 Crore</w:t>
      </w:r>
      <w:r>
        <w:t xml:space="preserve"> </w:t>
      </w:r>
      <w:r>
        <w:t xml:space="preserve">(₹23,112 Million), a sharp</w:t>
      </w:r>
      <w:r>
        <w:t xml:space="preserve"> </w:t>
      </w:r>
      <w:r>
        <w:rPr>
          <w:bCs/>
          <w:b/>
        </w:rPr>
        <w:t xml:space="preserve">17% increase</w:t>
      </w:r>
      <w:r>
        <w:t xml:space="preserve"> </w:t>
      </w:r>
      <w:r>
        <w:t xml:space="preserve">YoY.</w:t>
      </w:r>
    </w:p>
    <w:p>
      <w:pPr>
        <w:pStyle w:val="BodyText"/>
      </w:pPr>
      <w:r>
        <w:rPr>
          <w:bCs/>
          <w:b/>
        </w:rPr>
        <w:t xml:space="preserve">Current Trend (FY26):</w:t>
      </w:r>
      <w:r>
        <w:t xml:space="preserve"> </w:t>
      </w:r>
      <w:r>
        <w:t xml:space="preserve">For H1 FY26, expenses were</w:t>
      </w:r>
      <w:r>
        <w:t xml:space="preserve"> </w:t>
      </w:r>
      <w:r>
        <w:rPr>
          <w:bCs/>
          <w:b/>
        </w:rPr>
        <w:t xml:space="preserve">₹1,242 Crore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Hyundai’s 17% cost hike was the steepest among peers, attributed to</w:t>
      </w:r>
      <w:r>
        <w:t xml:space="preserve"> </w:t>
      </w:r>
      <w:r>
        <w:t xml:space="preserve">“</w:t>
      </w:r>
      <w:r>
        <w:t xml:space="preserve">Quality of Growth</w:t>
      </w:r>
      <w:r>
        <w:t xml:space="preserve">”</w:t>
      </w:r>
      <w:r>
        <w:t xml:space="preserve"> </w:t>
      </w:r>
      <w:r>
        <w:t xml:space="preserve">strategies—hiring skilled talent for advanced manufacturing and R&amp;D to support their premiumization push. Despite this, their employee cost-to-income ratio (3.3%) remains the most efficient in this peer group.</w:t>
      </w:r>
    </w:p>
    <w:p>
      <w:r>
        <w:pict>
          <v:rect style="width:0;height:1.5pt" o:hralign="center" o:hrstd="t" o:hr="t"/>
        </w:pict>
      </w:r>
    </w:p>
    <w:bookmarkEnd w:id="23"/>
    <w:bookmarkStart w:id="24" w:name="tata-motors-passenger-vehicles"/>
    <w:p>
      <w:pPr>
        <w:pStyle w:val="Heading3"/>
      </w:pPr>
      <w:r>
        <w:t xml:space="preserve">Tata Motors (Passenger Vehicles)</w:t>
      </w:r>
    </w:p>
    <w:p>
      <w:pPr>
        <w:pStyle w:val="FirstParagraph"/>
      </w:pPr>
      <w:r>
        <w:rPr>
          <w:bCs/>
          <w:b/>
        </w:rPr>
        <w:t xml:space="preserve">FY25 Performance:</w:t>
      </w:r>
      <w:r>
        <w:t xml:space="preserve"> </w:t>
      </w:r>
      <w:r>
        <w:t xml:space="preserve">The PV business incurred</w:t>
      </w:r>
      <w:r>
        <w:t xml:space="preserve"> </w:t>
      </w:r>
      <w:r>
        <w:rPr>
          <w:bCs/>
          <w:b/>
        </w:rPr>
        <w:t xml:space="preserve">₹4,513 Crore</w:t>
      </w:r>
      <w:r>
        <w:t xml:space="preserve"> </w:t>
      </w:r>
      <w:r>
        <w:t xml:space="preserve">in employee costs, a controlled</w:t>
      </w:r>
      <w:r>
        <w:t xml:space="preserve"> </w:t>
      </w:r>
      <w:r>
        <w:rPr>
          <w:bCs/>
          <w:b/>
        </w:rPr>
        <w:t xml:space="preserve">5% increase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Current Trend (FY26):</w:t>
      </w:r>
      <w:r>
        <w:t xml:space="preserve"> </w:t>
      </w:r>
      <w:r>
        <w:t xml:space="preserve">Q2 FY26 expenses were stable at</w:t>
      </w:r>
      <w:r>
        <w:t xml:space="preserve"> </w:t>
      </w:r>
      <w:r>
        <w:rPr>
          <w:bCs/>
          <w:b/>
        </w:rPr>
        <w:t xml:space="preserve">₹1,447 Crore</w:t>
      </w:r>
      <w:r>
        <w:t xml:space="preserve"> </w:t>
      </w:r>
      <w:r>
        <w:t xml:space="preserve">(~10.7% of revenue).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Unlike Maruti’s broad-based increases, Tata’s cost growth is targeted—primarily for its EV subsidiary (TPEM) and software capabilities. The relatively high cost-to-revenue ratio (10.7%) in Q2 reflects the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 </w:t>
      </w:r>
      <w:r>
        <w:t xml:space="preserve">nature of these costs against fluctuating quarterly sales volumes.</w:t>
      </w:r>
    </w:p>
    <w:p>
      <w:r>
        <w:pict>
          <v:rect style="width:0;height:1.5pt" o:hralign="center" o:hrstd="t" o:hr="t"/>
        </w:pict>
      </w:r>
    </w:p>
    <w:bookmarkEnd w:id="24"/>
    <w:bookmarkStart w:id="25" w:name="mahindra--mahindra-standalone"/>
    <w:p>
      <w:pPr>
        <w:pStyle w:val="Heading3"/>
      </w:pPr>
      <w:r>
        <w:t xml:space="preserve">Mahindra &amp; Mahindra (Standalone)</w:t>
      </w:r>
    </w:p>
    <w:p>
      <w:pPr>
        <w:pStyle w:val="FirstParagraph"/>
      </w:pPr>
      <w:r>
        <w:rPr>
          <w:bCs/>
          <w:b/>
        </w:rPr>
        <w:t xml:space="preserve">FY25 Performance:</w:t>
      </w:r>
      <w:r>
        <w:t xml:space="preserve"> </w:t>
      </w:r>
      <w:r>
        <w:t xml:space="preserve">Reported the highest absolute employee expense at</w:t>
      </w:r>
      <w:r>
        <w:t xml:space="preserve"> </w:t>
      </w:r>
      <w:r>
        <w:rPr>
          <w:bCs/>
          <w:b/>
        </w:rPr>
        <w:t xml:space="preserve">₹11,126 Crore</w:t>
      </w:r>
      <w:r>
        <w:t xml:space="preserve"> </w:t>
      </w:r>
      <w:r>
        <w:t xml:space="preserve">due to its dual operational heavy lifting (SUVs + Tractors).</w:t>
      </w:r>
    </w:p>
    <w:p>
      <w:pPr>
        <w:pStyle w:val="BodyText"/>
      </w:pPr>
      <w:r>
        <w:rPr>
          <w:bCs/>
          <w:b/>
        </w:rPr>
        <w:t xml:space="preserve">Current Trend (FY26):</w:t>
      </w:r>
      <w:r>
        <w:t xml:space="preserve"> </w:t>
      </w:r>
      <w:r>
        <w:t xml:space="preserve">Costs surged to</w:t>
      </w:r>
      <w:r>
        <w:t xml:space="preserve"> </w:t>
      </w:r>
      <w:r>
        <w:rPr>
          <w:bCs/>
          <w:b/>
        </w:rPr>
        <w:t xml:space="preserve">₹3,112 Crore</w:t>
      </w:r>
      <w:r>
        <w:t xml:space="preserve"> </w:t>
      </w:r>
      <w:r>
        <w:t xml:space="preserve">in Q2 FY26 alone (up 17% YoY).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A significant portion of the recent increase is</w:t>
      </w:r>
      <w:r>
        <w:t xml:space="preserve"> </w:t>
      </w:r>
      <w:r>
        <w:t xml:space="preserve">“</w:t>
      </w:r>
      <w:r>
        <w:t xml:space="preserve">non-cash</w:t>
      </w:r>
      <w:r>
        <w:t xml:space="preserve">”</w:t>
      </w:r>
      <w:r>
        <w:t xml:space="preserve"> </w:t>
      </w:r>
      <w:r>
        <w:t xml:space="preserve">due to a massive</w:t>
      </w:r>
      <w:r>
        <w:t xml:space="preserve"> </w:t>
      </w:r>
      <w:r>
        <w:rPr>
          <w:bCs/>
          <w:b/>
        </w:rPr>
        <w:t xml:space="preserve">ESOP (Employee Stock Option Plan)</w:t>
      </w:r>
      <w:r>
        <w:t xml:space="preserve"> </w:t>
      </w:r>
      <w:r>
        <w:t xml:space="preserve">covering ~12,000–14,000 employees. This aligns with their aggressive product launch pipeline for FY26-27.</w:t>
      </w:r>
    </w:p>
    <w:p>
      <w:r>
        <w:pict>
          <v:rect style="width:0;height:1.5pt" o:hralign="center" o:hrstd="t" o:hr="t"/>
        </w:pict>
      </w:r>
    </w:p>
    <w:bookmarkEnd w:id="25"/>
    <w:bookmarkStart w:id="26" w:name="unlisted-peers-honda--nissan"/>
    <w:p>
      <w:pPr>
        <w:pStyle w:val="Heading3"/>
      </w:pPr>
      <w:r>
        <w:t xml:space="preserve">Unlisted Peers: Honda &amp; Nissan</w:t>
      </w:r>
    </w:p>
    <w:p>
      <w:pPr>
        <w:pStyle w:val="FirstParagraph"/>
      </w:pPr>
      <w:r>
        <w:rPr>
          <w:bCs/>
          <w:b/>
        </w:rPr>
        <w:t xml:space="preserve">Honda Cars India:</w:t>
      </w:r>
      <w:r>
        <w:t xml:space="preserve"> </w:t>
      </w:r>
      <w:r>
        <w:t xml:space="preserve">Being unlisted, specific line items are not public. However, FY24-25 reports indicate a strategy of</w:t>
      </w:r>
      <w:r>
        <w:t xml:space="preserve"> </w:t>
      </w:r>
      <w:r>
        <w:t xml:space="preserve">“</w:t>
      </w:r>
      <w:r>
        <w:t xml:space="preserve">strict cost control.</w:t>
      </w:r>
      <w:r>
        <w:t xml:space="preserve">”</w:t>
      </w:r>
      <w:r>
        <w:t xml:space="preserve"> </w:t>
      </w:r>
      <w:r>
        <w:t xml:space="preserve">With domestic volumes hitting historic lows, the company has avoided mass hiring, relying instead on a leaner workforce to support its profitable export hub operations.</w:t>
      </w:r>
    </w:p>
    <w:p>
      <w:pPr>
        <w:pStyle w:val="BodyText"/>
      </w:pPr>
      <w:r>
        <w:rPr>
          <w:bCs/>
          <w:b/>
        </w:rPr>
        <w:t xml:space="preserve">Nissan Motor India:</w:t>
      </w:r>
      <w:r>
        <w:t xml:space="preserve"> </w:t>
      </w:r>
      <w:r>
        <w:t xml:space="preserve">The company is in a unique position of tension. While it achieved its</w:t>
      </w:r>
      <w:r>
        <w:t xml:space="preserve"> </w:t>
      </w:r>
      <w:r>
        <w:t xml:space="preserve">“</w:t>
      </w:r>
      <w:r>
        <w:t xml:space="preserve">highest annual sales in 7 years</w:t>
      </w:r>
      <w:r>
        <w:t xml:space="preserve">”</w:t>
      </w:r>
      <w:r>
        <w:t xml:space="preserve"> </w:t>
      </w:r>
      <w:r>
        <w:t xml:space="preserve">(driven by exports), it is simultaneously under pressure from a global mandate to cut costs. The</w:t>
      </w:r>
      <w:r>
        <w:t xml:space="preserve"> </w:t>
      </w:r>
      <w:r>
        <w:t xml:space="preserve">“</w:t>
      </w:r>
      <w:r>
        <w:t xml:space="preserve">Nissan Global</w:t>
      </w:r>
      <w:r>
        <w:t xml:space="preserve">”</w:t>
      </w:r>
      <w:r>
        <w:t xml:space="preserve"> </w:t>
      </w:r>
      <w:r>
        <w:t xml:space="preserve">restructuring plan (cutting 9,000+ jobs worldwide) has led to workforce rationalization in its Indian R&amp;D centers, even as manufacturing staff see higher overtime pay due to production spikes.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2d544838f1e2f8cb5e81443d804cd349ba37eb7"/>
    <w:p>
      <w:pPr>
        <w:pStyle w:val="Heading2"/>
      </w:pPr>
      <w:r>
        <w:t xml:space="preserve">3. Conclusion</w:t>
      </w:r>
    </w:p>
    <w:p>
      <w:pPr>
        <w:pStyle w:val="FirstParagraph"/>
      </w:pPr>
      <w:r>
        <w:t xml:space="preserve">Maruti Suzuki’s employee cost structure remains highly competitive but is trending upwards (~12% growth) as it scales for new capacity.</w:t>
      </w:r>
    </w:p>
    <w:p>
      <w:pPr>
        <w:pStyle w:val="BodyText"/>
      </w:pPr>
      <w:r>
        <w:rPr>
          <w:bCs/>
          <w:b/>
        </w:rPr>
        <w:t xml:space="preserve">Key Findings: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Hyundai</w:t>
      </w:r>
      <w:r>
        <w:t xml:space="preserve"> </w:t>
      </w:r>
      <w:r>
        <w:t xml:space="preserve">is in an aggressive expansion phase with 17% cost growth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Tata Motors</w:t>
      </w:r>
      <w:r>
        <w:t xml:space="preserve"> </w:t>
      </w:r>
      <w:r>
        <w:t xml:space="preserve">is stabilizing costs after its initial EV push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Mahindra’s</w:t>
      </w:r>
      <w:r>
        <w:t xml:space="preserve"> </w:t>
      </w:r>
      <w:r>
        <w:t xml:space="preserve">figures are skewed by its conglomerate size and one-time stock-based compensation</w:t>
      </w:r>
    </w:p>
    <w:p>
      <w:pPr>
        <w:numPr>
          <w:ilvl w:val="0"/>
          <w:numId w:val="1001"/>
        </w:numPr>
        <w:pStyle w:val="Compact"/>
      </w:pPr>
      <w:r>
        <w:t xml:space="preserve">Both</w:t>
      </w:r>
      <w:r>
        <w:t xml:space="preserve"> </w:t>
      </w:r>
      <w:r>
        <w:rPr>
          <w:bCs/>
          <w:b/>
        </w:rPr>
        <w:t xml:space="preserve">Honda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Nissan</w:t>
      </w:r>
      <w:r>
        <w:t xml:space="preserve"> </w:t>
      </w:r>
      <w:r>
        <w:t xml:space="preserve">are currently prioritizing cost containment over workforce expansion</w:t>
      </w:r>
    </w:p>
    <w:p>
      <w:pPr>
        <w:pStyle w:val="FirstParagraph"/>
      </w:pPr>
      <w:r>
        <w:t xml:space="preserve">Despite the upward trend, Maruti Suzuki maintains a favorable cost-to-revenue ratio at 4.5%, indicating efficient workforce management while scaling operations.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