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521" w:rsidRDefault="002A1521">
      <w:pPr>
        <w:rPr>
          <w:rFonts w:ascii="Arial" w:eastAsia="Times New Roman" w:hAnsi="Arial" w:cs="Arial"/>
          <w:b/>
          <w:bCs/>
          <w:color w:val="000000"/>
          <w:sz w:val="18"/>
          <w:szCs w:val="18"/>
          <w:bdr w:val="none" w:sz="0" w:space="0" w:color="auto" w:frame="1"/>
          <w:lang w:eastAsia="en-NZ"/>
        </w:rPr>
      </w:pPr>
      <w:r>
        <w:rPr>
          <w:rFonts w:ascii="Arial" w:eastAsia="Times New Roman" w:hAnsi="Arial" w:cs="Arial"/>
          <w:b/>
          <w:bCs/>
          <w:color w:val="000000"/>
          <w:sz w:val="18"/>
          <w:szCs w:val="18"/>
          <w:bdr w:val="none" w:sz="0" w:space="0" w:color="auto" w:frame="1"/>
          <w:lang w:eastAsia="en-NZ"/>
        </w:rPr>
        <w:t>Abstract</w:t>
      </w:r>
    </w:p>
    <w:p w:rsid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 xml:space="preserve">Background </w:t>
      </w:r>
    </w:p>
    <w:p w:rsidR="002A1521" w:rsidRP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As the maker movement is increasingly adopted into K-12 schools, students</w:t>
      </w:r>
    </w:p>
    <w:p w:rsidR="002A1521" w:rsidRDefault="002A1521" w:rsidP="002A1521">
      <w:pPr>
        <w:pStyle w:val="NoSpacing"/>
        <w:rPr>
          <w:rFonts w:ascii="Arial" w:hAnsi="Arial" w:cs="Arial"/>
          <w:sz w:val="24"/>
          <w:szCs w:val="24"/>
          <w:bdr w:val="none" w:sz="0" w:space="0" w:color="auto" w:frame="1"/>
          <w:lang w:eastAsia="en-NZ"/>
        </w:rPr>
      </w:pPr>
      <w:proofErr w:type="gramStart"/>
      <w:r w:rsidRPr="002A1521">
        <w:rPr>
          <w:rFonts w:ascii="Arial" w:hAnsi="Arial" w:cs="Arial"/>
          <w:sz w:val="24"/>
          <w:szCs w:val="24"/>
          <w:bdr w:val="none" w:sz="0" w:space="0" w:color="auto" w:frame="1"/>
          <w:lang w:eastAsia="en-NZ"/>
        </w:rPr>
        <w:t>are</w:t>
      </w:r>
      <w:proofErr w:type="gramEnd"/>
      <w:r w:rsidRPr="002A1521">
        <w:rPr>
          <w:rFonts w:ascii="Arial" w:hAnsi="Arial" w:cs="Arial"/>
          <w:sz w:val="24"/>
          <w:szCs w:val="24"/>
          <w:bdr w:val="none" w:sz="0" w:space="0" w:color="auto" w:frame="1"/>
          <w:lang w:eastAsia="en-NZ"/>
        </w:rPr>
        <w:t xml:space="preserve"> developing new competences in exploration and fabrication technologies. This study</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 xml:space="preserve">assesses learning with these technologies in K-12 makerspaces and </w:t>
      </w:r>
      <w:proofErr w:type="spellStart"/>
      <w:r w:rsidRPr="002A1521">
        <w:rPr>
          <w:rFonts w:ascii="Arial" w:hAnsi="Arial" w:cs="Arial"/>
          <w:sz w:val="24"/>
          <w:szCs w:val="24"/>
          <w:bdr w:val="none" w:sz="0" w:space="0" w:color="auto" w:frame="1"/>
          <w:lang w:eastAsia="en-NZ"/>
        </w:rPr>
        <w:t>FabLabs</w:t>
      </w:r>
      <w:proofErr w:type="spellEnd"/>
      <w:r w:rsidRPr="002A1521">
        <w:rPr>
          <w:rFonts w:ascii="Arial" w:hAnsi="Arial" w:cs="Arial"/>
          <w:sz w:val="24"/>
          <w:szCs w:val="24"/>
          <w:bdr w:val="none" w:sz="0" w:space="0" w:color="auto" w:frame="1"/>
          <w:lang w:eastAsia="en-NZ"/>
        </w:rPr>
        <w:t>.</w:t>
      </w:r>
    </w:p>
    <w:p w:rsidR="002A1521" w:rsidRPr="002A1521" w:rsidRDefault="002A1521" w:rsidP="002A1521">
      <w:pPr>
        <w:pStyle w:val="NoSpacing"/>
        <w:rPr>
          <w:rFonts w:ascii="Arial" w:hAnsi="Arial" w:cs="Arial"/>
          <w:sz w:val="24"/>
          <w:szCs w:val="24"/>
          <w:bdr w:val="none" w:sz="0" w:space="0" w:color="auto" w:frame="1"/>
          <w:lang w:eastAsia="en-NZ"/>
        </w:rPr>
      </w:pPr>
    </w:p>
    <w:p w:rsid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 xml:space="preserve">Purpose </w:t>
      </w:r>
    </w:p>
    <w:p w:rsidR="002A1521" w:rsidRP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Our study describes the iterative process of developing an assessment instrument</w:t>
      </w:r>
    </w:p>
    <w:p w:rsidR="002A1521" w:rsidRDefault="002A1521" w:rsidP="002A1521">
      <w:pPr>
        <w:pStyle w:val="NoSpacing"/>
        <w:rPr>
          <w:rFonts w:ascii="Arial" w:hAnsi="Arial" w:cs="Arial"/>
          <w:sz w:val="24"/>
          <w:szCs w:val="24"/>
          <w:bdr w:val="none" w:sz="0" w:space="0" w:color="auto" w:frame="1"/>
          <w:lang w:eastAsia="en-NZ"/>
        </w:rPr>
      </w:pPr>
      <w:proofErr w:type="gramStart"/>
      <w:r w:rsidRPr="002A1521">
        <w:rPr>
          <w:rFonts w:ascii="Arial" w:hAnsi="Arial" w:cs="Arial"/>
          <w:sz w:val="24"/>
          <w:szCs w:val="24"/>
          <w:bdr w:val="none" w:sz="0" w:space="0" w:color="auto" w:frame="1"/>
          <w:lang w:eastAsia="en-NZ"/>
        </w:rPr>
        <w:t>for</w:t>
      </w:r>
      <w:proofErr w:type="gramEnd"/>
      <w:r w:rsidRPr="002A1521">
        <w:rPr>
          <w:rFonts w:ascii="Arial" w:hAnsi="Arial" w:cs="Arial"/>
          <w:sz w:val="24"/>
          <w:szCs w:val="24"/>
          <w:bdr w:val="none" w:sz="0" w:space="0" w:color="auto" w:frame="1"/>
          <w:lang w:eastAsia="en-NZ"/>
        </w:rPr>
        <w:t xml:space="preserve"> this new technological literacy, the Exploration and Fabrication Technologies Instrument,</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and presents findings from implementations at five schools in three countries. Our</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index is generalizable and psychometrically sound, and permits comparison between student</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confidence and performance.</w:t>
      </w:r>
    </w:p>
    <w:p w:rsidR="002A1521" w:rsidRPr="002A1521" w:rsidRDefault="002A1521" w:rsidP="002A1521">
      <w:pPr>
        <w:pStyle w:val="NoSpacing"/>
        <w:rPr>
          <w:rFonts w:ascii="Arial" w:hAnsi="Arial" w:cs="Arial"/>
          <w:sz w:val="24"/>
          <w:szCs w:val="24"/>
          <w:bdr w:val="none" w:sz="0" w:space="0" w:color="auto" w:frame="1"/>
          <w:lang w:eastAsia="en-NZ"/>
        </w:rPr>
      </w:pPr>
    </w:p>
    <w:p w:rsid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 xml:space="preserve">Design/Method </w:t>
      </w:r>
      <w:proofErr w:type="gramStart"/>
      <w:r w:rsidRPr="002A1521">
        <w:rPr>
          <w:rFonts w:ascii="Arial" w:hAnsi="Arial" w:cs="Arial"/>
          <w:sz w:val="24"/>
          <w:szCs w:val="24"/>
          <w:bdr w:val="none" w:sz="0" w:space="0" w:color="auto" w:frame="1"/>
          <w:lang w:eastAsia="en-NZ"/>
        </w:rPr>
        <w:t>Our</w:t>
      </w:r>
      <w:proofErr w:type="gramEnd"/>
      <w:r w:rsidRPr="002A1521">
        <w:rPr>
          <w:rFonts w:ascii="Arial" w:hAnsi="Arial" w:cs="Arial"/>
          <w:sz w:val="24"/>
          <w:szCs w:val="24"/>
          <w:bdr w:val="none" w:sz="0" w:space="0" w:color="auto" w:frame="1"/>
          <w:lang w:eastAsia="en-NZ"/>
        </w:rPr>
        <w:t xml:space="preserve"> evaluation of distinct technology skills separates general computing,</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information and communication technology (ICT), and exploration and fabrication technologies</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 xml:space="preserve">(EFTs) into </w:t>
      </w:r>
      <w:proofErr w:type="spellStart"/>
      <w:r w:rsidRPr="002A1521">
        <w:rPr>
          <w:rFonts w:ascii="Arial" w:hAnsi="Arial" w:cs="Arial"/>
          <w:sz w:val="24"/>
          <w:szCs w:val="24"/>
          <w:bdr w:val="none" w:sz="0" w:space="0" w:color="auto" w:frame="1"/>
          <w:lang w:eastAsia="en-NZ"/>
        </w:rPr>
        <w:t>nonoverlapping</w:t>
      </w:r>
      <w:proofErr w:type="spellEnd"/>
      <w:r w:rsidRPr="002A1521">
        <w:rPr>
          <w:rFonts w:ascii="Arial" w:hAnsi="Arial" w:cs="Arial"/>
          <w:sz w:val="24"/>
          <w:szCs w:val="24"/>
          <w:bdr w:val="none" w:sz="0" w:space="0" w:color="auto" w:frame="1"/>
          <w:lang w:eastAsia="en-NZ"/>
        </w:rPr>
        <w:t xml:space="preserve"> areas of technological expertise required to perform their</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respective sets of tasks. The instrument also tracks student confidence in EFT skills and</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assesses how that confidence relates to actual task performance.</w:t>
      </w:r>
    </w:p>
    <w:p w:rsidR="002A1521" w:rsidRPr="002A1521" w:rsidRDefault="002A1521" w:rsidP="002A1521">
      <w:pPr>
        <w:pStyle w:val="NoSpacing"/>
        <w:rPr>
          <w:rFonts w:ascii="Arial" w:hAnsi="Arial" w:cs="Arial"/>
          <w:sz w:val="24"/>
          <w:szCs w:val="24"/>
          <w:bdr w:val="none" w:sz="0" w:space="0" w:color="auto" w:frame="1"/>
          <w:lang w:eastAsia="en-NZ"/>
        </w:rPr>
      </w:pPr>
    </w:p>
    <w:p w:rsid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 xml:space="preserve">Results </w:t>
      </w:r>
    </w:p>
    <w:p w:rsid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Exploration and fabrication technologies constitute a new and distinct set of technology</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 xml:space="preserve">literacies arising from fabrication settings. The EFT instrument compares students’ </w:t>
      </w:r>
      <w:proofErr w:type="spellStart"/>
      <w:r w:rsidRPr="002A1521">
        <w:rPr>
          <w:rFonts w:ascii="Arial" w:hAnsi="Arial" w:cs="Arial"/>
          <w:sz w:val="24"/>
          <w:szCs w:val="24"/>
          <w:bdr w:val="none" w:sz="0" w:space="0" w:color="auto" w:frame="1"/>
          <w:lang w:eastAsia="en-NZ"/>
        </w:rPr>
        <w:t>selfreported</w:t>
      </w:r>
      <w:proofErr w:type="spellEnd"/>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 xml:space="preserve">confidence with their performance on complex design tasks and demonstrates </w:t>
      </w:r>
      <w:proofErr w:type="spellStart"/>
      <w:r w:rsidRPr="002A1521">
        <w:rPr>
          <w:rFonts w:ascii="Arial" w:hAnsi="Arial" w:cs="Arial"/>
          <w:sz w:val="24"/>
          <w:szCs w:val="24"/>
          <w:bdr w:val="none" w:sz="0" w:space="0" w:color="auto" w:frame="1"/>
          <w:lang w:eastAsia="en-NZ"/>
        </w:rPr>
        <w:t>that</w:t>
      </w:r>
      <w:proofErr w:type="gramStart"/>
      <w:r w:rsidRPr="002A1521">
        <w:rPr>
          <w:rFonts w:ascii="Arial" w:hAnsi="Arial" w:cs="Arial"/>
          <w:sz w:val="24"/>
          <w:szCs w:val="24"/>
          <w:bdr w:val="none" w:sz="0" w:space="0" w:color="auto" w:frame="1"/>
          <w:lang w:eastAsia="en-NZ"/>
        </w:rPr>
        <w:t>,for</w:t>
      </w:r>
      <w:proofErr w:type="spellEnd"/>
      <w:proofErr w:type="gramEnd"/>
      <w:r w:rsidRPr="002A1521">
        <w:rPr>
          <w:rFonts w:ascii="Arial" w:hAnsi="Arial" w:cs="Arial"/>
          <w:sz w:val="24"/>
          <w:szCs w:val="24"/>
          <w:bdr w:val="none" w:sz="0" w:space="0" w:color="auto" w:frame="1"/>
          <w:lang w:eastAsia="en-NZ"/>
        </w:rPr>
        <w:t xml:space="preserve"> students, exposure to general computing and ICT tools differs from exposure to EFT tools.</w:t>
      </w:r>
    </w:p>
    <w:p w:rsidR="002A1521" w:rsidRPr="002A1521" w:rsidRDefault="002A1521" w:rsidP="002A1521">
      <w:pPr>
        <w:pStyle w:val="NoSpacing"/>
        <w:rPr>
          <w:rFonts w:ascii="Arial" w:hAnsi="Arial" w:cs="Arial"/>
          <w:sz w:val="24"/>
          <w:szCs w:val="24"/>
          <w:bdr w:val="none" w:sz="0" w:space="0" w:color="auto" w:frame="1"/>
          <w:lang w:eastAsia="en-NZ"/>
        </w:rPr>
      </w:pPr>
    </w:p>
    <w:p w:rsid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Conclusion The EFT instrument captures a new and distinct set of technology literacies</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that arise within fabrication settings and are independent of both general computing and</w:t>
      </w:r>
      <w:r>
        <w:rPr>
          <w:rFonts w:ascii="Arial" w:hAnsi="Arial" w:cs="Arial"/>
          <w:sz w:val="24"/>
          <w:szCs w:val="24"/>
          <w:bdr w:val="none" w:sz="0" w:space="0" w:color="auto" w:frame="1"/>
          <w:lang w:eastAsia="en-NZ"/>
        </w:rPr>
        <w:t xml:space="preserve"> </w:t>
      </w:r>
      <w:r w:rsidRPr="002A1521">
        <w:rPr>
          <w:rFonts w:ascii="Arial" w:hAnsi="Arial" w:cs="Arial"/>
          <w:sz w:val="24"/>
          <w:szCs w:val="24"/>
          <w:bdr w:val="none" w:sz="0" w:space="0" w:color="auto" w:frame="1"/>
          <w:lang w:eastAsia="en-NZ"/>
        </w:rPr>
        <w:t>digital content production skills.</w:t>
      </w:r>
    </w:p>
    <w:p w:rsidR="002A1521" w:rsidRPr="002A1521" w:rsidRDefault="002A1521" w:rsidP="002A1521">
      <w:pPr>
        <w:pStyle w:val="NoSpacing"/>
        <w:rPr>
          <w:rFonts w:ascii="Arial" w:hAnsi="Arial" w:cs="Arial"/>
          <w:sz w:val="24"/>
          <w:szCs w:val="24"/>
          <w:bdr w:val="none" w:sz="0" w:space="0" w:color="auto" w:frame="1"/>
          <w:lang w:eastAsia="en-NZ"/>
        </w:rPr>
      </w:pPr>
    </w:p>
    <w:p w:rsidR="002A1521" w:rsidRP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 xml:space="preserve">Keywords </w:t>
      </w:r>
      <w:proofErr w:type="spellStart"/>
      <w:r w:rsidRPr="002A1521">
        <w:rPr>
          <w:rFonts w:ascii="Arial" w:hAnsi="Arial" w:cs="Arial"/>
          <w:sz w:val="24"/>
          <w:szCs w:val="24"/>
          <w:bdr w:val="none" w:sz="0" w:space="0" w:color="auto" w:frame="1"/>
          <w:lang w:eastAsia="en-NZ"/>
        </w:rPr>
        <w:t>FabLabs</w:t>
      </w:r>
      <w:proofErr w:type="spellEnd"/>
      <w:r w:rsidRPr="002A1521">
        <w:rPr>
          <w:rFonts w:ascii="Arial" w:hAnsi="Arial" w:cs="Arial"/>
          <w:sz w:val="24"/>
          <w:szCs w:val="24"/>
          <w:bdr w:val="none" w:sz="0" w:space="0" w:color="auto" w:frame="1"/>
          <w:lang w:eastAsia="en-NZ"/>
        </w:rPr>
        <w:t>; design practice; assessment tools; project based learning;</w:t>
      </w:r>
    </w:p>
    <w:p w:rsidR="002A1521" w:rsidRDefault="002A1521" w:rsidP="002A1521">
      <w:pPr>
        <w:pStyle w:val="NoSpacing"/>
        <w:rPr>
          <w:rFonts w:ascii="Arial" w:hAnsi="Arial" w:cs="Arial"/>
          <w:sz w:val="24"/>
          <w:szCs w:val="24"/>
          <w:bdr w:val="none" w:sz="0" w:space="0" w:color="auto" w:frame="1"/>
          <w:lang w:eastAsia="en-NZ"/>
        </w:rPr>
      </w:pPr>
      <w:r w:rsidRPr="002A1521">
        <w:rPr>
          <w:rFonts w:ascii="Arial" w:hAnsi="Arial" w:cs="Arial"/>
          <w:sz w:val="24"/>
          <w:szCs w:val="24"/>
          <w:bdr w:val="none" w:sz="0" w:space="0" w:color="auto" w:frame="1"/>
          <w:lang w:eastAsia="en-NZ"/>
        </w:rPr>
        <w:t>C</w:t>
      </w:r>
      <w:r w:rsidRPr="002A1521">
        <w:rPr>
          <w:rFonts w:ascii="Arial" w:hAnsi="Arial" w:cs="Arial"/>
          <w:sz w:val="24"/>
          <w:szCs w:val="24"/>
          <w:bdr w:val="none" w:sz="0" w:space="0" w:color="auto" w:frame="1"/>
          <w:lang w:eastAsia="en-NZ"/>
        </w:rPr>
        <w:t>onstructionism</w:t>
      </w:r>
    </w:p>
    <w:p w:rsidR="002A1521" w:rsidRDefault="002A1521" w:rsidP="002A1521">
      <w:pPr>
        <w:pStyle w:val="NoSpacing"/>
        <w:rPr>
          <w:rFonts w:ascii="Arial" w:hAnsi="Arial" w:cs="Arial"/>
          <w:sz w:val="24"/>
          <w:szCs w:val="24"/>
          <w:bdr w:val="none" w:sz="0" w:space="0" w:color="auto" w:frame="1"/>
          <w:lang w:eastAsia="en-NZ"/>
        </w:rPr>
      </w:pPr>
    </w:p>
    <w:p w:rsidR="002A1521" w:rsidRPr="007E6BB9" w:rsidRDefault="002A1521" w:rsidP="002A1521">
      <w:pPr>
        <w:pStyle w:val="NoSpacing"/>
        <w:numPr>
          <w:ilvl w:val="0"/>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Introduction</w:t>
      </w:r>
    </w:p>
    <w:p w:rsidR="002A1521" w:rsidRDefault="002A1521" w:rsidP="002A1521">
      <w:pPr>
        <w:pStyle w:val="NoSpacing"/>
        <w:numPr>
          <w:ilvl w:val="0"/>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Literature Review</w:t>
      </w:r>
    </w:p>
    <w:p w:rsidR="007E6BB9" w:rsidRDefault="007E6BB9" w:rsidP="007E6BB9">
      <w:pPr>
        <w:pStyle w:val="NoSpacing"/>
        <w:ind w:left="720"/>
        <w:rPr>
          <w:rFonts w:ascii="Arial" w:hAnsi="Arial" w:cs="Arial"/>
          <w:b/>
          <w:sz w:val="24"/>
          <w:szCs w:val="24"/>
          <w:bdr w:val="none" w:sz="0" w:space="0" w:color="auto" w:frame="1"/>
          <w:lang w:eastAsia="en-NZ"/>
        </w:rPr>
      </w:pPr>
      <w:r>
        <w:rPr>
          <w:rFonts w:ascii="Arial" w:hAnsi="Arial" w:cs="Arial"/>
          <w:b/>
          <w:sz w:val="24"/>
          <w:szCs w:val="24"/>
          <w:bdr w:val="none" w:sz="0" w:space="0" w:color="auto" w:frame="1"/>
          <w:lang w:eastAsia="en-NZ"/>
        </w:rPr>
        <w:t>Reasons of absenteeism</w:t>
      </w:r>
    </w:p>
    <w:p w:rsidR="007E6BB9" w:rsidRDefault="007E6BB9" w:rsidP="007E6BB9">
      <w:pPr>
        <w:pStyle w:val="NoSpacing"/>
        <w:ind w:left="720"/>
        <w:rPr>
          <w:rFonts w:ascii="Arial" w:hAnsi="Arial" w:cs="Arial"/>
          <w:b/>
          <w:sz w:val="24"/>
          <w:szCs w:val="24"/>
          <w:bdr w:val="none" w:sz="0" w:space="0" w:color="auto" w:frame="1"/>
          <w:lang w:eastAsia="en-NZ"/>
        </w:rPr>
      </w:pPr>
      <w:r>
        <w:rPr>
          <w:rFonts w:ascii="Arial" w:hAnsi="Arial" w:cs="Arial"/>
          <w:b/>
          <w:sz w:val="24"/>
          <w:szCs w:val="24"/>
          <w:bdr w:val="none" w:sz="0" w:space="0" w:color="auto" w:frame="1"/>
          <w:lang w:eastAsia="en-NZ"/>
        </w:rPr>
        <w:t>Student’s engagement and attendance</w:t>
      </w:r>
    </w:p>
    <w:p w:rsidR="007E6BB9" w:rsidRPr="007E6BB9" w:rsidRDefault="007E6BB9" w:rsidP="007E6BB9">
      <w:pPr>
        <w:pStyle w:val="NoSpacing"/>
        <w:ind w:left="720"/>
        <w:rPr>
          <w:rFonts w:ascii="Arial" w:hAnsi="Arial" w:cs="Arial"/>
          <w:b/>
          <w:sz w:val="24"/>
          <w:szCs w:val="24"/>
          <w:bdr w:val="none" w:sz="0" w:space="0" w:color="auto" w:frame="1"/>
          <w:lang w:eastAsia="en-NZ"/>
        </w:rPr>
      </w:pPr>
      <w:bookmarkStart w:id="0" w:name="_GoBack"/>
      <w:bookmarkEnd w:id="0"/>
    </w:p>
    <w:p w:rsidR="002A1521" w:rsidRPr="007E6BB9" w:rsidRDefault="002A1521" w:rsidP="002A1521">
      <w:pPr>
        <w:pStyle w:val="NoSpacing"/>
        <w:numPr>
          <w:ilvl w:val="0"/>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Methods</w:t>
      </w:r>
    </w:p>
    <w:p w:rsidR="002A1521" w:rsidRPr="007E6BB9" w:rsidRDefault="002A1521" w:rsidP="002A1521">
      <w:pPr>
        <w:pStyle w:val="NoSpacing"/>
        <w:numPr>
          <w:ilvl w:val="0"/>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Measures</w:t>
      </w:r>
    </w:p>
    <w:p w:rsidR="002A1521" w:rsidRPr="007E6BB9" w:rsidRDefault="002A1521" w:rsidP="002A1521">
      <w:pPr>
        <w:pStyle w:val="NoSpacing"/>
        <w:numPr>
          <w:ilvl w:val="1"/>
          <w:numId w:val="3"/>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Variable</w:t>
      </w:r>
    </w:p>
    <w:p w:rsidR="002A1521" w:rsidRPr="007E6BB9" w:rsidRDefault="002A1521" w:rsidP="002A1521">
      <w:pPr>
        <w:pStyle w:val="NoSpacing"/>
        <w:numPr>
          <w:ilvl w:val="1"/>
          <w:numId w:val="3"/>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Analytical procedures</w:t>
      </w:r>
    </w:p>
    <w:p w:rsidR="002A1521" w:rsidRPr="007E6BB9" w:rsidRDefault="002A1521" w:rsidP="002A1521">
      <w:pPr>
        <w:pStyle w:val="NoSpacing"/>
        <w:numPr>
          <w:ilvl w:val="1"/>
          <w:numId w:val="3"/>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Limitations</w:t>
      </w:r>
    </w:p>
    <w:p w:rsidR="002A1521" w:rsidRPr="007E6BB9" w:rsidRDefault="002A1521" w:rsidP="002A1521">
      <w:pPr>
        <w:pStyle w:val="NoSpacing"/>
        <w:numPr>
          <w:ilvl w:val="0"/>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Findings</w:t>
      </w:r>
    </w:p>
    <w:p w:rsidR="002A1521" w:rsidRPr="007E6BB9" w:rsidRDefault="002A1521" w:rsidP="002A1521">
      <w:pPr>
        <w:pStyle w:val="NoSpacing"/>
        <w:numPr>
          <w:ilvl w:val="0"/>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Discussion</w:t>
      </w:r>
    </w:p>
    <w:p w:rsidR="002A1521" w:rsidRPr="007E6BB9" w:rsidRDefault="002A1521" w:rsidP="002A1521">
      <w:pPr>
        <w:pStyle w:val="NoSpacing"/>
        <w:numPr>
          <w:ilvl w:val="0"/>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Implications</w:t>
      </w:r>
    </w:p>
    <w:p w:rsidR="002A1521" w:rsidRPr="007E6BB9" w:rsidRDefault="002A1521" w:rsidP="002A1521">
      <w:pPr>
        <w:pStyle w:val="NoSpacing"/>
        <w:numPr>
          <w:ilvl w:val="1"/>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Future studies</w:t>
      </w:r>
    </w:p>
    <w:p w:rsidR="002A1521" w:rsidRPr="007E6BB9" w:rsidRDefault="002A1521" w:rsidP="002A1521">
      <w:pPr>
        <w:pStyle w:val="NoSpacing"/>
        <w:numPr>
          <w:ilvl w:val="1"/>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Practices and Policies</w:t>
      </w:r>
    </w:p>
    <w:p w:rsidR="002A1521" w:rsidRPr="007E6BB9" w:rsidRDefault="002A1521" w:rsidP="002A1521">
      <w:pPr>
        <w:pStyle w:val="NoSpacing"/>
        <w:numPr>
          <w:ilvl w:val="0"/>
          <w:numId w:val="2"/>
        </w:numPr>
        <w:rPr>
          <w:rFonts w:ascii="Arial" w:hAnsi="Arial" w:cs="Arial"/>
          <w:b/>
          <w:sz w:val="24"/>
          <w:szCs w:val="24"/>
          <w:bdr w:val="none" w:sz="0" w:space="0" w:color="auto" w:frame="1"/>
          <w:lang w:eastAsia="en-NZ"/>
        </w:rPr>
      </w:pPr>
      <w:r w:rsidRPr="007E6BB9">
        <w:rPr>
          <w:rFonts w:ascii="Arial" w:hAnsi="Arial" w:cs="Arial"/>
          <w:b/>
          <w:sz w:val="24"/>
          <w:szCs w:val="24"/>
          <w:bdr w:val="none" w:sz="0" w:space="0" w:color="auto" w:frame="1"/>
          <w:lang w:eastAsia="en-NZ"/>
        </w:rPr>
        <w:t>Conclusions</w:t>
      </w:r>
    </w:p>
    <w:p w:rsidR="002A1521" w:rsidRDefault="002A1521" w:rsidP="002A1521">
      <w:pPr>
        <w:pStyle w:val="NoSpacing"/>
        <w:rPr>
          <w:bdr w:val="none" w:sz="0" w:space="0" w:color="auto" w:frame="1"/>
          <w:lang w:eastAsia="en-NZ"/>
        </w:rPr>
      </w:pPr>
      <w:r>
        <w:rPr>
          <w:bdr w:val="none" w:sz="0" w:space="0" w:color="auto" w:frame="1"/>
          <w:lang w:eastAsia="en-NZ"/>
        </w:rPr>
        <w:lastRenderedPageBreak/>
        <w:br w:type="page"/>
      </w:r>
    </w:p>
    <w:p w:rsidR="002A1521" w:rsidRDefault="002A1521" w:rsidP="002A1521">
      <w:pPr>
        <w:spacing w:after="0" w:line="312" w:lineRule="atLeast"/>
        <w:textAlignment w:val="baseline"/>
        <w:rPr>
          <w:rFonts w:ascii="Arial" w:eastAsia="Times New Roman" w:hAnsi="Arial" w:cs="Arial"/>
          <w:b/>
          <w:bCs/>
          <w:color w:val="000000"/>
          <w:sz w:val="18"/>
          <w:szCs w:val="18"/>
          <w:bdr w:val="none" w:sz="0" w:space="0" w:color="auto" w:frame="1"/>
          <w:lang w:eastAsia="en-NZ"/>
        </w:rPr>
      </w:pPr>
    </w:p>
    <w:p w:rsidR="002A1521" w:rsidRPr="002A1521" w:rsidRDefault="002A1521" w:rsidP="002A1521">
      <w:pPr>
        <w:numPr>
          <w:ilvl w:val="0"/>
          <w:numId w:val="1"/>
        </w:numPr>
        <w:spacing w:after="0" w:line="312" w:lineRule="atLeast"/>
        <w:ind w:left="432"/>
        <w:textAlignment w:val="baseline"/>
        <w:rPr>
          <w:rFonts w:ascii="Arial" w:eastAsia="Times New Roman" w:hAnsi="Arial" w:cs="Arial"/>
          <w:color w:val="000000"/>
          <w:sz w:val="18"/>
          <w:szCs w:val="18"/>
          <w:lang w:eastAsia="en-NZ"/>
        </w:rPr>
      </w:pPr>
      <w:r w:rsidRPr="002A1521">
        <w:rPr>
          <w:rFonts w:ascii="Arial" w:eastAsia="Times New Roman" w:hAnsi="Arial" w:cs="Arial"/>
          <w:b/>
          <w:bCs/>
          <w:color w:val="000000"/>
          <w:sz w:val="18"/>
          <w:szCs w:val="18"/>
          <w:bdr w:val="none" w:sz="0" w:space="0" w:color="auto" w:frame="1"/>
          <w:lang w:eastAsia="en-NZ"/>
        </w:rPr>
        <w:t>Focus:</w:t>
      </w:r>
      <w:r w:rsidRPr="002A1521">
        <w:rPr>
          <w:rFonts w:ascii="Arial" w:eastAsia="Times New Roman" w:hAnsi="Arial" w:cs="Arial"/>
          <w:color w:val="000000"/>
          <w:sz w:val="18"/>
          <w:szCs w:val="18"/>
          <w:lang w:eastAsia="en-NZ"/>
        </w:rPr>
        <w:t> All empirical articles should report original research that significantly extends the body of knowledge in the field of engineering education. Is the manuscript's focus congruent with the </w:t>
      </w:r>
      <w:r w:rsidRPr="002A1521">
        <w:rPr>
          <w:rFonts w:ascii="Arial" w:eastAsia="Times New Roman" w:hAnsi="Arial" w:cs="Arial"/>
          <w:i/>
          <w:iCs/>
          <w:color w:val="000000"/>
          <w:sz w:val="18"/>
          <w:szCs w:val="18"/>
          <w:bdr w:val="none" w:sz="0" w:space="0" w:color="auto" w:frame="1"/>
          <w:lang w:eastAsia="en-NZ"/>
        </w:rPr>
        <w:t>Journal's</w:t>
      </w:r>
      <w:r w:rsidRPr="002A1521">
        <w:rPr>
          <w:rFonts w:ascii="Arial" w:eastAsia="Times New Roman" w:hAnsi="Arial" w:cs="Arial"/>
          <w:color w:val="000000"/>
          <w:sz w:val="18"/>
          <w:szCs w:val="18"/>
          <w:lang w:eastAsia="en-NZ"/>
        </w:rPr>
        <w:t> stated mission and focus (see Research Areas on </w:t>
      </w:r>
      <w:hyperlink r:id="rId5" w:history="1">
        <w:r w:rsidRPr="002A1521">
          <w:rPr>
            <w:rFonts w:ascii="Arial" w:eastAsia="Times New Roman" w:hAnsi="Arial" w:cs="Arial"/>
            <w:color w:val="007E8A"/>
            <w:sz w:val="18"/>
            <w:szCs w:val="18"/>
            <w:bdr w:val="none" w:sz="0" w:space="0" w:color="auto" w:frame="1"/>
            <w:lang w:eastAsia="en-NZ"/>
          </w:rPr>
          <w:t>Overview</w:t>
        </w:r>
      </w:hyperlink>
      <w:r w:rsidRPr="002A1521">
        <w:rPr>
          <w:rFonts w:ascii="Arial" w:eastAsia="Times New Roman" w:hAnsi="Arial" w:cs="Arial"/>
          <w:color w:val="000000"/>
          <w:sz w:val="18"/>
          <w:szCs w:val="18"/>
          <w:lang w:eastAsia="en-NZ"/>
        </w:rPr>
        <w:t> page)</w:t>
      </w:r>
    </w:p>
    <w:p w:rsidR="002A1521" w:rsidRPr="002A1521" w:rsidRDefault="002A1521" w:rsidP="002A1521">
      <w:pPr>
        <w:numPr>
          <w:ilvl w:val="0"/>
          <w:numId w:val="1"/>
        </w:numPr>
        <w:spacing w:after="0" w:line="240" w:lineRule="auto"/>
        <w:ind w:left="432"/>
        <w:textAlignment w:val="baseline"/>
        <w:rPr>
          <w:rFonts w:ascii="Arial" w:eastAsia="Times New Roman" w:hAnsi="Arial" w:cs="Arial"/>
          <w:color w:val="000000"/>
          <w:sz w:val="18"/>
          <w:szCs w:val="18"/>
          <w:lang w:eastAsia="en-NZ"/>
        </w:rPr>
      </w:pPr>
      <w:r w:rsidRPr="002A1521">
        <w:rPr>
          <w:rFonts w:ascii="Arial" w:eastAsia="Times New Roman" w:hAnsi="Arial" w:cs="Arial"/>
          <w:b/>
          <w:bCs/>
          <w:color w:val="000000"/>
          <w:sz w:val="18"/>
          <w:szCs w:val="18"/>
          <w:bdr w:val="none" w:sz="0" w:space="0" w:color="auto" w:frame="1"/>
          <w:lang w:eastAsia="en-NZ"/>
        </w:rPr>
        <w:t>Problem</w:t>
      </w:r>
      <w:r w:rsidRPr="002A1521">
        <w:rPr>
          <w:rFonts w:ascii="Arial" w:eastAsia="Times New Roman" w:hAnsi="Arial" w:cs="Arial"/>
          <w:color w:val="000000"/>
          <w:sz w:val="18"/>
          <w:szCs w:val="18"/>
          <w:lang w:eastAsia="en-NZ"/>
        </w:rPr>
        <w:t>: Does the manuscript clearly state and explain the problem or issue that is addressed by the research, the warrants for claims made, and the significance of the problem? Is the statement of the problem directly linked with and in alignment with the subsequent review of the literature?</w:t>
      </w:r>
    </w:p>
    <w:p w:rsidR="002A1521" w:rsidRPr="002A1521" w:rsidRDefault="002A1521" w:rsidP="002A1521">
      <w:pPr>
        <w:numPr>
          <w:ilvl w:val="0"/>
          <w:numId w:val="1"/>
        </w:numPr>
        <w:spacing w:after="0" w:line="312" w:lineRule="atLeast"/>
        <w:ind w:left="432"/>
        <w:textAlignment w:val="baseline"/>
        <w:rPr>
          <w:rFonts w:ascii="Arial" w:eastAsia="Times New Roman" w:hAnsi="Arial" w:cs="Arial"/>
          <w:color w:val="000000"/>
          <w:sz w:val="18"/>
          <w:szCs w:val="18"/>
          <w:lang w:eastAsia="en-NZ"/>
        </w:rPr>
      </w:pPr>
      <w:r w:rsidRPr="002A1521">
        <w:rPr>
          <w:rFonts w:ascii="Arial" w:eastAsia="Times New Roman" w:hAnsi="Arial" w:cs="Arial"/>
          <w:b/>
          <w:bCs/>
          <w:color w:val="000000"/>
          <w:sz w:val="18"/>
          <w:szCs w:val="18"/>
          <w:bdr w:val="none" w:sz="0" w:space="0" w:color="auto" w:frame="1"/>
          <w:lang w:eastAsia="en-NZ"/>
        </w:rPr>
        <w:t>Literature</w:t>
      </w:r>
      <w:r w:rsidRPr="002A1521">
        <w:rPr>
          <w:rFonts w:ascii="Arial" w:eastAsia="Times New Roman" w:hAnsi="Arial" w:cs="Arial"/>
          <w:color w:val="000000"/>
          <w:sz w:val="18"/>
          <w:szCs w:val="18"/>
          <w:lang w:eastAsia="en-NZ"/>
        </w:rPr>
        <w:t>: Does the article identify, synthesize and evaluate the relevant the literature that led the author to propose the research? Is there a specific and persuasive explanation of how the present study will contribute to the literature as well as to practice or policy? What conceptual or theoretical framework informs the study?</w:t>
      </w:r>
    </w:p>
    <w:p w:rsidR="002A1521" w:rsidRPr="002A1521" w:rsidRDefault="002A1521" w:rsidP="002A1521">
      <w:pPr>
        <w:numPr>
          <w:ilvl w:val="0"/>
          <w:numId w:val="1"/>
        </w:numPr>
        <w:spacing w:after="0" w:line="312" w:lineRule="atLeast"/>
        <w:ind w:left="432"/>
        <w:textAlignment w:val="baseline"/>
        <w:rPr>
          <w:rFonts w:ascii="Arial" w:eastAsia="Times New Roman" w:hAnsi="Arial" w:cs="Arial"/>
          <w:color w:val="000000"/>
          <w:sz w:val="18"/>
          <w:szCs w:val="18"/>
          <w:lang w:eastAsia="en-NZ"/>
        </w:rPr>
      </w:pPr>
      <w:r w:rsidRPr="002A1521">
        <w:rPr>
          <w:rFonts w:ascii="Arial" w:eastAsia="Times New Roman" w:hAnsi="Arial" w:cs="Arial"/>
          <w:b/>
          <w:bCs/>
          <w:color w:val="000000"/>
          <w:sz w:val="18"/>
          <w:szCs w:val="18"/>
          <w:bdr w:val="none" w:sz="0" w:space="0" w:color="auto" w:frame="1"/>
          <w:lang w:eastAsia="en-NZ"/>
        </w:rPr>
        <w:t>Methods and Analysis</w:t>
      </w:r>
      <w:r w:rsidRPr="002A1521">
        <w:rPr>
          <w:rFonts w:ascii="Arial" w:eastAsia="Times New Roman" w:hAnsi="Arial" w:cs="Arial"/>
          <w:color w:val="000000"/>
          <w:sz w:val="18"/>
          <w:szCs w:val="18"/>
          <w:lang w:eastAsia="en-NZ"/>
        </w:rPr>
        <w:t xml:space="preserve">: Does the manuscript present a well-developed, clearly articulated, and appropriate method or set of methods for the expressed problem, supporting literature, and research approach (e.g., qualitative or quantitative)? How detailed is the description of the context of the study? Are the data that are collected, regardless of form (e.g., interview transcripts, survey results), </w:t>
      </w:r>
      <w:proofErr w:type="spellStart"/>
      <w:r w:rsidRPr="002A1521">
        <w:rPr>
          <w:rFonts w:ascii="Arial" w:eastAsia="Times New Roman" w:hAnsi="Arial" w:cs="Arial"/>
          <w:color w:val="000000"/>
          <w:sz w:val="18"/>
          <w:szCs w:val="18"/>
          <w:lang w:eastAsia="en-NZ"/>
        </w:rPr>
        <w:t>analyzed</w:t>
      </w:r>
      <w:proofErr w:type="spellEnd"/>
      <w:r w:rsidRPr="002A1521">
        <w:rPr>
          <w:rFonts w:ascii="Arial" w:eastAsia="Times New Roman" w:hAnsi="Arial" w:cs="Arial"/>
          <w:color w:val="000000"/>
          <w:sz w:val="18"/>
          <w:szCs w:val="18"/>
          <w:lang w:eastAsia="en-NZ"/>
        </w:rPr>
        <w:t xml:space="preserve"> using appropriate procedures? Are the results of these analysis reported accurately and fully in the manuscript?</w:t>
      </w:r>
    </w:p>
    <w:p w:rsidR="002A1521" w:rsidRPr="002A1521" w:rsidRDefault="002A1521" w:rsidP="002A1521">
      <w:pPr>
        <w:numPr>
          <w:ilvl w:val="0"/>
          <w:numId w:val="1"/>
        </w:numPr>
        <w:spacing w:after="0" w:line="312" w:lineRule="atLeast"/>
        <w:ind w:left="432"/>
        <w:textAlignment w:val="baseline"/>
        <w:rPr>
          <w:rFonts w:ascii="Arial" w:eastAsia="Times New Roman" w:hAnsi="Arial" w:cs="Arial"/>
          <w:color w:val="000000"/>
          <w:sz w:val="18"/>
          <w:szCs w:val="18"/>
          <w:lang w:eastAsia="en-NZ"/>
        </w:rPr>
      </w:pPr>
      <w:r w:rsidRPr="002A1521">
        <w:rPr>
          <w:rFonts w:ascii="Arial" w:eastAsia="Times New Roman" w:hAnsi="Arial" w:cs="Arial"/>
          <w:b/>
          <w:bCs/>
          <w:color w:val="000000"/>
          <w:sz w:val="18"/>
          <w:szCs w:val="18"/>
          <w:bdr w:val="none" w:sz="0" w:space="0" w:color="auto" w:frame="1"/>
          <w:lang w:eastAsia="en-NZ"/>
        </w:rPr>
        <w:t>Quality of Data and Findings</w:t>
      </w:r>
      <w:r w:rsidRPr="002A1521">
        <w:rPr>
          <w:rFonts w:ascii="Arial" w:eastAsia="Times New Roman" w:hAnsi="Arial" w:cs="Arial"/>
          <w:color w:val="000000"/>
          <w:sz w:val="18"/>
          <w:szCs w:val="18"/>
          <w:lang w:eastAsia="en-NZ"/>
        </w:rPr>
        <w:t xml:space="preserve">: Regardless of the method(s) used, the data should be of sufficient quality to address the hypothesis and/or research questions. In quantitative studies, are the sample size and demographics appropriate to the problem? In qualitative papers, were the data collected in a way to provide an in-depth understanding of the context? Are findings supported by data and results? Are findings sufficiently compelling to support </w:t>
      </w:r>
      <w:proofErr w:type="gramStart"/>
      <w:r w:rsidRPr="002A1521">
        <w:rPr>
          <w:rFonts w:ascii="Arial" w:eastAsia="Times New Roman" w:hAnsi="Arial" w:cs="Arial"/>
          <w:color w:val="000000"/>
          <w:sz w:val="18"/>
          <w:szCs w:val="18"/>
          <w:lang w:eastAsia="en-NZ"/>
        </w:rPr>
        <w:t>publication.</w:t>
      </w:r>
      <w:proofErr w:type="gramEnd"/>
    </w:p>
    <w:p w:rsidR="002A1521" w:rsidRPr="002A1521" w:rsidRDefault="002A1521" w:rsidP="002A1521">
      <w:pPr>
        <w:numPr>
          <w:ilvl w:val="0"/>
          <w:numId w:val="1"/>
        </w:numPr>
        <w:spacing w:after="0" w:line="240" w:lineRule="auto"/>
        <w:ind w:left="432"/>
        <w:textAlignment w:val="baseline"/>
        <w:rPr>
          <w:rFonts w:ascii="Arial" w:eastAsia="Times New Roman" w:hAnsi="Arial" w:cs="Arial"/>
          <w:color w:val="000000"/>
          <w:sz w:val="18"/>
          <w:szCs w:val="18"/>
          <w:lang w:eastAsia="en-NZ"/>
        </w:rPr>
      </w:pPr>
      <w:r w:rsidRPr="002A1521">
        <w:rPr>
          <w:rFonts w:ascii="Arial" w:eastAsia="Times New Roman" w:hAnsi="Arial" w:cs="Arial"/>
          <w:b/>
          <w:bCs/>
          <w:color w:val="000000"/>
          <w:sz w:val="18"/>
          <w:szCs w:val="18"/>
          <w:bdr w:val="none" w:sz="0" w:space="0" w:color="auto" w:frame="1"/>
          <w:lang w:eastAsia="en-NZ"/>
        </w:rPr>
        <w:t>Conclusions</w:t>
      </w:r>
      <w:r w:rsidRPr="002A1521">
        <w:rPr>
          <w:rFonts w:ascii="Arial" w:eastAsia="Times New Roman" w:hAnsi="Arial" w:cs="Arial"/>
          <w:color w:val="000000"/>
          <w:sz w:val="18"/>
          <w:szCs w:val="18"/>
          <w:lang w:eastAsia="en-NZ"/>
        </w:rPr>
        <w:t>: Are the conclusions specific to the research questions or hypotheses posed? Are they supported by the data analysis? In addition, does the conclusion address both the original problem and the implications of the research findings? For quantitative studies, do the conclusions address the hypothesis? For qualitative papers, do the conclusions address the research question? Does the manuscript connect the findings to the conceptual framework that informs the study, discuss the limitations of the study, and describe the implications of the findings for further research or educational practice?</w:t>
      </w:r>
    </w:p>
    <w:p w:rsidR="002A1521" w:rsidRPr="002A1521" w:rsidRDefault="002A1521" w:rsidP="002A1521">
      <w:pPr>
        <w:numPr>
          <w:ilvl w:val="0"/>
          <w:numId w:val="1"/>
        </w:numPr>
        <w:spacing w:after="0" w:line="240" w:lineRule="auto"/>
        <w:ind w:left="432"/>
        <w:textAlignment w:val="baseline"/>
        <w:rPr>
          <w:rFonts w:ascii="Arial" w:eastAsia="Times New Roman" w:hAnsi="Arial" w:cs="Arial"/>
          <w:color w:val="000000"/>
          <w:sz w:val="18"/>
          <w:szCs w:val="18"/>
          <w:lang w:eastAsia="en-NZ"/>
        </w:rPr>
      </w:pPr>
      <w:r w:rsidRPr="002A1521">
        <w:rPr>
          <w:rFonts w:ascii="Arial" w:eastAsia="Times New Roman" w:hAnsi="Arial" w:cs="Arial"/>
          <w:b/>
          <w:bCs/>
          <w:color w:val="000000"/>
          <w:sz w:val="18"/>
          <w:szCs w:val="18"/>
          <w:bdr w:val="none" w:sz="0" w:space="0" w:color="auto" w:frame="1"/>
          <w:lang w:eastAsia="en-NZ"/>
        </w:rPr>
        <w:t>Clarity and Organization</w:t>
      </w:r>
      <w:r w:rsidRPr="002A1521">
        <w:rPr>
          <w:rFonts w:ascii="Arial" w:eastAsia="Times New Roman" w:hAnsi="Arial" w:cs="Arial"/>
          <w:color w:val="000000"/>
          <w:sz w:val="18"/>
          <w:szCs w:val="18"/>
          <w:lang w:eastAsia="en-NZ"/>
        </w:rPr>
        <w:t>: Is the manuscript organized in accordance with currently accepted formats for reporting qualitative, quantitative, or mixed methods research? (For guidance, see the </w:t>
      </w:r>
      <w:r w:rsidRPr="002A1521">
        <w:rPr>
          <w:rFonts w:ascii="Arial" w:eastAsia="Times New Roman" w:hAnsi="Arial" w:cs="Arial"/>
          <w:i/>
          <w:iCs/>
          <w:color w:val="000000"/>
          <w:sz w:val="18"/>
          <w:szCs w:val="18"/>
          <w:bdr w:val="none" w:sz="0" w:space="0" w:color="auto" w:frame="1"/>
          <w:lang w:eastAsia="en-NZ"/>
        </w:rPr>
        <w:t>Publication Manual</w:t>
      </w:r>
      <w:r w:rsidRPr="002A1521">
        <w:rPr>
          <w:rFonts w:ascii="Arial" w:eastAsia="Times New Roman" w:hAnsi="Arial" w:cs="Arial"/>
          <w:color w:val="000000"/>
          <w:sz w:val="18"/>
          <w:szCs w:val="18"/>
          <w:lang w:eastAsia="en-NZ"/>
        </w:rPr>
        <w:t> of the American Psychological Association, sixth edition).</w:t>
      </w:r>
    </w:p>
    <w:p w:rsidR="002A1521" w:rsidRPr="002A1521" w:rsidRDefault="002A1521" w:rsidP="002A1521">
      <w:pPr>
        <w:numPr>
          <w:ilvl w:val="0"/>
          <w:numId w:val="1"/>
        </w:numPr>
        <w:spacing w:after="0" w:line="312" w:lineRule="atLeast"/>
        <w:ind w:left="432"/>
        <w:textAlignment w:val="baseline"/>
        <w:rPr>
          <w:rFonts w:ascii="Arial" w:eastAsia="Times New Roman" w:hAnsi="Arial" w:cs="Arial"/>
          <w:color w:val="000000"/>
          <w:sz w:val="18"/>
          <w:szCs w:val="18"/>
          <w:lang w:eastAsia="en-NZ"/>
        </w:rPr>
      </w:pPr>
      <w:r w:rsidRPr="002A1521">
        <w:rPr>
          <w:rFonts w:ascii="Arial" w:eastAsia="Times New Roman" w:hAnsi="Arial" w:cs="Arial"/>
          <w:b/>
          <w:bCs/>
          <w:color w:val="000000"/>
          <w:sz w:val="18"/>
          <w:szCs w:val="18"/>
          <w:bdr w:val="none" w:sz="0" w:space="0" w:color="auto" w:frame="1"/>
          <w:lang w:eastAsia="en-NZ"/>
        </w:rPr>
        <w:t>Style and Mechanics</w:t>
      </w:r>
      <w:r w:rsidRPr="002A1521">
        <w:rPr>
          <w:rFonts w:ascii="Arial" w:eastAsia="Times New Roman" w:hAnsi="Arial" w:cs="Arial"/>
          <w:color w:val="000000"/>
          <w:sz w:val="18"/>
          <w:szCs w:val="18"/>
          <w:lang w:eastAsia="en-NZ"/>
        </w:rPr>
        <w:t>: Is the article written in an appropriate style? Is the article free from grammatical, punctuation, and spelling errors?</w:t>
      </w:r>
    </w:p>
    <w:p w:rsidR="00277D15" w:rsidRDefault="00277D15"/>
    <w:sectPr w:rsidR="0027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D2216"/>
    <w:multiLevelType w:val="hybridMultilevel"/>
    <w:tmpl w:val="D62CCF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F6055D7"/>
    <w:multiLevelType w:val="hybridMultilevel"/>
    <w:tmpl w:val="C5D89158"/>
    <w:lvl w:ilvl="0" w:tplc="1409000F">
      <w:start w:val="1"/>
      <w:numFmt w:val="decimal"/>
      <w:lvlText w:val="%1."/>
      <w:lvlJc w:val="left"/>
      <w:pPr>
        <w:ind w:left="720" w:hanging="360"/>
      </w:p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9CA0D67"/>
    <w:multiLevelType w:val="multilevel"/>
    <w:tmpl w:val="D570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E7"/>
    <w:rsid w:val="00060AF7"/>
    <w:rsid w:val="000755E5"/>
    <w:rsid w:val="000A0736"/>
    <w:rsid w:val="000A72A5"/>
    <w:rsid w:val="000D3AA6"/>
    <w:rsid w:val="000E2722"/>
    <w:rsid w:val="000E6715"/>
    <w:rsid w:val="00112219"/>
    <w:rsid w:val="00122EAC"/>
    <w:rsid w:val="00127780"/>
    <w:rsid w:val="00167BFA"/>
    <w:rsid w:val="00171DD1"/>
    <w:rsid w:val="00226FDE"/>
    <w:rsid w:val="00233601"/>
    <w:rsid w:val="00243FEB"/>
    <w:rsid w:val="00264813"/>
    <w:rsid w:val="002721A2"/>
    <w:rsid w:val="00277D15"/>
    <w:rsid w:val="002A1521"/>
    <w:rsid w:val="002A5BC5"/>
    <w:rsid w:val="002B7D18"/>
    <w:rsid w:val="002C7ED4"/>
    <w:rsid w:val="002E0446"/>
    <w:rsid w:val="002F1F37"/>
    <w:rsid w:val="00304477"/>
    <w:rsid w:val="00311294"/>
    <w:rsid w:val="003560CC"/>
    <w:rsid w:val="00383092"/>
    <w:rsid w:val="00391E68"/>
    <w:rsid w:val="003D121C"/>
    <w:rsid w:val="003E3260"/>
    <w:rsid w:val="00426F86"/>
    <w:rsid w:val="00491AEC"/>
    <w:rsid w:val="00494090"/>
    <w:rsid w:val="00496E87"/>
    <w:rsid w:val="004A4D9E"/>
    <w:rsid w:val="00516494"/>
    <w:rsid w:val="005414D2"/>
    <w:rsid w:val="00570118"/>
    <w:rsid w:val="005740D4"/>
    <w:rsid w:val="005A2EA3"/>
    <w:rsid w:val="005E7740"/>
    <w:rsid w:val="005F4222"/>
    <w:rsid w:val="006A5239"/>
    <w:rsid w:val="006D1095"/>
    <w:rsid w:val="006E4518"/>
    <w:rsid w:val="00727A0C"/>
    <w:rsid w:val="00735EB5"/>
    <w:rsid w:val="007608A5"/>
    <w:rsid w:val="007945F9"/>
    <w:rsid w:val="007B2255"/>
    <w:rsid w:val="007D56D4"/>
    <w:rsid w:val="007E6BB9"/>
    <w:rsid w:val="0084489F"/>
    <w:rsid w:val="008547D3"/>
    <w:rsid w:val="00880652"/>
    <w:rsid w:val="008B2C42"/>
    <w:rsid w:val="008B647C"/>
    <w:rsid w:val="008B6A03"/>
    <w:rsid w:val="008B714E"/>
    <w:rsid w:val="00937C3E"/>
    <w:rsid w:val="00963D9D"/>
    <w:rsid w:val="009A3C67"/>
    <w:rsid w:val="009D39E2"/>
    <w:rsid w:val="00A15193"/>
    <w:rsid w:val="00A25FA1"/>
    <w:rsid w:val="00A938E2"/>
    <w:rsid w:val="00AD6C6D"/>
    <w:rsid w:val="00AE4E2B"/>
    <w:rsid w:val="00AF719E"/>
    <w:rsid w:val="00B34D18"/>
    <w:rsid w:val="00B63AE7"/>
    <w:rsid w:val="00B752B8"/>
    <w:rsid w:val="00BA4697"/>
    <w:rsid w:val="00BB60AE"/>
    <w:rsid w:val="00BD2A04"/>
    <w:rsid w:val="00C00975"/>
    <w:rsid w:val="00C34DA7"/>
    <w:rsid w:val="00C62C34"/>
    <w:rsid w:val="00C62CF0"/>
    <w:rsid w:val="00C71E45"/>
    <w:rsid w:val="00C815AC"/>
    <w:rsid w:val="00CB2116"/>
    <w:rsid w:val="00CD1030"/>
    <w:rsid w:val="00CD27BF"/>
    <w:rsid w:val="00D126A0"/>
    <w:rsid w:val="00D17B77"/>
    <w:rsid w:val="00D22168"/>
    <w:rsid w:val="00D22CEE"/>
    <w:rsid w:val="00D27C8F"/>
    <w:rsid w:val="00D4000B"/>
    <w:rsid w:val="00DA424A"/>
    <w:rsid w:val="00E22CED"/>
    <w:rsid w:val="00E943D0"/>
    <w:rsid w:val="00E964DB"/>
    <w:rsid w:val="00EB7C89"/>
    <w:rsid w:val="00EF6CE4"/>
    <w:rsid w:val="00F03CBB"/>
    <w:rsid w:val="00F1360A"/>
    <w:rsid w:val="00F21F5D"/>
    <w:rsid w:val="00F31ED0"/>
    <w:rsid w:val="00F704F4"/>
    <w:rsid w:val="00FC1FD5"/>
    <w:rsid w:val="00FE33B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29C56-3C52-43D6-B212-BB9443A3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52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2A1521"/>
  </w:style>
  <w:style w:type="character" w:styleId="Hyperlink">
    <w:name w:val="Hyperlink"/>
    <w:basedOn w:val="DefaultParagraphFont"/>
    <w:uiPriority w:val="99"/>
    <w:semiHidden/>
    <w:unhideWhenUsed/>
    <w:rsid w:val="002A1521"/>
    <w:rPr>
      <w:color w:val="0000FF"/>
      <w:u w:val="single"/>
    </w:rPr>
  </w:style>
  <w:style w:type="paragraph" w:styleId="NoSpacing">
    <w:name w:val="No Spacing"/>
    <w:uiPriority w:val="1"/>
    <w:qFormat/>
    <w:rsid w:val="002A1521"/>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9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nlinelibrary.wiley.com/journal/10.1002/(ISSN)2168-9830/homepage/Product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745</Words>
  <Characters>4249</Characters>
  <Application>Microsoft Office Word</Application>
  <DocSecurity>0</DocSecurity>
  <Lines>35</Lines>
  <Paragraphs>9</Paragraphs>
  <ScaleCrop>false</ScaleCrop>
  <Company>The University of Auckland</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3</cp:revision>
  <dcterms:created xsi:type="dcterms:W3CDTF">2017-03-08T00:44:00Z</dcterms:created>
  <dcterms:modified xsi:type="dcterms:W3CDTF">2017-03-08T00:53:00Z</dcterms:modified>
</cp:coreProperties>
</file>