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DDPT.TOPのユーザビリティ検証</w:t>
      </w:r>
    </w:p>
    <w:p>
      <w:r>
        <w:rPr>
          <w:b w:val="0"/>
        </w:rPr>
        <w:t>世界共通の構成・フォーマットを確定するためのレビュー</w:t>
        <w:br/>
        <w:t>確認日：2026年9月12日</w:t>
      </w:r>
    </w:p>
    <w:p>
      <w:r>
        <w:rPr>
          <w:b/>
        </w:rPr>
        <w:t>大枠は世界版の土台として採用できる。地域診断・テーマ比較・投資・住民要求・計画を結ぶ構成は有効である。ただし、地域の引き継ぎ、文書取得、集計値の意味を揃えてから共通仕様を確定したい。</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203C53"/>
            <w:tcMar>
              <w:top w:w="85" w:type="dxa"/>
              <w:bottom w:w="85" w:type="dxa"/>
              <w:left w:w="90" w:type="dxa"/>
              <w:right w:w="90" w:type="dxa"/>
            </w:tcMar>
          </w:tcPr>
          <w:p>
            <w:pPr>
              <w:spacing w:after="0" w:line="264" w:lineRule="auto"/>
            </w:pPr>
            <w:r>
              <w:rPr>
                <w:b/>
                <w:color w:val="FFFFFF"/>
                <w:sz w:val="19"/>
              </w:rPr>
              <w:t>残す設計</w:t>
            </w:r>
          </w:p>
        </w:tc>
        <w:tc>
          <w:tcPr>
            <w:tcW w:type="dxa" w:w="7344"/>
            <w:vAlign w:val="center"/>
            <w:shd w:fill="203C53"/>
            <w:tcMar>
              <w:top w:w="85" w:type="dxa"/>
              <w:bottom w:w="85" w:type="dxa"/>
              <w:left w:w="90" w:type="dxa"/>
              <w:right w:w="90" w:type="dxa"/>
            </w:tcMar>
          </w:tcPr>
          <w:p>
            <w:pPr>
              <w:spacing w:after="0" w:line="264" w:lineRule="auto"/>
            </w:pPr>
            <w:r>
              <w:rPr>
                <w:b/>
                <w:color w:val="FFFFFF"/>
                <w:sz w:val="19"/>
              </w:rPr>
              <w:t>評価した理由</w:t>
            </w:r>
          </w:p>
        </w:tc>
      </w:tr>
      <w:tr>
        <w:trPr>
          <w:cantSplit/>
        </w:trPr>
        <w:tc>
          <w:tcPr>
            <w:tcW w:type="dxa" w:w="2880"/>
            <w:vAlign w:val="center"/>
            <w:shd w:fill="FFFFFF"/>
            <w:tcMar>
              <w:top w:w="85" w:type="dxa"/>
              <w:bottom w:w="85" w:type="dxa"/>
              <w:left w:w="90" w:type="dxa"/>
              <w:right w:w="90" w:type="dxa"/>
            </w:tcMar>
          </w:tcPr>
          <w:p>
            <w:pPr>
              <w:spacing w:after="0" w:line="264" w:lineRule="auto"/>
            </w:pPr>
            <w:r>
              <w:rPr>
                <w:b w:val="0"/>
                <w:color w:val="000000"/>
                <w:sz w:val="19"/>
              </w:rPr>
              <w:t>地域から見る</w:t>
              <w:br/>
              <w:t>テーマから比べる</w:t>
            </w:r>
          </w:p>
        </w:tc>
        <w:tc>
          <w:tcPr>
            <w:tcW w:type="dxa" w:w="7344"/>
            <w:vAlign w:val="center"/>
            <w:shd w:fill="FFFFFF"/>
            <w:tcMar>
              <w:top w:w="85" w:type="dxa"/>
              <w:bottom w:w="85" w:type="dxa"/>
              <w:left w:w="90" w:type="dxa"/>
              <w:right w:w="90" w:type="dxa"/>
            </w:tcMar>
          </w:tcPr>
          <w:p>
            <w:pPr>
              <w:spacing w:after="0" w:line="264" w:lineRule="auto"/>
            </w:pPr>
            <w:r>
              <w:rPr>
                <w:b w:val="0"/>
                <w:color w:val="000000"/>
                <w:sz w:val="19"/>
              </w:rPr>
              <w:t>一つの地域を総合的に理解する作業と、地域間で課題を探す作業を分けられる。</w:t>
            </w:r>
          </w:p>
        </w:tc>
      </w:tr>
      <w:tr>
        <w:trPr>
          <w:cantSplit/>
        </w:trPr>
        <w:tc>
          <w:tcPr>
            <w:tcW w:type="dxa" w:w="2880"/>
            <w:vAlign w:val="center"/>
            <w:shd w:fill="F0F4F7"/>
            <w:tcMar>
              <w:top w:w="85" w:type="dxa"/>
              <w:bottom w:w="85" w:type="dxa"/>
              <w:left w:w="90" w:type="dxa"/>
              <w:right w:w="90" w:type="dxa"/>
            </w:tcMar>
          </w:tcPr>
          <w:p>
            <w:pPr>
              <w:spacing w:after="0" w:line="264" w:lineRule="auto"/>
            </w:pPr>
            <w:r>
              <w:rPr>
                <w:b w:val="0"/>
                <w:color w:val="000000"/>
                <w:sz w:val="19"/>
              </w:rPr>
              <w:t>地図＋図表＋出典</w:t>
            </w:r>
          </w:p>
        </w:tc>
        <w:tc>
          <w:tcPr>
            <w:tcW w:type="dxa" w:w="7344"/>
            <w:vAlign w:val="center"/>
            <w:shd w:fill="F0F4F7"/>
            <w:tcMar>
              <w:top w:w="85" w:type="dxa"/>
              <w:bottom w:w="85" w:type="dxa"/>
              <w:left w:w="90" w:type="dxa"/>
              <w:right w:w="90" w:type="dxa"/>
            </w:tcMar>
          </w:tcPr>
          <w:p>
            <w:pPr>
              <w:spacing w:after="0" w:line="264" w:lineRule="auto"/>
            </w:pPr>
            <w:r>
              <w:rPr>
                <w:b w:val="0"/>
                <w:color w:val="000000"/>
                <w:sz w:val="19"/>
              </w:rPr>
              <w:t>人口ピラミッド、比較、欠測表示により、地域の特徴と根拠を確認できる。</w:t>
            </w:r>
          </w:p>
        </w:tc>
      </w:tr>
      <w:tr>
        <w:trPr>
          <w:cantSplit/>
        </w:trPr>
        <w:tc>
          <w:tcPr>
            <w:tcW w:type="dxa" w:w="2880"/>
            <w:vAlign w:val="center"/>
            <w:shd w:fill="FFFFFF"/>
            <w:tcMar>
              <w:top w:w="85" w:type="dxa"/>
              <w:bottom w:w="85" w:type="dxa"/>
              <w:left w:w="90" w:type="dxa"/>
              <w:right w:w="90" w:type="dxa"/>
            </w:tcMar>
          </w:tcPr>
          <w:p>
            <w:pPr>
              <w:spacing w:after="0" w:line="264" w:lineRule="auto"/>
            </w:pPr>
            <w:r>
              <w:rPr>
                <w:b w:val="0"/>
                <w:color w:val="000000"/>
                <w:sz w:val="19"/>
              </w:rPr>
              <w:t>診断・投資・要求から計画へ</w:t>
            </w:r>
          </w:p>
        </w:tc>
        <w:tc>
          <w:tcPr>
            <w:tcW w:type="dxa" w:w="7344"/>
            <w:vAlign w:val="center"/>
            <w:shd w:fill="FFFFFF"/>
            <w:tcMar>
              <w:top w:w="85" w:type="dxa"/>
              <w:bottom w:w="85" w:type="dxa"/>
              <w:left w:w="90" w:type="dxa"/>
              <w:right w:w="90" w:type="dxa"/>
            </w:tcMar>
          </w:tcPr>
          <w:p>
            <w:pPr>
              <w:spacing w:after="0" w:line="264" w:lineRule="auto"/>
            </w:pPr>
            <w:r>
              <w:rPr>
                <w:b w:val="0"/>
                <w:color w:val="000000"/>
                <w:sz w:val="19"/>
              </w:rPr>
              <w:t>県・地域計画は関連する情報をまとめて参照できる。ベース文書を審議の材料とする考え方も適切。</w:t>
            </w:r>
          </w:p>
        </w:tc>
      </w:tr>
      <w:tr>
        <w:trPr>
          <w:cantSplit/>
        </w:trPr>
        <w:tc>
          <w:tcPr>
            <w:tcW w:type="dxa" w:w="2880"/>
            <w:vAlign w:val="center"/>
            <w:shd w:fill="F0F4F7"/>
            <w:tcMar>
              <w:top w:w="85" w:type="dxa"/>
              <w:bottom w:w="85" w:type="dxa"/>
              <w:left w:w="90" w:type="dxa"/>
              <w:right w:w="90" w:type="dxa"/>
            </w:tcMar>
          </w:tcPr>
          <w:p>
            <w:pPr>
              <w:spacing w:after="0" w:line="264" w:lineRule="auto"/>
            </w:pPr>
            <w:r>
              <w:rPr>
                <w:b w:val="0"/>
                <w:color w:val="000000"/>
                <w:sz w:val="19"/>
              </w:rPr>
              <w:t>共通メニューと用語集</w:t>
            </w:r>
          </w:p>
        </w:tc>
        <w:tc>
          <w:tcPr>
            <w:tcW w:type="dxa" w:w="7344"/>
            <w:vAlign w:val="center"/>
            <w:shd w:fill="F0F4F7"/>
            <w:tcMar>
              <w:top w:w="85" w:type="dxa"/>
              <w:bottom w:w="85" w:type="dxa"/>
              <w:left w:w="90" w:type="dxa"/>
              <w:right w:w="90" w:type="dxa"/>
            </w:tcMar>
          </w:tcPr>
          <w:p>
            <w:pPr>
              <w:spacing w:after="0" w:line="264" w:lineRule="auto"/>
            </w:pPr>
            <w:r>
              <w:rPr>
                <w:b w:val="0"/>
                <w:color w:val="000000"/>
                <w:sz w:val="19"/>
              </w:rPr>
              <w:t>現在位置と専門用語を調べる入口があり、国ごとの制度説明にも応用できる。</w:t>
            </w:r>
          </w:p>
        </w:tc>
      </w:tr>
    </w:tbl>
    <w:p>
      <w:pPr>
        <w:spacing w:after="0"/>
      </w:pPr>
    </w:p>
    <w:p>
      <w:pPr>
        <w:jc w:val="center"/>
      </w:pPr>
      <w:r>
        <w:drawing>
          <wp:inline xmlns:a="http://schemas.openxmlformats.org/drawingml/2006/main" xmlns:pic="http://schemas.openxmlformats.org/drawingml/2006/picture">
            <wp:extent cx="4846320" cy="3329149"/>
            <wp:docPr id="1" name="Picture 1"/>
            <wp:cNvGraphicFramePr>
              <a:graphicFrameLocks noChangeAspect="1"/>
            </wp:cNvGraphicFramePr>
            <a:graphic>
              <a:graphicData uri="http://schemas.openxmlformats.org/drawingml/2006/picture">
                <pic:pic>
                  <pic:nvPicPr>
                    <pic:cNvPr id="0" name="ddpt-audit-home.jpg"/>
                    <pic:cNvPicPr/>
                  </pic:nvPicPr>
                  <pic:blipFill>
                    <a:blip r:embed="rId11"/>
                    <a:stretch>
                      <a:fillRect/>
                    </a:stretch>
                  </pic:blipFill>
                  <pic:spPr>
                    <a:xfrm>
                      <a:off x="0" y="0"/>
                      <a:ext cx="4846320" cy="3329149"/>
                    </a:xfrm>
                    <a:prstGeom prst="rect"/>
                  </pic:spPr>
                </pic:pic>
              </a:graphicData>
            </a:graphic>
          </wp:inline>
        </w:drawing>
      </w:r>
    </w:p>
    <w:p>
      <w:pPr>
        <w:spacing w:after="120"/>
      </w:pPr>
      <w:r>
        <w:rPr>
          <w:sz w:val="16"/>
        </w:rPr>
        <w:t>図1　公開ホームの初期表示。地図による全体把握と共通ナビゲーションは引き継ぎたい。[S01]</w:t>
      </w:r>
    </w:p>
    <w:p>
      <w:r>
        <w:rPr>
          <w:b w:val="0"/>
        </w:rPr>
        <w:t>対象はDDPT-TOPのREADMEに記載された公開先 prodecare.net/viplan/ddpt/。ddpt.top自体は本環境で502となったため、独自ドメインの到達性は未確認。全世界で停止しているという判定ではない。</w:t>
      </w:r>
    </w:p>
    <w:p>
      <w:r>
        <w:br w:type="page"/>
      </w:r>
    </w:p>
    <w:p>
      <w:pPr>
        <w:pStyle w:val="Heading1"/>
      </w:pPr>
      <w:r>
        <w:t>1 仕様確定前に解決したい3点</w:t>
      </w:r>
    </w:p>
    <w:p>
      <w:pPr>
        <w:pStyle w:val="Heading2"/>
      </w:pPr>
      <w:r>
        <w:t>F01　地域を開く詳細ボタンで選択が失われる</w:t>
      </w:r>
    </w:p>
    <w:p>
      <w:r>
        <w:rPr>
          <w:b w:val="0"/>
        </w:rPr>
        <w:t>確認：テーマ別診断で教育施設・県を選び、Valverdeの行（173施設）から「Ver diagnóstico territorial」を押すと、地域診断はSanto Domingo de Guzmánで開いた。 [S02・S03]</w:t>
      </w:r>
    </w:p>
    <w:p>
      <w:r>
        <w:rPr>
          <w:b w:val="0"/>
        </w:rPr>
        <w:t>改善：地域の詳細リンクは国・行政単位・公式コードを引き継ぐ。県の診断に対応しない場合は、その県内の地域を選ばせ、首都へ無言で切り替えない。</w:t>
      </w:r>
    </w:p>
    <w:p>
      <w:r>
        <w:rPr>
          <w:b w:val="0"/>
        </w:rPr>
        <w:t>留保：上位メニューから全国の入口に戻す動作とは区別する。計画入口には地域選択を引き継がず開く旨の説明があり、それ自体を不具合とは判定していない。</w:t>
      </w:r>
    </w:p>
    <w:p>
      <w:pPr>
        <w:pStyle w:val="Heading2"/>
      </w:pPr>
      <w:r>
        <w:t>F02　Wordの存在を案内しているが取得方法が見えない</w:t>
      </w:r>
    </w:p>
    <w:p>
      <w:r>
        <w:rPr>
          <w:b w:val="0"/>
        </w:rPr>
        <w:t>確認：未ログインの県計画で「32 Word disponible」、Valverdeのカードでベース文書が利用可能と表示されるが、Wordを取る操作は見えなかった。県の文書リンクはDOMに存在し、display:none・高さ0だった。地域計画でも文書の案内に対して取得操作を確認できなかった。 [S06・S07]</w:t>
      </w:r>
    </w:p>
    <w:p>
      <w:r>
        <w:rPr>
          <w:b w:val="0"/>
        </w:rPr>
        <w:t>改善：取得ボタンを常に見せる。認証が必要なら「ログインしてWordを取得」と理由を表示し、認証後も地域を保持する。未提供ならその状態と代替資料を示す。</w:t>
      </w:r>
    </w:p>
    <w:p>
      <w:r>
        <w:rPr>
          <w:b w:val="0"/>
        </w:rPr>
        <w:t>留保：認証制御が原因かは未確定。ログイン後の取得とWord本文の品質は今回確認していない。</w:t>
      </w:r>
    </w:p>
    <w:p>
      <w:pPr>
        <w:pStyle w:val="Heading2"/>
      </w:pPr>
      <w:r>
        <w:t>F03　ページ間で集計値・基準日の意味を照合しにくい</w:t>
      </w:r>
    </w:p>
    <w:p>
      <w:r>
        <w:rPr>
          <w:b w:val="0"/>
        </w:rPr>
        <w:t>確認：ホームはPMD oficial 45・CDM confirmado 71、市町村計画の全国表示はPMD Oficial 42・CDM 81。両者に2026年7月28日の状態確認日が表示された。公共投資はホーム・専用画面で2,277件（9月11日）、県・地域計画で2,229件（7月31日／8月2日）だった。 [S01・S04・S05・S06・S07]</w:t>
      </w:r>
    </w:p>
    <w:p>
      <w:r>
        <w:rPr>
          <w:b w:val="0"/>
        </w:rPr>
        <w:t>改善：同一定義・同一版の集計は一致させる。確認済みだけを数える等の差があるなら定義を明示する。固定版の計画資料と最新投資データは双方の基準日と差の理由を示す。</w:t>
      </w:r>
    </w:p>
    <w:p>
      <w:r>
        <w:rPr>
          <w:b w:val="0"/>
        </w:rPr>
        <w:t>留保：計算誤りと断定していない。CDMの確認条件、更新版、複数地域事業の集計方法などの照合が必要。</w:t>
      </w:r>
    </w:p>
    <w:p>
      <w:r>
        <w:rPr>
          <w:b/>
        </w:rPr>
        <w:t>この3点は「どの地域の、どの時点の情報を、どう持ち帰れるか」という計画策定の基本操作に関わる。現在の構成を維持し、共通ルールと導線の修正で改善できると判断する。</w:t>
      </w:r>
    </w:p>
    <w:p>
      <w:r>
        <w:br w:type="page"/>
      </w:r>
    </w:p>
    <w:p>
      <w:pPr>
        <w:pStyle w:val="Heading1"/>
      </w:pPr>
      <w:r>
        <w:t>2 読み取りと操作を軽くする改善</w:t>
      </w:r>
    </w:p>
    <w:tbl>
      <w:tblPr>
        <w:tblW w:type="auto" w:w="0"/>
        <w:jc w:val="center"/>
        <w:tblLayout w:type="fixed"/>
        <w:tblLook w:firstColumn="1" w:firstRow="1" w:lastColumn="0" w:lastRow="0" w:noHBand="0" w:noVBand="1" w:val="04A0"/>
      </w:tblPr>
      <w:tblGrid>
        <w:gridCol w:w="1800"/>
        <w:gridCol w:w="3888"/>
        <w:gridCol w:w="4536"/>
      </w:tblGrid>
      <w:tr>
        <w:trPr>
          <w:cantSplit/>
          <w:tblHeader/>
        </w:trPr>
        <w:tc>
          <w:tcPr>
            <w:tcW w:type="dxa" w:w="1800"/>
            <w:vAlign w:val="center"/>
            <w:shd w:fill="203C53"/>
            <w:tcMar>
              <w:top w:w="85" w:type="dxa"/>
              <w:bottom w:w="85" w:type="dxa"/>
              <w:left w:w="90" w:type="dxa"/>
              <w:right w:w="90" w:type="dxa"/>
            </w:tcMar>
          </w:tcPr>
          <w:p>
            <w:pPr>
              <w:spacing w:after="0" w:line="264" w:lineRule="auto"/>
            </w:pPr>
            <w:r>
              <w:rPr>
                <w:b/>
                <w:color w:val="FFFFFF"/>
                <w:sz w:val="19"/>
              </w:rPr>
              <w:t>項目</w:t>
            </w:r>
          </w:p>
        </w:tc>
        <w:tc>
          <w:tcPr>
            <w:tcW w:type="dxa" w:w="3888"/>
            <w:vAlign w:val="center"/>
            <w:shd w:fill="203C53"/>
            <w:tcMar>
              <w:top w:w="85" w:type="dxa"/>
              <w:bottom w:w="85" w:type="dxa"/>
              <w:left w:w="90" w:type="dxa"/>
              <w:right w:w="90" w:type="dxa"/>
            </w:tcMar>
          </w:tcPr>
          <w:p>
            <w:pPr>
              <w:spacing w:after="0" w:line="264" w:lineRule="auto"/>
            </w:pPr>
            <w:r>
              <w:rPr>
                <w:b/>
                <w:color w:val="FFFFFF"/>
                <w:sz w:val="19"/>
              </w:rPr>
              <w:t>確認したこと</w:t>
            </w:r>
          </w:p>
        </w:tc>
        <w:tc>
          <w:tcPr>
            <w:tcW w:type="dxa" w:w="4536"/>
            <w:vAlign w:val="center"/>
            <w:shd w:fill="203C53"/>
            <w:tcMar>
              <w:top w:w="85" w:type="dxa"/>
              <w:bottom w:w="85" w:type="dxa"/>
              <w:left w:w="90" w:type="dxa"/>
              <w:right w:w="90" w:type="dxa"/>
            </w:tcMar>
          </w:tcPr>
          <w:p>
            <w:pPr>
              <w:spacing w:after="0" w:line="264" w:lineRule="auto"/>
            </w:pPr>
            <w:r>
              <w:rPr>
                <w:b/>
                <w:color w:val="FFFFFF"/>
                <w:sz w:val="19"/>
              </w:rPr>
              <w:t>改善方針</w:t>
            </w:r>
          </w:p>
        </w:tc>
      </w:tr>
      <w:tr>
        <w:trPr>
          <w:cantSplit/>
        </w:trPr>
        <w:tc>
          <w:tcPr>
            <w:tcW w:type="dxa" w:w="1800"/>
            <w:vAlign w:val="center"/>
            <w:shd w:fill="FFFFFF"/>
            <w:tcMar>
              <w:top w:w="85" w:type="dxa"/>
              <w:bottom w:w="85" w:type="dxa"/>
              <w:left w:w="90" w:type="dxa"/>
              <w:right w:w="90" w:type="dxa"/>
            </w:tcMar>
          </w:tcPr>
          <w:p>
            <w:pPr>
              <w:spacing w:after="0" w:line="264" w:lineRule="auto"/>
            </w:pPr>
            <w:r>
              <w:rPr>
                <w:b w:val="0"/>
                <w:color w:val="000000"/>
                <w:sz w:val="19"/>
              </w:rPr>
              <w:t>F04 長い診断</w:t>
            </w:r>
          </w:p>
        </w:tc>
        <w:tc>
          <w:tcPr>
            <w:tcW w:type="dxa" w:w="3888"/>
            <w:vAlign w:val="center"/>
            <w:shd w:fill="FFFFFF"/>
            <w:tcMar>
              <w:top w:w="85" w:type="dxa"/>
              <w:bottom w:w="85" w:type="dxa"/>
              <w:left w:w="90" w:type="dxa"/>
              <w:right w:w="90" w:type="dxa"/>
            </w:tcMar>
          </w:tcPr>
          <w:p>
            <w:pPr>
              <w:spacing w:after="0" w:line="264" w:lineRule="auto"/>
            </w:pPr>
            <w:r>
              <w:rPr>
                <w:b w:val="0"/>
                <w:color w:val="000000"/>
                <w:sz w:val="19"/>
              </w:rPr>
              <w:t>約21,417px、約23画面分。比較表と文章診断が下部にある。</w:t>
            </w:r>
          </w:p>
        </w:tc>
        <w:tc>
          <w:tcPr>
            <w:tcW w:type="dxa" w:w="4536"/>
            <w:vAlign w:val="center"/>
            <w:shd w:fill="FFFFFF"/>
            <w:tcMar>
              <w:top w:w="85" w:type="dxa"/>
              <w:bottom w:w="85" w:type="dxa"/>
              <w:left w:w="90" w:type="dxa"/>
              <w:right w:w="90" w:type="dxa"/>
            </w:tcMar>
          </w:tcPr>
          <w:p>
            <w:pPr>
              <w:spacing w:after="0" w:line="264" w:lineRule="auto"/>
            </w:pPr>
            <w:r>
              <w:rPr>
                <w:b w:val="0"/>
                <w:color w:val="000000"/>
                <w:sz w:val="19"/>
              </w:rPr>
              <w:t>章目次・現在位置・要約・章への直接リンクを追加する。</w:t>
            </w:r>
          </w:p>
        </w:tc>
      </w:tr>
      <w:tr>
        <w:trPr>
          <w:cantSplit/>
        </w:trPr>
        <w:tc>
          <w:tcPr>
            <w:tcW w:type="dxa" w:w="1800"/>
            <w:vAlign w:val="center"/>
            <w:shd w:fill="F0F4F7"/>
            <w:tcMar>
              <w:top w:w="85" w:type="dxa"/>
              <w:bottom w:w="85" w:type="dxa"/>
              <w:left w:w="90" w:type="dxa"/>
              <w:right w:w="90" w:type="dxa"/>
            </w:tcMar>
          </w:tcPr>
          <w:p>
            <w:pPr>
              <w:spacing w:after="0" w:line="264" w:lineRule="auto"/>
            </w:pPr>
            <w:r>
              <w:rPr>
                <w:b w:val="0"/>
                <w:color w:val="000000"/>
                <w:sz w:val="19"/>
              </w:rPr>
              <w:t>F05 上部の情報量</w:t>
            </w:r>
          </w:p>
        </w:tc>
        <w:tc>
          <w:tcPr>
            <w:tcW w:type="dxa" w:w="3888"/>
            <w:vAlign w:val="center"/>
            <w:shd w:fill="F0F4F7"/>
            <w:tcMar>
              <w:top w:w="85" w:type="dxa"/>
              <w:bottom w:w="85" w:type="dxa"/>
              <w:left w:w="90" w:type="dxa"/>
              <w:right w:w="90" w:type="dxa"/>
            </w:tcMar>
          </w:tcPr>
          <w:p>
            <w:pPr>
              <w:spacing w:after="0" w:line="264" w:lineRule="auto"/>
            </w:pPr>
            <w:r>
              <w:rPr>
                <w:b w:val="0"/>
                <w:color w:val="000000"/>
                <w:sz w:val="19"/>
              </w:rPr>
              <w:t>公共投資では説明・見出し・更新情報が重なり、最初の画面に地図が入らない。</w:t>
            </w:r>
          </w:p>
        </w:tc>
        <w:tc>
          <w:tcPr>
            <w:tcW w:type="dxa" w:w="4536"/>
            <w:vAlign w:val="center"/>
            <w:shd w:fill="F0F4F7"/>
            <w:tcMar>
              <w:top w:w="85" w:type="dxa"/>
              <w:bottom w:w="85" w:type="dxa"/>
              <w:left w:w="90" w:type="dxa"/>
              <w:right w:w="90" w:type="dxa"/>
            </w:tcMar>
          </w:tcPr>
          <w:p>
            <w:pPr>
              <w:spacing w:after="0" w:line="264" w:lineRule="auto"/>
            </w:pPr>
            <w:r>
              <w:rPr>
                <w:b w:val="0"/>
                <w:color w:val="000000"/>
                <w:sz w:val="19"/>
              </w:rPr>
              <w:t>タイトルを簡潔にし、出典の詳細を展開式にする。主要な分析領域を早く見せる。</w:t>
            </w:r>
          </w:p>
        </w:tc>
      </w:tr>
      <w:tr>
        <w:trPr>
          <w:cantSplit/>
        </w:trPr>
        <w:tc>
          <w:tcPr>
            <w:tcW w:type="dxa" w:w="1800"/>
            <w:vAlign w:val="center"/>
            <w:shd w:fill="FFFFFF"/>
            <w:tcMar>
              <w:top w:w="85" w:type="dxa"/>
              <w:bottom w:w="85" w:type="dxa"/>
              <w:left w:w="90" w:type="dxa"/>
              <w:right w:w="90" w:type="dxa"/>
            </w:tcMar>
          </w:tcPr>
          <w:p>
            <w:pPr>
              <w:spacing w:after="0" w:line="264" w:lineRule="auto"/>
            </w:pPr>
            <w:r>
              <w:rPr>
                <w:b w:val="0"/>
                <w:color w:val="000000"/>
                <w:sz w:val="19"/>
              </w:rPr>
              <w:t>F06 対象範囲</w:t>
            </w:r>
          </w:p>
        </w:tc>
        <w:tc>
          <w:tcPr>
            <w:tcW w:type="dxa" w:w="3888"/>
            <w:vAlign w:val="center"/>
            <w:shd w:fill="FFFFFF"/>
            <w:tcMar>
              <w:top w:w="85" w:type="dxa"/>
              <w:bottom w:w="85" w:type="dxa"/>
              <w:left w:w="90" w:type="dxa"/>
              <w:right w:w="90" w:type="dxa"/>
            </w:tcMar>
          </w:tcPr>
          <w:p>
            <w:pPr>
              <w:spacing w:after="0" w:line="264" w:lineRule="auto"/>
            </w:pPr>
            <w:r>
              <w:rPr>
                <w:b w:val="0"/>
                <w:color w:val="000000"/>
                <w:sz w:val="19"/>
              </w:rPr>
              <w:t>要求をValverdeで検索しても、上部集計は全国503件のまま。</w:t>
            </w:r>
          </w:p>
        </w:tc>
        <w:tc>
          <w:tcPr>
            <w:tcW w:type="dxa" w:w="4536"/>
            <w:vAlign w:val="center"/>
            <w:shd w:fill="FFFFFF"/>
            <w:tcMar>
              <w:top w:w="85" w:type="dxa"/>
              <w:bottom w:w="85" w:type="dxa"/>
              <w:left w:w="90" w:type="dxa"/>
              <w:right w:w="90" w:type="dxa"/>
            </w:tcMar>
          </w:tcPr>
          <w:p>
            <w:pPr>
              <w:spacing w:after="0" w:line="264" w:lineRule="auto"/>
            </w:pPr>
            <w:r>
              <w:rPr>
                <w:b w:val="0"/>
                <w:color w:val="000000"/>
                <w:sz w:val="19"/>
              </w:rPr>
              <w:t>全国概要と絞り込み結果を区別し、フィルターの適用範囲を示す。</w:t>
            </w:r>
          </w:p>
        </w:tc>
      </w:tr>
      <w:tr>
        <w:trPr>
          <w:cantSplit/>
        </w:trPr>
        <w:tc>
          <w:tcPr>
            <w:tcW w:type="dxa" w:w="1800"/>
            <w:vAlign w:val="center"/>
            <w:shd w:fill="F0F4F7"/>
            <w:tcMar>
              <w:top w:w="85" w:type="dxa"/>
              <w:bottom w:w="85" w:type="dxa"/>
              <w:left w:w="90" w:type="dxa"/>
              <w:right w:w="90" w:type="dxa"/>
            </w:tcMar>
          </w:tcPr>
          <w:p>
            <w:pPr>
              <w:spacing w:after="0" w:line="264" w:lineRule="auto"/>
            </w:pPr>
            <w:r>
              <w:rPr>
                <w:b w:val="0"/>
                <w:color w:val="000000"/>
                <w:sz w:val="19"/>
              </w:rPr>
              <w:t>F07 状態と表記</w:t>
            </w:r>
          </w:p>
        </w:tc>
        <w:tc>
          <w:tcPr>
            <w:tcW w:type="dxa" w:w="3888"/>
            <w:vAlign w:val="center"/>
            <w:shd w:fill="F0F4F7"/>
            <w:tcMar>
              <w:top w:w="85" w:type="dxa"/>
              <w:bottom w:w="85" w:type="dxa"/>
              <w:left w:w="90" w:type="dxa"/>
              <w:right w:w="90" w:type="dxa"/>
            </w:tcMar>
          </w:tcPr>
          <w:p>
            <w:pPr>
              <w:spacing w:after="0" w:line="264" w:lineRule="auto"/>
            </w:pPr>
            <w:r>
              <w:rPr>
                <w:b w:val="0"/>
                <w:color w:val="000000"/>
                <w:sz w:val="19"/>
              </w:rPr>
              <w:t>MaoのOMPPは証拠要確認でもチェック記号。数値区切りや欠測表記も異なる。</w:t>
            </w:r>
          </w:p>
        </w:tc>
        <w:tc>
          <w:tcPr>
            <w:tcW w:type="dxa" w:w="4536"/>
            <w:vAlign w:val="center"/>
            <w:shd w:fill="F0F4F7"/>
            <w:tcMar>
              <w:top w:w="85" w:type="dxa"/>
              <w:bottom w:w="85" w:type="dxa"/>
              <w:left w:w="90" w:type="dxa"/>
              <w:right w:w="90" w:type="dxa"/>
            </w:tcMar>
          </w:tcPr>
          <w:p>
            <w:pPr>
              <w:spacing w:after="0" w:line="264" w:lineRule="auto"/>
            </w:pPr>
            <w:r>
              <w:rPr>
                <w:b w:val="0"/>
                <w:color w:val="000000"/>
                <w:sz w:val="19"/>
              </w:rPr>
              <w:t>確認状態と欠測の意味を揃え、色・記号・文字で示す。言語別の表記を統一する。</w:t>
            </w:r>
          </w:p>
        </w:tc>
      </w:tr>
      <w:tr>
        <w:trPr>
          <w:cantSplit/>
        </w:trPr>
        <w:tc>
          <w:tcPr>
            <w:tcW w:type="dxa" w:w="1800"/>
            <w:vAlign w:val="center"/>
            <w:shd w:fill="FFFFFF"/>
            <w:tcMar>
              <w:top w:w="85" w:type="dxa"/>
              <w:bottom w:w="85" w:type="dxa"/>
              <w:left w:w="90" w:type="dxa"/>
              <w:right w:w="90" w:type="dxa"/>
            </w:tcMar>
          </w:tcPr>
          <w:p>
            <w:pPr>
              <w:spacing w:after="0" w:line="264" w:lineRule="auto"/>
            </w:pPr>
            <w:r>
              <w:rPr>
                <w:b w:val="0"/>
                <w:color w:val="000000"/>
                <w:sz w:val="19"/>
              </w:rPr>
              <w:t>F08 操作名</w:t>
            </w:r>
          </w:p>
        </w:tc>
        <w:tc>
          <w:tcPr>
            <w:tcW w:type="dxa" w:w="3888"/>
            <w:vAlign w:val="center"/>
            <w:shd w:fill="FFFFFF"/>
            <w:tcMar>
              <w:top w:w="85" w:type="dxa"/>
              <w:bottom w:w="85" w:type="dxa"/>
              <w:left w:w="90" w:type="dxa"/>
              <w:right w:w="90" w:type="dxa"/>
            </w:tcMar>
          </w:tcPr>
          <w:p>
            <w:pPr>
              <w:spacing w:after="0" w:line="264" w:lineRule="auto"/>
            </w:pPr>
            <w:r>
              <w:rPr>
                <w:b w:val="0"/>
                <w:color w:val="000000"/>
                <w:sz w:val="19"/>
              </w:rPr>
              <w:t>地域診断の3つの選択欄にアクセシブルな名前を確認できなかった。</w:t>
            </w:r>
          </w:p>
        </w:tc>
        <w:tc>
          <w:tcPr>
            <w:tcW w:type="dxa" w:w="4536"/>
            <w:vAlign w:val="center"/>
            <w:shd w:fill="FFFFFF"/>
            <w:tcMar>
              <w:top w:w="85" w:type="dxa"/>
              <w:bottom w:w="85" w:type="dxa"/>
              <w:left w:w="90" w:type="dxa"/>
              <w:right w:w="90" w:type="dxa"/>
            </w:tcMar>
          </w:tcPr>
          <w:p>
            <w:pPr>
              <w:spacing w:after="0" w:line="264" w:lineRule="auto"/>
            </w:pPr>
            <w:r>
              <w:rPr>
                <w:b w:val="0"/>
                <w:color w:val="000000"/>
                <w:sz w:val="19"/>
              </w:rPr>
              <w:t>ラベルを関連付け、キーボードと読み上げでも地域を選べるようにする。</w:t>
            </w:r>
          </w:p>
        </w:tc>
      </w:tr>
      <w:tr>
        <w:trPr>
          <w:cantSplit/>
        </w:trPr>
        <w:tc>
          <w:tcPr>
            <w:tcW w:type="dxa" w:w="1800"/>
            <w:vAlign w:val="center"/>
            <w:shd w:fill="F0F4F7"/>
            <w:tcMar>
              <w:top w:w="85" w:type="dxa"/>
              <w:bottom w:w="85" w:type="dxa"/>
              <w:left w:w="90" w:type="dxa"/>
              <w:right w:w="90" w:type="dxa"/>
            </w:tcMar>
          </w:tcPr>
          <w:p>
            <w:pPr>
              <w:spacing w:after="0" w:line="264" w:lineRule="auto"/>
            </w:pPr>
            <w:r>
              <w:rPr>
                <w:b w:val="0"/>
                <w:color w:val="000000"/>
                <w:sz w:val="19"/>
              </w:rPr>
              <w:t>F09 文章生成</w:t>
            </w:r>
          </w:p>
        </w:tc>
        <w:tc>
          <w:tcPr>
            <w:tcW w:type="dxa" w:w="3888"/>
            <w:vAlign w:val="center"/>
            <w:shd w:fill="F0F4F7"/>
            <w:tcMar>
              <w:top w:w="85" w:type="dxa"/>
              <w:bottom w:w="85" w:type="dxa"/>
              <w:left w:w="90" w:type="dxa"/>
              <w:right w:w="90" w:type="dxa"/>
            </w:tcMar>
          </w:tcPr>
          <w:p>
            <w:pPr>
              <w:spacing w:after="0" w:line="264" w:lineRule="auto"/>
            </w:pPr>
            <w:r>
              <w:rPr>
                <w:b w:val="0"/>
                <w:color w:val="000000"/>
                <w:sz w:val="19"/>
              </w:rPr>
              <w:t>1回の実行で生成に失敗し、セッション確認・再試行を求められた。</w:t>
            </w:r>
          </w:p>
        </w:tc>
        <w:tc>
          <w:tcPr>
            <w:tcW w:type="dxa" w:w="4536"/>
            <w:vAlign w:val="center"/>
            <w:shd w:fill="F0F4F7"/>
            <w:tcMar>
              <w:top w:w="85" w:type="dxa"/>
              <w:bottom w:w="85" w:type="dxa"/>
              <w:left w:w="90" w:type="dxa"/>
              <w:right w:w="90" w:type="dxa"/>
            </w:tcMar>
          </w:tcPr>
          <w:p>
            <w:pPr>
              <w:spacing w:after="0" w:line="264" w:lineRule="auto"/>
            </w:pPr>
            <w:r>
              <w:rPr>
                <w:b w:val="0"/>
                <w:color w:val="000000"/>
                <w:sz w:val="19"/>
              </w:rPr>
              <w:t>開始条件、待機状態、失敗時の次の操作を示す。原因・再現性を再確認する。</w:t>
            </w:r>
          </w:p>
        </w:tc>
      </w:tr>
    </w:tbl>
    <w:p>
      <w:pPr>
        <w:spacing w:after="0"/>
      </w:pPr>
    </w:p>
    <w:p>
      <w:r>
        <w:rPr>
          <w:b w:val="0"/>
        </w:rPr>
        <w:t>これらは実操作に基づくレビューである。F04・F05は操作負担についての設計上の判断、F06は集計範囲の説明、F09は一度の失敗観察であり、すべてを確定した機能不具合とは扱わない。詳細な再現手順は別添の所見一覧に記載した。</w:t>
      </w:r>
    </w:p>
    <w:p>
      <w:pPr>
        <w:jc w:val="center"/>
      </w:pPr>
      <w:r>
        <w:drawing>
          <wp:inline xmlns:a="http://schemas.openxmlformats.org/drawingml/2006/main" xmlns:pic="http://schemas.openxmlformats.org/drawingml/2006/picture">
            <wp:extent cx="4800600" cy="3297742"/>
            <wp:docPr id="2" name="Picture 2"/>
            <wp:cNvGraphicFramePr>
              <a:graphicFrameLocks noChangeAspect="1"/>
            </wp:cNvGraphicFramePr>
            <a:graphic>
              <a:graphicData uri="http://schemas.openxmlformats.org/drawingml/2006/picture">
                <pic:pic>
                  <pic:nvPicPr>
                    <pic:cNvPr id="0" name="ddpt-audit-investment.jpg"/>
                    <pic:cNvPicPr/>
                  </pic:nvPicPr>
                  <pic:blipFill>
                    <a:blip r:embed="rId12"/>
                    <a:stretch>
                      <a:fillRect/>
                    </a:stretch>
                  </pic:blipFill>
                  <pic:spPr>
                    <a:xfrm>
                      <a:off x="0" y="0"/>
                      <a:ext cx="4800600" cy="3297742"/>
                    </a:xfrm>
                    <a:prstGeom prst="rect"/>
                  </pic:spPr>
                </pic:pic>
              </a:graphicData>
            </a:graphic>
          </wp:inline>
        </w:drawing>
      </w:r>
    </w:p>
    <w:p>
      <w:pPr>
        <w:spacing w:after="120"/>
      </w:pPr>
      <w:r>
        <w:rPr>
          <w:sz w:val="16"/>
        </w:rPr>
        <w:t>図2　公共投資の初期表示。情報は揃っているが、上部の重複を整理すれば地図・分析への到達を早められる。[S04：画像は全国表示]</w:t>
      </w:r>
    </w:p>
    <w:p>
      <w:r>
        <w:br w:type="page"/>
      </w:r>
    </w:p>
    <w:p>
      <w:pPr>
        <w:pStyle w:val="Heading1"/>
      </w:pPr>
      <w:r>
        <w:t>3 世界共通にする仕様の案</w:t>
      </w:r>
    </w:p>
    <w:p>
      <w:r>
        <w:rPr>
          <w:b w:val="0"/>
        </w:rPr>
        <w:t>共通の構成は「国と地域を選ぶ → 診断する → 投資・要求・既存計画と照合する → 根拠付きベース文書を作る」とする。各国の正式な計画・予算・審議手続きには、国別の設定と文書様式で接続する。</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03C53"/>
            <w:tcMar>
              <w:top w:w="85" w:type="dxa"/>
              <w:bottom w:w="85" w:type="dxa"/>
              <w:left w:w="90" w:type="dxa"/>
              <w:right w:w="90" w:type="dxa"/>
            </w:tcMar>
          </w:tcPr>
          <w:p>
            <w:pPr>
              <w:spacing w:after="0" w:line="264" w:lineRule="auto"/>
            </w:pPr>
            <w:r>
              <w:rPr>
                <w:b/>
                <w:color w:val="FFFFFF"/>
                <w:sz w:val="19"/>
              </w:rPr>
              <w:t>共通化する部分</w:t>
            </w:r>
          </w:p>
        </w:tc>
        <w:tc>
          <w:tcPr>
            <w:tcW w:type="dxa" w:w="7848"/>
            <w:vAlign w:val="center"/>
            <w:shd w:fill="203C53"/>
            <w:tcMar>
              <w:top w:w="85" w:type="dxa"/>
              <w:bottom w:w="85" w:type="dxa"/>
              <w:left w:w="90" w:type="dxa"/>
              <w:right w:w="90" w:type="dxa"/>
            </w:tcMar>
          </w:tcPr>
          <w:p>
            <w:pPr>
              <w:spacing w:after="0" w:line="264" w:lineRule="auto"/>
            </w:pPr>
            <w:r>
              <w:rPr>
                <w:b/>
                <w:color w:val="FFFFFF"/>
                <w:sz w:val="19"/>
              </w:rPr>
              <w:t>仕様として定めたいこと</w:t>
            </w:r>
          </w:p>
        </w:tc>
      </w:tr>
      <w:tr>
        <w:trPr>
          <w:cantSplit/>
        </w:trPr>
        <w:tc>
          <w:tcPr>
            <w:tcW w:type="dxa" w:w="2376"/>
            <w:vAlign w:val="center"/>
            <w:shd w:fill="FFFFFF"/>
            <w:tcMar>
              <w:top w:w="85" w:type="dxa"/>
              <w:bottom w:w="85" w:type="dxa"/>
              <w:left w:w="90" w:type="dxa"/>
              <w:right w:w="90" w:type="dxa"/>
            </w:tcMar>
          </w:tcPr>
          <w:p>
            <w:pPr>
              <w:spacing w:after="0" w:line="264" w:lineRule="auto"/>
            </w:pPr>
            <w:r>
              <w:rPr>
                <w:b w:val="0"/>
                <w:color w:val="000000"/>
                <w:sz w:val="19"/>
              </w:rPr>
              <w:t>メニューと現在位置</w:t>
            </w:r>
          </w:p>
        </w:tc>
        <w:tc>
          <w:tcPr>
            <w:tcW w:type="dxa" w:w="7848"/>
            <w:vAlign w:val="center"/>
            <w:shd w:fill="FFFFFF"/>
            <w:tcMar>
              <w:top w:w="85" w:type="dxa"/>
              <w:bottom w:w="85" w:type="dxa"/>
              <w:left w:w="90" w:type="dxa"/>
              <w:right w:w="90" w:type="dxa"/>
            </w:tcMar>
          </w:tcPr>
          <w:p>
            <w:pPr>
              <w:spacing w:after="0" w:line="264" w:lineRule="auto"/>
            </w:pPr>
            <w:r>
              <w:rPr>
                <w:b w:val="0"/>
                <w:color w:val="000000"/>
                <w:sz w:val="19"/>
              </w:rPr>
              <w:t>診断／公共投資／計画／住民要求を主な入口にする。用語集・出典は補助メニュー。国・言語・現在地域を常に確認できる。</w:t>
            </w:r>
          </w:p>
        </w:tc>
      </w:tr>
      <w:tr>
        <w:trPr>
          <w:cantSplit/>
        </w:trPr>
        <w:tc>
          <w:tcPr>
            <w:tcW w:type="dxa" w:w="2376"/>
            <w:vAlign w:val="center"/>
            <w:shd w:fill="F0F4F7"/>
            <w:tcMar>
              <w:top w:w="85" w:type="dxa"/>
              <w:bottom w:w="85" w:type="dxa"/>
              <w:left w:w="90" w:type="dxa"/>
              <w:right w:w="90" w:type="dxa"/>
            </w:tcMar>
          </w:tcPr>
          <w:p>
            <w:pPr>
              <w:spacing w:after="0" w:line="264" w:lineRule="auto"/>
            </w:pPr>
            <w:r>
              <w:rPr>
                <w:b w:val="0"/>
                <w:color w:val="000000"/>
                <w:sz w:val="19"/>
              </w:rPr>
              <w:t>地域の選択と共有</w:t>
            </w:r>
          </w:p>
        </w:tc>
        <w:tc>
          <w:tcPr>
            <w:tcW w:type="dxa" w:w="7848"/>
            <w:vAlign w:val="center"/>
            <w:shd w:fill="F0F4F7"/>
            <w:tcMar>
              <w:top w:w="85" w:type="dxa"/>
              <w:bottom w:w="85" w:type="dxa"/>
              <w:left w:w="90" w:type="dxa"/>
              <w:right w:w="90" w:type="dxa"/>
            </w:tcMar>
          </w:tcPr>
          <w:p>
            <w:pPr>
              <w:spacing w:after="0" w:line="264" w:lineRule="auto"/>
            </w:pPr>
            <w:r>
              <w:rPr>
                <w:b w:val="0"/>
                <w:color w:val="000000"/>
                <w:sz w:val="19"/>
              </w:rPr>
              <w:t>公式コード、行政単位、境界版を持つ。詳細リンク、共有URL、戻る・再読込で選択を復元する。全国へ戻す操作は明示する。</w:t>
            </w:r>
          </w:p>
        </w:tc>
      </w:tr>
      <w:tr>
        <w:trPr>
          <w:cantSplit/>
        </w:trPr>
        <w:tc>
          <w:tcPr>
            <w:tcW w:type="dxa" w:w="2376"/>
            <w:vAlign w:val="center"/>
            <w:shd w:fill="FFFFFF"/>
            <w:tcMar>
              <w:top w:w="85" w:type="dxa"/>
              <w:bottom w:w="85" w:type="dxa"/>
              <w:left w:w="90" w:type="dxa"/>
              <w:right w:w="90" w:type="dxa"/>
            </w:tcMar>
          </w:tcPr>
          <w:p>
            <w:pPr>
              <w:spacing w:after="0" w:line="264" w:lineRule="auto"/>
            </w:pPr>
            <w:r>
              <w:rPr>
                <w:b w:val="0"/>
                <w:color w:val="000000"/>
                <w:sz w:val="19"/>
              </w:rPr>
              <w:t>画面の基本配置</w:t>
            </w:r>
          </w:p>
        </w:tc>
        <w:tc>
          <w:tcPr>
            <w:tcW w:type="dxa" w:w="7848"/>
            <w:vAlign w:val="center"/>
            <w:shd w:fill="FFFFFF"/>
            <w:tcMar>
              <w:top w:w="85" w:type="dxa"/>
              <w:bottom w:w="85" w:type="dxa"/>
              <w:left w:w="90" w:type="dxa"/>
              <w:right w:w="90" w:type="dxa"/>
            </w:tcMar>
          </w:tcPr>
          <w:p>
            <w:pPr>
              <w:spacing w:after="0" w:line="264" w:lineRule="auto"/>
            </w:pPr>
            <w:r>
              <w:rPr>
                <w:b w:val="0"/>
                <w:color w:val="000000"/>
                <w:sz w:val="19"/>
              </w:rPr>
              <w:t>短い目的説明 → 対象地域とフィルター → 主要指標 → 地図／図表と詳細 → 次の作業 → 出典・方法。広域概要と選択地域を区別する。</w:t>
            </w:r>
          </w:p>
        </w:tc>
      </w:tr>
      <w:tr>
        <w:trPr>
          <w:cantSplit/>
        </w:trPr>
        <w:tc>
          <w:tcPr>
            <w:tcW w:type="dxa" w:w="2376"/>
            <w:vAlign w:val="center"/>
            <w:shd w:fill="F0F4F7"/>
            <w:tcMar>
              <w:top w:w="85" w:type="dxa"/>
              <w:bottom w:w="85" w:type="dxa"/>
              <w:left w:w="90" w:type="dxa"/>
              <w:right w:w="90" w:type="dxa"/>
            </w:tcMar>
          </w:tcPr>
          <w:p>
            <w:pPr>
              <w:spacing w:after="0" w:line="264" w:lineRule="auto"/>
            </w:pPr>
            <w:r>
              <w:rPr>
                <w:b w:val="0"/>
                <w:color w:val="000000"/>
                <w:sz w:val="19"/>
              </w:rPr>
              <w:t>指標の読み方</w:t>
            </w:r>
          </w:p>
        </w:tc>
        <w:tc>
          <w:tcPr>
            <w:tcW w:type="dxa" w:w="7848"/>
            <w:vAlign w:val="center"/>
            <w:shd w:fill="F0F4F7"/>
            <w:tcMar>
              <w:top w:w="85" w:type="dxa"/>
              <w:bottom w:w="85" w:type="dxa"/>
              <w:left w:w="90" w:type="dxa"/>
              <w:right w:w="90" w:type="dxa"/>
            </w:tcMar>
          </w:tcPr>
          <w:p>
            <w:pPr>
              <w:spacing w:after="0" w:line="264" w:lineRule="auto"/>
            </w:pPr>
            <w:r>
              <w:rPr>
                <w:b w:val="0"/>
                <w:color w:val="000000"/>
                <w:sz w:val="19"/>
              </w:rPr>
              <w:t>名称、値、単位、基準年、定義、出典、カバー率、比較対象を表示する。施設の総数と人口当たりの充足度を混同しない。</w:t>
            </w:r>
          </w:p>
        </w:tc>
      </w:tr>
      <w:tr>
        <w:trPr>
          <w:cantSplit/>
        </w:trPr>
        <w:tc>
          <w:tcPr>
            <w:tcW w:type="dxa" w:w="2376"/>
            <w:vAlign w:val="center"/>
            <w:shd w:fill="FFFFFF"/>
            <w:tcMar>
              <w:top w:w="85" w:type="dxa"/>
              <w:bottom w:w="85" w:type="dxa"/>
              <w:left w:w="90" w:type="dxa"/>
              <w:right w:w="90" w:type="dxa"/>
            </w:tcMar>
          </w:tcPr>
          <w:p>
            <w:pPr>
              <w:spacing w:after="0" w:line="264" w:lineRule="auto"/>
            </w:pPr>
            <w:r>
              <w:rPr>
                <w:b w:val="0"/>
                <w:color w:val="000000"/>
                <w:sz w:val="19"/>
              </w:rPr>
              <w:t>地図とグラフ</w:t>
            </w:r>
          </w:p>
        </w:tc>
        <w:tc>
          <w:tcPr>
            <w:tcW w:type="dxa" w:w="7848"/>
            <w:vAlign w:val="center"/>
            <w:shd w:fill="FFFFFF"/>
            <w:tcMar>
              <w:top w:w="85" w:type="dxa"/>
              <w:bottom w:w="85" w:type="dxa"/>
              <w:left w:w="90" w:type="dxa"/>
              <w:right w:w="90" w:type="dxa"/>
            </w:tcMar>
          </w:tcPr>
          <w:p>
            <w:pPr>
              <w:spacing w:after="0" w:line="264" w:lineRule="auto"/>
            </w:pPr>
            <w:r>
              <w:rPr>
                <w:b w:val="0"/>
                <w:color w:val="000000"/>
                <w:sz w:val="19"/>
              </w:rPr>
              <w:t>地図の凡例・選択色・欠測色を共通化する。件数、率、時系列、年齢構成に合う図を使い、一覧・検索からも到達できる。</w:t>
            </w:r>
          </w:p>
        </w:tc>
      </w:tr>
      <w:tr>
        <w:trPr>
          <w:cantSplit/>
        </w:trPr>
        <w:tc>
          <w:tcPr>
            <w:tcW w:type="dxa" w:w="2376"/>
            <w:vAlign w:val="center"/>
            <w:shd w:fill="F0F4F7"/>
            <w:tcMar>
              <w:top w:w="85" w:type="dxa"/>
              <w:bottom w:w="85" w:type="dxa"/>
              <w:left w:w="90" w:type="dxa"/>
              <w:right w:w="90" w:type="dxa"/>
            </w:tcMar>
          </w:tcPr>
          <w:p>
            <w:pPr>
              <w:spacing w:after="0" w:line="264" w:lineRule="auto"/>
            </w:pPr>
            <w:r>
              <w:rPr>
                <w:b w:val="0"/>
                <w:color w:val="000000"/>
                <w:sz w:val="19"/>
              </w:rPr>
              <w:t>文書とデータの取得</w:t>
            </w:r>
          </w:p>
        </w:tc>
        <w:tc>
          <w:tcPr>
            <w:tcW w:type="dxa" w:w="7848"/>
            <w:vAlign w:val="center"/>
            <w:shd w:fill="F0F4F7"/>
            <w:tcMar>
              <w:top w:w="85" w:type="dxa"/>
              <w:bottom w:w="85" w:type="dxa"/>
              <w:left w:w="90" w:type="dxa"/>
              <w:right w:w="90" w:type="dxa"/>
            </w:tcMar>
          </w:tcPr>
          <w:p>
            <w:pPr>
              <w:spacing w:after="0" w:line="264" w:lineRule="auto"/>
            </w:pPr>
            <w:r>
              <w:rPr>
                <w:b w:val="0"/>
                <w:color w:val="000000"/>
                <w:sz w:val="19"/>
              </w:rPr>
              <w:t>形式、対象、期間、基準日、取得条件を明示する。画面と同じ地域・フィルターを出力に反映し、出典と欠測理由を添える。</w:t>
            </w:r>
          </w:p>
        </w:tc>
      </w:tr>
      <w:tr>
        <w:trPr>
          <w:cantSplit/>
        </w:trPr>
        <w:tc>
          <w:tcPr>
            <w:tcW w:type="dxa" w:w="2376"/>
            <w:vAlign w:val="center"/>
            <w:shd w:fill="FFFFFF"/>
            <w:tcMar>
              <w:top w:w="85" w:type="dxa"/>
              <w:bottom w:w="85" w:type="dxa"/>
              <w:left w:w="90" w:type="dxa"/>
              <w:right w:w="90" w:type="dxa"/>
            </w:tcMar>
          </w:tcPr>
          <w:p>
            <w:pPr>
              <w:spacing w:after="0" w:line="264" w:lineRule="auto"/>
            </w:pPr>
            <w:r>
              <w:rPr>
                <w:b w:val="0"/>
                <w:color w:val="000000"/>
                <w:sz w:val="19"/>
              </w:rPr>
              <w:t>操作状態</w:t>
            </w:r>
          </w:p>
        </w:tc>
        <w:tc>
          <w:tcPr>
            <w:tcW w:type="dxa" w:w="7848"/>
            <w:vAlign w:val="center"/>
            <w:shd w:fill="FFFFFF"/>
            <w:tcMar>
              <w:top w:w="85" w:type="dxa"/>
              <w:bottom w:w="85" w:type="dxa"/>
              <w:left w:w="90" w:type="dxa"/>
              <w:right w:w="90" w:type="dxa"/>
            </w:tcMar>
          </w:tcPr>
          <w:p>
            <w:pPr>
              <w:spacing w:after="0" w:line="264" w:lineRule="auto"/>
            </w:pPr>
            <w:r>
              <w:rPr>
                <w:b w:val="0"/>
                <w:color w:val="000000"/>
                <w:sz w:val="19"/>
              </w:rPr>
              <w:t>読込中、データなし、非該当、未公開、権限不足、取得失敗を区別する。状態の説明と可能な次の操作を示す。</w:t>
            </w:r>
          </w:p>
        </w:tc>
      </w:tr>
      <w:tr>
        <w:trPr>
          <w:cantSplit/>
        </w:trPr>
        <w:tc>
          <w:tcPr>
            <w:tcW w:type="dxa" w:w="2376"/>
            <w:vAlign w:val="center"/>
            <w:shd w:fill="F0F4F7"/>
            <w:tcMar>
              <w:top w:w="85" w:type="dxa"/>
              <w:bottom w:w="85" w:type="dxa"/>
              <w:left w:w="90" w:type="dxa"/>
              <w:right w:w="90" w:type="dxa"/>
            </w:tcMar>
          </w:tcPr>
          <w:p>
            <w:pPr>
              <w:spacing w:after="0" w:line="264" w:lineRule="auto"/>
            </w:pPr>
            <w:r>
              <w:rPr>
                <w:b w:val="0"/>
                <w:color w:val="000000"/>
                <w:sz w:val="19"/>
              </w:rPr>
              <w:t>見た目と操作部品</w:t>
            </w:r>
          </w:p>
        </w:tc>
        <w:tc>
          <w:tcPr>
            <w:tcW w:type="dxa" w:w="7848"/>
            <w:vAlign w:val="center"/>
            <w:shd w:fill="F0F4F7"/>
            <w:tcMar>
              <w:top w:w="85" w:type="dxa"/>
              <w:bottom w:w="85" w:type="dxa"/>
              <w:left w:w="90" w:type="dxa"/>
              <w:right w:w="90" w:type="dxa"/>
            </w:tcMar>
          </w:tcPr>
          <w:p>
            <w:pPr>
              <w:spacing w:after="0" w:line="264" w:lineRule="auto"/>
            </w:pPr>
            <w:r>
              <w:rPr>
                <w:b w:val="0"/>
                <w:color w:val="000000"/>
                <w:sz w:val="19"/>
              </w:rPr>
              <w:t>文字階層、余白、フィルター、ボタン、カード、表、凡例の規則を共有する。各モジュールの主操作を同じ位置・表現で見つけられるようにする。</w:t>
            </w:r>
          </w:p>
        </w:tc>
      </w:tr>
    </w:tbl>
    <w:p>
      <w:pPr>
        <w:spacing w:after="0"/>
      </w:pPr>
    </w:p>
    <w:p>
      <w:pPr>
        <w:pStyle w:val="Heading2"/>
      </w:pPr>
      <w:r>
        <w:t>国別に変更するもの</w:t>
      </w:r>
    </w:p>
    <w:p>
      <w:r>
        <w:rPr>
          <w:b w:val="0"/>
        </w:rPr>
        <w:t>行政階層と独立した市の扱い、統計地域との対応、境界の有効期間、国家計画の目標体系、地方政府の権限、計画期間・会計年度、住民参加組織、言語・通貨・単位、法定文書様式。ドミ共のRegión／Provincia／MunicipioやENDの軸、CDM等を全世界の必須項目として固定しない。</w:t>
      </w:r>
    </w:p>
    <w:p>
      <w:pPr>
        <w:pStyle w:val="Heading2"/>
      </w:pPr>
      <w:r>
        <w:t>データの少ない国でも同じ作業を続けられるようにする</w:t>
      </w:r>
    </w:p>
    <w:p>
      <w:r>
        <w:rPr>
          <w:b w:val="0"/>
        </w:rPr>
        <w:t>地図の境界がなければ地域一覧、年齢・性別表がなければ人口の基本表を使う。投資案件や住民要求が未公開なら、その状態と資料登録の入口を示す。データ不足をゼロにせず、利用可能な根拠からベース文書を組み立てる。</w:t>
      </w:r>
    </w:p>
    <w:p>
      <w:r>
        <w:br w:type="page"/>
      </w:r>
    </w:p>
    <w:p>
      <w:pPr>
        <w:pStyle w:val="Heading1"/>
      </w:pPr>
      <w:r>
        <w:t>4 ページ群の役割を明確にする</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shd w:fill="203C53"/>
            <w:tcMar>
              <w:top w:w="85" w:type="dxa"/>
              <w:bottom w:w="85" w:type="dxa"/>
              <w:left w:w="90" w:type="dxa"/>
              <w:right w:w="90" w:type="dxa"/>
            </w:tcMar>
          </w:tcPr>
          <w:p>
            <w:pPr>
              <w:spacing w:after="0" w:line="264" w:lineRule="auto"/>
            </w:pPr>
            <w:r>
              <w:rPr>
                <w:b/>
                <w:color w:val="FFFFFF"/>
                <w:sz w:val="19"/>
              </w:rPr>
              <w:t>ページ</w:t>
            </w:r>
          </w:p>
        </w:tc>
        <w:tc>
          <w:tcPr>
            <w:tcW w:type="dxa" w:w="7920"/>
            <w:vAlign w:val="center"/>
            <w:shd w:fill="203C53"/>
            <w:tcMar>
              <w:top w:w="85" w:type="dxa"/>
              <w:bottom w:w="85" w:type="dxa"/>
              <w:left w:w="90" w:type="dxa"/>
              <w:right w:w="90" w:type="dxa"/>
            </w:tcMar>
          </w:tcPr>
          <w:p>
            <w:pPr>
              <w:spacing w:after="0" w:line="264" w:lineRule="auto"/>
            </w:pPr>
            <w:r>
              <w:rPr>
                <w:b/>
                <w:color w:val="FFFFFF"/>
                <w:sz w:val="19"/>
              </w:rPr>
              <w:t>利用者の目的と推奨する主操作</w:t>
            </w:r>
          </w:p>
        </w:tc>
      </w:tr>
      <w:tr>
        <w:trPr>
          <w:cantSplit/>
        </w:trPr>
        <w:tc>
          <w:tcPr>
            <w:tcW w:type="dxa" w:w="2304"/>
            <w:vAlign w:val="center"/>
            <w:shd w:fill="FFFFFF"/>
            <w:tcMar>
              <w:top w:w="85" w:type="dxa"/>
              <w:bottom w:w="85" w:type="dxa"/>
              <w:left w:w="90" w:type="dxa"/>
              <w:right w:w="90" w:type="dxa"/>
            </w:tcMar>
          </w:tcPr>
          <w:p>
            <w:pPr>
              <w:spacing w:after="0" w:line="264" w:lineRule="auto"/>
            </w:pPr>
            <w:r>
              <w:rPr>
                <w:b w:val="0"/>
                <w:color w:val="000000"/>
                <w:sz w:val="19"/>
              </w:rPr>
              <w:t>ホーム</w:t>
            </w:r>
          </w:p>
        </w:tc>
        <w:tc>
          <w:tcPr>
            <w:tcW w:type="dxa" w:w="7920"/>
            <w:vAlign w:val="center"/>
            <w:shd w:fill="FFFFFF"/>
            <w:tcMar>
              <w:top w:w="85" w:type="dxa"/>
              <w:bottom w:w="85" w:type="dxa"/>
              <w:left w:w="90" w:type="dxa"/>
              <w:right w:w="90" w:type="dxa"/>
            </w:tcMar>
          </w:tcPr>
          <w:p>
            <w:pPr>
              <w:spacing w:after="0" w:line="264" w:lineRule="auto"/>
            </w:pPr>
            <w:r>
              <w:rPr>
                <w:b w:val="0"/>
                <w:color w:val="000000"/>
                <w:sz w:val="19"/>
              </w:rPr>
              <w:t>自分の地域か比較テーマを選んで作業を始める。全体の概要地図を残し、地域検索と2つの診断入口を上部に置く。</w:t>
            </w:r>
          </w:p>
        </w:tc>
      </w:tr>
      <w:tr>
        <w:trPr>
          <w:cantSplit/>
        </w:trPr>
        <w:tc>
          <w:tcPr>
            <w:tcW w:type="dxa" w:w="2304"/>
            <w:vAlign w:val="center"/>
            <w:shd w:fill="F0F4F7"/>
            <w:tcMar>
              <w:top w:w="85" w:type="dxa"/>
              <w:bottom w:w="85" w:type="dxa"/>
              <w:left w:w="90" w:type="dxa"/>
              <w:right w:w="90" w:type="dxa"/>
            </w:tcMar>
          </w:tcPr>
          <w:p>
            <w:pPr>
              <w:spacing w:after="0" w:line="264" w:lineRule="auto"/>
            </w:pPr>
            <w:r>
              <w:rPr>
                <w:b w:val="0"/>
                <w:color w:val="000000"/>
                <w:sz w:val="19"/>
              </w:rPr>
              <w:t>地域診断</w:t>
            </w:r>
          </w:p>
        </w:tc>
        <w:tc>
          <w:tcPr>
            <w:tcW w:type="dxa" w:w="7920"/>
            <w:vAlign w:val="center"/>
            <w:shd w:fill="F0F4F7"/>
            <w:tcMar>
              <w:top w:w="85" w:type="dxa"/>
              <w:bottom w:w="85" w:type="dxa"/>
              <w:left w:w="90" w:type="dxa"/>
              <w:right w:w="90" w:type="dxa"/>
            </w:tcMar>
          </w:tcPr>
          <w:p>
            <w:pPr>
              <w:spacing w:after="0" w:line="264" w:lineRule="auto"/>
            </w:pPr>
            <w:r>
              <w:rPr>
                <w:b w:val="0"/>
                <w:color w:val="000000"/>
                <w:sz w:val="19"/>
              </w:rPr>
              <w:t>一つの地域の人口・生活・経済・環境を把握する。章目次と重要指標の要約を設け、同じ地域の投資・要求・計画へ進む。</w:t>
            </w:r>
          </w:p>
        </w:tc>
      </w:tr>
      <w:tr>
        <w:trPr>
          <w:cantSplit/>
        </w:trPr>
        <w:tc>
          <w:tcPr>
            <w:tcW w:type="dxa" w:w="2304"/>
            <w:vAlign w:val="center"/>
            <w:shd w:fill="FFFFFF"/>
            <w:tcMar>
              <w:top w:w="85" w:type="dxa"/>
              <w:bottom w:w="85" w:type="dxa"/>
              <w:left w:w="90" w:type="dxa"/>
              <w:right w:w="90" w:type="dxa"/>
            </w:tcMar>
          </w:tcPr>
          <w:p>
            <w:pPr>
              <w:spacing w:after="0" w:line="264" w:lineRule="auto"/>
            </w:pPr>
            <w:r>
              <w:rPr>
                <w:b w:val="0"/>
                <w:color w:val="000000"/>
                <w:sz w:val="19"/>
              </w:rPr>
              <w:t>テーマ別診断</w:t>
            </w:r>
          </w:p>
        </w:tc>
        <w:tc>
          <w:tcPr>
            <w:tcW w:type="dxa" w:w="7920"/>
            <w:vAlign w:val="center"/>
            <w:shd w:fill="FFFFFF"/>
            <w:tcMar>
              <w:top w:w="85" w:type="dxa"/>
              <w:bottom w:w="85" w:type="dxa"/>
              <w:left w:w="90" w:type="dxa"/>
              <w:right w:w="90" w:type="dxa"/>
            </w:tcMar>
          </w:tcPr>
          <w:p>
            <w:pPr>
              <w:spacing w:after="0" w:line="264" w:lineRule="auto"/>
            </w:pPr>
            <w:r>
              <w:rPr>
                <w:b w:val="0"/>
                <w:color w:val="000000"/>
                <w:sz w:val="19"/>
              </w:rPr>
              <w:t>同じ定義・同じ行政単位で地域間の違いを見る。地図・順位・欠測・比較方法を近接させ、選んだ地域の総合診断へ進む。</w:t>
            </w:r>
          </w:p>
        </w:tc>
      </w:tr>
      <w:tr>
        <w:trPr>
          <w:cantSplit/>
        </w:trPr>
        <w:tc>
          <w:tcPr>
            <w:tcW w:type="dxa" w:w="2304"/>
            <w:vAlign w:val="center"/>
            <w:shd w:fill="F0F4F7"/>
            <w:tcMar>
              <w:top w:w="85" w:type="dxa"/>
              <w:bottom w:w="85" w:type="dxa"/>
              <w:left w:w="90" w:type="dxa"/>
              <w:right w:w="90" w:type="dxa"/>
            </w:tcMar>
          </w:tcPr>
          <w:p>
            <w:pPr>
              <w:spacing w:after="0" w:line="264" w:lineRule="auto"/>
            </w:pPr>
            <w:r>
              <w:rPr>
                <w:b w:val="0"/>
                <w:color w:val="000000"/>
                <w:sz w:val="19"/>
              </w:rPr>
              <w:t>公共投資</w:t>
            </w:r>
          </w:p>
        </w:tc>
        <w:tc>
          <w:tcPr>
            <w:tcW w:type="dxa" w:w="7920"/>
            <w:vAlign w:val="center"/>
            <w:shd w:fill="F0F4F7"/>
            <w:tcMar>
              <w:top w:w="85" w:type="dxa"/>
              <w:bottom w:w="85" w:type="dxa"/>
              <w:left w:w="90" w:type="dxa"/>
              <w:right w:w="90" w:type="dxa"/>
            </w:tcMar>
          </w:tcPr>
          <w:p>
            <w:pPr>
              <w:spacing w:after="0" w:line="264" w:lineRule="auto"/>
            </w:pPr>
            <w:r>
              <w:rPr>
                <w:b w:val="0"/>
                <w:color w:val="000000"/>
                <w:sz w:val="19"/>
              </w:rPr>
              <w:t>事業の所在地、金額、進捗を確認する。地図と事業一覧を中心にし、複数地域事業の集計方法を明示する。</w:t>
            </w:r>
          </w:p>
        </w:tc>
      </w:tr>
      <w:tr>
        <w:trPr>
          <w:cantSplit/>
        </w:trPr>
        <w:tc>
          <w:tcPr>
            <w:tcW w:type="dxa" w:w="2304"/>
            <w:vAlign w:val="center"/>
            <w:shd w:fill="FFFFFF"/>
            <w:tcMar>
              <w:top w:w="85" w:type="dxa"/>
              <w:bottom w:w="85" w:type="dxa"/>
              <w:left w:w="90" w:type="dxa"/>
              <w:right w:w="90" w:type="dxa"/>
            </w:tcMar>
          </w:tcPr>
          <w:p>
            <w:pPr>
              <w:spacing w:after="0" w:line="264" w:lineRule="auto"/>
            </w:pPr>
            <w:r>
              <w:rPr>
                <w:b w:val="0"/>
                <w:color w:val="000000"/>
                <w:sz w:val="19"/>
              </w:rPr>
              <w:t>住民要求</w:t>
            </w:r>
          </w:p>
        </w:tc>
        <w:tc>
          <w:tcPr>
            <w:tcW w:type="dxa" w:w="7920"/>
            <w:vAlign w:val="center"/>
            <w:shd w:fill="FFFFFF"/>
            <w:tcMar>
              <w:top w:w="85" w:type="dxa"/>
              <w:bottom w:w="85" w:type="dxa"/>
              <w:left w:w="90" w:type="dxa"/>
              <w:right w:w="90" w:type="dxa"/>
            </w:tcMar>
          </w:tcPr>
          <w:p>
            <w:pPr>
              <w:spacing w:after="0" w:line="264" w:lineRule="auto"/>
            </w:pPr>
            <w:r>
              <w:rPr>
                <w:b w:val="0"/>
                <w:color w:val="000000"/>
                <w:sz w:val="19"/>
              </w:rPr>
              <w:t>地域・分野・担当機関から要求を確認する。検索結果件数を明示し、診断の根拠・対応事業との関係を追えるようにする。</w:t>
            </w:r>
          </w:p>
        </w:tc>
      </w:tr>
      <w:tr>
        <w:trPr>
          <w:cantSplit/>
        </w:trPr>
        <w:tc>
          <w:tcPr>
            <w:tcW w:type="dxa" w:w="2304"/>
            <w:vAlign w:val="center"/>
            <w:shd w:fill="F0F4F7"/>
            <w:tcMar>
              <w:top w:w="85" w:type="dxa"/>
              <w:bottom w:w="85" w:type="dxa"/>
              <w:left w:w="90" w:type="dxa"/>
              <w:right w:w="90" w:type="dxa"/>
            </w:tcMar>
          </w:tcPr>
          <w:p>
            <w:pPr>
              <w:spacing w:after="0" w:line="264" w:lineRule="auto"/>
            </w:pPr>
            <w:r>
              <w:rPr>
                <w:b w:val="0"/>
                <w:color w:val="000000"/>
                <w:sz w:val="19"/>
              </w:rPr>
              <w:t>市町村・県・地域計画</w:t>
            </w:r>
          </w:p>
        </w:tc>
        <w:tc>
          <w:tcPr>
            <w:tcW w:type="dxa" w:w="7920"/>
            <w:vAlign w:val="center"/>
            <w:shd w:fill="F0F4F7"/>
            <w:tcMar>
              <w:top w:w="85" w:type="dxa"/>
              <w:bottom w:w="85" w:type="dxa"/>
              <w:left w:w="90" w:type="dxa"/>
              <w:right w:w="90" w:type="dxa"/>
            </w:tcMar>
          </w:tcPr>
          <w:p>
            <w:pPr>
              <w:spacing w:after="0" w:line="264" w:lineRule="auto"/>
            </w:pPr>
            <w:r>
              <w:rPr>
                <w:b w:val="0"/>
                <w:color w:val="000000"/>
                <w:sz w:val="19"/>
              </w:rPr>
              <w:t>対象単位ごとの既存計画、策定状況、制度・組織、ベース文書に到達する。承認済み計画と策定材料の状態を明確に分ける。</w:t>
            </w:r>
          </w:p>
        </w:tc>
      </w:tr>
      <w:tr>
        <w:trPr>
          <w:cantSplit/>
        </w:trPr>
        <w:tc>
          <w:tcPr>
            <w:tcW w:type="dxa" w:w="2304"/>
            <w:vAlign w:val="center"/>
            <w:shd w:fill="FFFFFF"/>
            <w:tcMar>
              <w:top w:w="85" w:type="dxa"/>
              <w:bottom w:w="85" w:type="dxa"/>
              <w:left w:w="90" w:type="dxa"/>
              <w:right w:w="90" w:type="dxa"/>
            </w:tcMar>
          </w:tcPr>
          <w:p>
            <w:pPr>
              <w:spacing w:after="0" w:line="264" w:lineRule="auto"/>
            </w:pPr>
            <w:r>
              <w:rPr>
                <w:b w:val="0"/>
                <w:color w:val="000000"/>
                <w:sz w:val="19"/>
              </w:rPr>
              <w:t>用語集・出典</w:t>
            </w:r>
          </w:p>
        </w:tc>
        <w:tc>
          <w:tcPr>
            <w:tcW w:type="dxa" w:w="7920"/>
            <w:vAlign w:val="center"/>
            <w:shd w:fill="FFFFFF"/>
            <w:tcMar>
              <w:top w:w="85" w:type="dxa"/>
              <w:bottom w:w="85" w:type="dxa"/>
              <w:left w:w="90" w:type="dxa"/>
              <w:right w:w="90" w:type="dxa"/>
            </w:tcMar>
          </w:tcPr>
          <w:p>
            <w:pPr>
              <w:spacing w:after="0" w:line="264" w:lineRule="auto"/>
            </w:pPr>
            <w:r>
              <w:rPr>
                <w:b w:val="0"/>
                <w:color w:val="000000"/>
                <w:sz w:val="19"/>
              </w:rPr>
              <w:t>指標や制度を調べて元の作業へ戻る。本文中の用語・指標から該当する説明へ直接移動できるようにする。</w:t>
            </w:r>
          </w:p>
        </w:tc>
      </w:tr>
    </w:tbl>
    <w:p>
      <w:pPr>
        <w:spacing w:after="0"/>
      </w:pPr>
    </w:p>
    <w:p>
      <w:pPr>
        <w:pStyle w:val="Heading2"/>
      </w:pPr>
      <w:r>
        <w:t>計画担当者の一巡を中心に検証する</w:t>
      </w:r>
    </w:p>
    <w:p>
      <w:r>
        <w:rPr>
          <w:b w:val="0"/>
        </w:rPr>
        <w:t>地域を選ぶ → 人口構成・サービス・生計の特徴を読む → 既存の投資と計画を確認する → 住民要求と照合して課題を整理する → 根拠付きベース文書を取得する。この一巡で地域・基準日・出典が連続することを、標準化の中心に置く。</w:t>
      </w:r>
    </w:p>
    <w:p>
      <w:pPr>
        <w:pStyle w:val="Heading2"/>
      </w:pPr>
      <w:r>
        <w:t>全国・広域の担当者には比較の入口を残す</w:t>
      </w:r>
    </w:p>
    <w:p>
      <w:r>
        <w:rPr>
          <w:b w:val="0"/>
        </w:rPr>
        <w:t>テーマと行政単位を選ぶ → データの揃う範囲で比較する → 特徴のある地域を開く → 関連する投資・要求・計画を確認する。単純な順位を、そのまま政策上の優先順位に変換しない。</w:t>
      </w:r>
    </w:p>
    <w:p>
      <w:pPr>
        <w:pStyle w:val="Heading2"/>
      </w:pPr>
      <w:r>
        <w:t>ベース文書の位置づけ</w:t>
      </w:r>
    </w:p>
    <w:p>
      <w:r>
        <w:rPr>
          <w:b w:val="0"/>
        </w:rPr>
        <w:t>診断結果・住民の要求・事業候補を審議するための材料として整理する。統計やAI生成文だけで優先順位、住民の合意、正式承認を確定しない。現在の県・地域計画が示す「策定のための材料」という考え方を世界版でも維持する。</w:t>
      </w:r>
    </w:p>
    <w:p>
      <w:r>
        <w:rPr>
          <w:b/>
        </w:rPr>
        <w:t>地域診断とテーマ比較を別の入口にしておくことには意味がある。一方、同じ地域や指標を開くときの操作は共通化する。この組み合わせなら、ページごとの役割を保ちつつ学習負担を減らせる。</w:t>
      </w:r>
    </w:p>
    <w:p>
      <w:r>
        <w:br w:type="page"/>
      </w:r>
    </w:p>
    <w:p>
      <w:pPr>
        <w:pStyle w:val="Heading1"/>
      </w:pPr>
      <w:r>
        <w:t>5 仕様確定の受入条件</w:t>
      </w:r>
    </w:p>
    <w:p>
      <w:r>
        <w:rPr>
          <w:b w:val="0"/>
        </w:rPr>
        <w:t>以下は今回の結果から提案する合格条件であり、すべてを実施済みという意味ではない。まず重大な誤認と作業停止を解消し、その後に共通部品と各国設定を固定する。</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shd w:fill="203C53"/>
            <w:tcMar>
              <w:top w:w="85" w:type="dxa"/>
              <w:bottom w:w="85" w:type="dxa"/>
              <w:left w:w="90" w:type="dxa"/>
              <w:right w:w="90" w:type="dxa"/>
            </w:tcMar>
          </w:tcPr>
          <w:p>
            <w:pPr>
              <w:spacing w:after="0" w:line="264" w:lineRule="auto"/>
            </w:pPr>
            <w:r>
              <w:rPr>
                <w:b/>
                <w:color w:val="FFFFFF"/>
                <w:sz w:val="19"/>
              </w:rPr>
              <w:t>確認すること</w:t>
            </w:r>
          </w:p>
        </w:tc>
        <w:tc>
          <w:tcPr>
            <w:tcW w:type="dxa" w:w="8064"/>
            <w:vAlign w:val="center"/>
            <w:shd w:fill="203C53"/>
            <w:tcMar>
              <w:top w:w="85" w:type="dxa"/>
              <w:bottom w:w="85" w:type="dxa"/>
              <w:left w:w="90" w:type="dxa"/>
              <w:right w:w="90" w:type="dxa"/>
            </w:tcMar>
          </w:tcPr>
          <w:p>
            <w:pPr>
              <w:spacing w:after="0" w:line="264" w:lineRule="auto"/>
            </w:pPr>
            <w:r>
              <w:rPr>
                <w:b/>
                <w:color w:val="FFFFFF"/>
                <w:sz w:val="19"/>
              </w:rPr>
              <w:t>合格条件</w:t>
            </w:r>
          </w:p>
        </w:tc>
      </w:tr>
      <w:tr>
        <w:trPr>
          <w:cantSplit/>
        </w:trPr>
        <w:tc>
          <w:tcPr>
            <w:tcW w:type="dxa" w:w="2160"/>
            <w:vAlign w:val="center"/>
            <w:shd w:fill="FFFFFF"/>
            <w:tcMar>
              <w:top w:w="85" w:type="dxa"/>
              <w:bottom w:w="85" w:type="dxa"/>
              <w:left w:w="90" w:type="dxa"/>
              <w:right w:w="90" w:type="dxa"/>
            </w:tcMar>
          </w:tcPr>
          <w:p>
            <w:pPr>
              <w:spacing w:after="0" w:line="264" w:lineRule="auto"/>
            </w:pPr>
            <w:r>
              <w:rPr>
                <w:b w:val="0"/>
                <w:color w:val="000000"/>
                <w:sz w:val="19"/>
              </w:rPr>
              <w:t>地域の継続</w:t>
            </w:r>
          </w:p>
        </w:tc>
        <w:tc>
          <w:tcPr>
            <w:tcW w:type="dxa" w:w="8064"/>
            <w:vAlign w:val="center"/>
            <w:shd w:fill="FFFFFF"/>
            <w:tcMar>
              <w:top w:w="85" w:type="dxa"/>
              <w:bottom w:w="85" w:type="dxa"/>
              <w:left w:w="90" w:type="dxa"/>
              <w:right w:w="90" w:type="dxa"/>
            </w:tcMar>
          </w:tcPr>
          <w:p>
            <w:pPr>
              <w:spacing w:after="0" w:line="264" w:lineRule="auto"/>
            </w:pPr>
            <w:r>
              <w:rPr>
                <w:b w:val="0"/>
                <w:color w:val="000000"/>
                <w:sz w:val="19"/>
              </w:rPr>
              <w:t>県・市町村・独立市等の代表例で、診断→投資→要求→計画→出力が意図した地域を維持する。共有・再読込・戻るでも対象が分かる。</w:t>
            </w:r>
          </w:p>
        </w:tc>
      </w:tr>
      <w:tr>
        <w:trPr>
          <w:cantSplit/>
        </w:trPr>
        <w:tc>
          <w:tcPr>
            <w:tcW w:type="dxa" w:w="2160"/>
            <w:vAlign w:val="center"/>
            <w:shd w:fill="F0F4F7"/>
            <w:tcMar>
              <w:top w:w="85" w:type="dxa"/>
              <w:bottom w:w="85" w:type="dxa"/>
              <w:left w:w="90" w:type="dxa"/>
              <w:right w:w="90" w:type="dxa"/>
            </w:tcMar>
          </w:tcPr>
          <w:p>
            <w:pPr>
              <w:spacing w:after="0" w:line="264" w:lineRule="auto"/>
            </w:pPr>
            <w:r>
              <w:rPr>
                <w:b w:val="0"/>
                <w:color w:val="000000"/>
                <w:sz w:val="19"/>
              </w:rPr>
              <w:t>数値と版の整合</w:t>
            </w:r>
          </w:p>
        </w:tc>
        <w:tc>
          <w:tcPr>
            <w:tcW w:type="dxa" w:w="8064"/>
            <w:vAlign w:val="center"/>
            <w:shd w:fill="F0F4F7"/>
            <w:tcMar>
              <w:top w:w="85" w:type="dxa"/>
              <w:bottom w:w="85" w:type="dxa"/>
              <w:left w:w="90" w:type="dxa"/>
              <w:right w:w="90" w:type="dxa"/>
            </w:tcMar>
          </w:tcPr>
          <w:p>
            <w:pPr>
              <w:spacing w:after="0" w:line="264" w:lineRule="auto"/>
            </w:pPr>
            <w:r>
              <w:rPr>
                <w:b w:val="0"/>
                <w:color w:val="000000"/>
                <w:sz w:val="19"/>
              </w:rPr>
              <w:t>同一定義・同一基準日のKPIが一致する。異なる版や集計範囲はその理由を説明でき、全国と選択地域を取り違えない。</w:t>
            </w:r>
          </w:p>
        </w:tc>
      </w:tr>
      <w:tr>
        <w:trPr>
          <w:cantSplit/>
        </w:trPr>
        <w:tc>
          <w:tcPr>
            <w:tcW w:type="dxa" w:w="2160"/>
            <w:vAlign w:val="center"/>
            <w:shd w:fill="FFFFFF"/>
            <w:tcMar>
              <w:top w:w="85" w:type="dxa"/>
              <w:bottom w:w="85" w:type="dxa"/>
              <w:left w:w="90" w:type="dxa"/>
              <w:right w:w="90" w:type="dxa"/>
            </w:tcMar>
          </w:tcPr>
          <w:p>
            <w:pPr>
              <w:spacing w:after="0" w:line="264" w:lineRule="auto"/>
            </w:pPr>
            <w:r>
              <w:rPr>
                <w:b w:val="0"/>
                <w:color w:val="000000"/>
                <w:sz w:val="19"/>
              </w:rPr>
              <w:t>取得と認証</w:t>
            </w:r>
          </w:p>
        </w:tc>
        <w:tc>
          <w:tcPr>
            <w:tcW w:type="dxa" w:w="8064"/>
            <w:vAlign w:val="center"/>
            <w:shd w:fill="FFFFFF"/>
            <w:tcMar>
              <w:top w:w="85" w:type="dxa"/>
              <w:bottom w:w="85" w:type="dxa"/>
              <w:left w:w="90" w:type="dxa"/>
              <w:right w:w="90" w:type="dxa"/>
            </w:tcMar>
          </w:tcPr>
          <w:p>
            <w:pPr>
              <w:spacing w:after="0" w:line="264" w:lineRule="auto"/>
            </w:pPr>
            <w:r>
              <w:rPr>
                <w:b w:val="0"/>
                <w:color w:val="000000"/>
                <w:sz w:val="19"/>
              </w:rPr>
              <w:t>Word／PDF／CSVの提供有無と取得条件が見える。認証が必要な場合は復帰先を保ち、取得後の地域・日付・出典が画面と対応する。</w:t>
            </w:r>
          </w:p>
        </w:tc>
      </w:tr>
      <w:tr>
        <w:trPr>
          <w:cantSplit/>
        </w:trPr>
        <w:tc>
          <w:tcPr>
            <w:tcW w:type="dxa" w:w="2160"/>
            <w:vAlign w:val="center"/>
            <w:shd w:fill="F0F4F7"/>
            <w:tcMar>
              <w:top w:w="85" w:type="dxa"/>
              <w:bottom w:w="85" w:type="dxa"/>
              <w:left w:w="90" w:type="dxa"/>
              <w:right w:w="90" w:type="dxa"/>
            </w:tcMar>
          </w:tcPr>
          <w:p>
            <w:pPr>
              <w:spacing w:after="0" w:line="264" w:lineRule="auto"/>
            </w:pPr>
            <w:r>
              <w:rPr>
                <w:b w:val="0"/>
                <w:color w:val="000000"/>
                <w:sz w:val="19"/>
              </w:rPr>
              <w:t>読み取りと移動</w:t>
            </w:r>
          </w:p>
        </w:tc>
        <w:tc>
          <w:tcPr>
            <w:tcW w:type="dxa" w:w="8064"/>
            <w:vAlign w:val="center"/>
            <w:shd w:fill="F0F4F7"/>
            <w:tcMar>
              <w:top w:w="85" w:type="dxa"/>
              <w:bottom w:w="85" w:type="dxa"/>
              <w:left w:w="90" w:type="dxa"/>
              <w:right w:w="90" w:type="dxa"/>
            </w:tcMar>
          </w:tcPr>
          <w:p>
            <w:pPr>
              <w:spacing w:after="0" w:line="264" w:lineRule="auto"/>
            </w:pPr>
            <w:r>
              <w:rPr>
                <w:b w:val="0"/>
                <w:color w:val="000000"/>
                <w:sz w:val="19"/>
              </w:rPr>
              <w:t>重要な章と比較表へ迷わず移動できる。地図の色、率と実数、欠測、確認状態を利用者が説明できる。</w:t>
            </w:r>
          </w:p>
        </w:tc>
      </w:tr>
      <w:tr>
        <w:trPr>
          <w:cantSplit/>
        </w:trPr>
        <w:tc>
          <w:tcPr>
            <w:tcW w:type="dxa" w:w="2160"/>
            <w:vAlign w:val="center"/>
            <w:shd w:fill="FFFFFF"/>
            <w:tcMar>
              <w:top w:w="85" w:type="dxa"/>
              <w:bottom w:w="85" w:type="dxa"/>
              <w:left w:w="90" w:type="dxa"/>
              <w:right w:w="90" w:type="dxa"/>
            </w:tcMar>
          </w:tcPr>
          <w:p>
            <w:pPr>
              <w:spacing w:after="0" w:line="264" w:lineRule="auto"/>
            </w:pPr>
            <w:r>
              <w:rPr>
                <w:b w:val="0"/>
                <w:color w:val="000000"/>
                <w:sz w:val="19"/>
              </w:rPr>
              <w:t>狭い画面と支援技術</w:t>
            </w:r>
          </w:p>
        </w:tc>
        <w:tc>
          <w:tcPr>
            <w:tcW w:type="dxa" w:w="8064"/>
            <w:vAlign w:val="center"/>
            <w:shd w:fill="FFFFFF"/>
            <w:tcMar>
              <w:top w:w="85" w:type="dxa"/>
              <w:bottom w:w="85" w:type="dxa"/>
              <w:left w:w="90" w:type="dxa"/>
              <w:right w:w="90" w:type="dxa"/>
            </w:tcMar>
          </w:tcPr>
          <w:p>
            <w:pPr>
              <w:spacing w:after="0" w:line="264" w:lineRule="auto"/>
            </w:pPr>
            <w:r>
              <w:rPr>
                <w:b w:val="0"/>
                <w:color w:val="000000"/>
                <w:sz w:val="19"/>
              </w:rPr>
              <w:t>320・375・768・1366px程度で確認する。200%文字拡大とキーボード操作を確認し、選択・表・出力が使用可能。地図等の二次元表示は適切な例外として扱う。</w:t>
            </w:r>
          </w:p>
        </w:tc>
      </w:tr>
      <w:tr>
        <w:trPr>
          <w:cantSplit/>
        </w:trPr>
        <w:tc>
          <w:tcPr>
            <w:tcW w:type="dxa" w:w="2160"/>
            <w:vAlign w:val="center"/>
            <w:shd w:fill="F0F4F7"/>
            <w:tcMar>
              <w:top w:w="85" w:type="dxa"/>
              <w:bottom w:w="85" w:type="dxa"/>
              <w:left w:w="90" w:type="dxa"/>
              <w:right w:w="90" w:type="dxa"/>
            </w:tcMar>
          </w:tcPr>
          <w:p>
            <w:pPr>
              <w:spacing w:after="0" w:line="264" w:lineRule="auto"/>
            </w:pPr>
            <w:r>
              <w:rPr>
                <w:b w:val="0"/>
                <w:color w:val="000000"/>
                <w:sz w:val="19"/>
              </w:rPr>
              <w:t>待機・失敗・低帯域</w:t>
            </w:r>
          </w:p>
        </w:tc>
        <w:tc>
          <w:tcPr>
            <w:tcW w:type="dxa" w:w="8064"/>
            <w:vAlign w:val="center"/>
            <w:shd w:fill="F0F4F7"/>
            <w:tcMar>
              <w:top w:w="85" w:type="dxa"/>
              <w:bottom w:w="85" w:type="dxa"/>
              <w:left w:w="90" w:type="dxa"/>
              <w:right w:w="90" w:type="dxa"/>
            </w:tcMar>
          </w:tcPr>
          <w:p>
            <w:pPr>
              <w:spacing w:after="0" w:line="264" w:lineRule="auto"/>
            </w:pPr>
            <w:r>
              <w:rPr>
                <w:b w:val="0"/>
                <w:color w:val="000000"/>
                <w:sz w:val="19"/>
              </w:rPr>
              <w:t>読込中に確定値のゼロを見せない。取得や生成の失敗時に入力・選択を失わず、再試行または代替資料へ進める。</w:t>
            </w:r>
          </w:p>
        </w:tc>
      </w:tr>
      <w:tr>
        <w:trPr>
          <w:cantSplit/>
        </w:trPr>
        <w:tc>
          <w:tcPr>
            <w:tcW w:type="dxa" w:w="2160"/>
            <w:vAlign w:val="center"/>
            <w:shd w:fill="FFFFFF"/>
            <w:tcMar>
              <w:top w:w="85" w:type="dxa"/>
              <w:bottom w:w="85" w:type="dxa"/>
              <w:left w:w="90" w:type="dxa"/>
              <w:right w:w="90" w:type="dxa"/>
            </w:tcMar>
          </w:tcPr>
          <w:p>
            <w:pPr>
              <w:spacing w:after="0" w:line="264" w:lineRule="auto"/>
            </w:pPr>
            <w:r>
              <w:rPr>
                <w:b w:val="0"/>
                <w:color w:val="000000"/>
                <w:sz w:val="19"/>
              </w:rPr>
              <w:t>国別設定</w:t>
            </w:r>
          </w:p>
        </w:tc>
        <w:tc>
          <w:tcPr>
            <w:tcW w:type="dxa" w:w="8064"/>
            <w:vAlign w:val="center"/>
            <w:shd w:fill="FFFFFF"/>
            <w:tcMar>
              <w:top w:w="85" w:type="dxa"/>
              <w:bottom w:w="85" w:type="dxa"/>
              <w:left w:w="90" w:type="dxa"/>
              <w:right w:w="90" w:type="dxa"/>
            </w:tcMar>
          </w:tcPr>
          <w:p>
            <w:pPr>
              <w:spacing w:after="0" w:line="264" w:lineRule="auto"/>
            </w:pPr>
            <w:r>
              <w:rPr>
                <w:b w:val="0"/>
                <w:color w:val="000000"/>
                <w:sz w:val="19"/>
              </w:rPr>
              <w:t>行政階層、独立市、境界変更、言語・通貨・会計年度、欠けているデータを差し替えても共通の作業が成立する。</w:t>
            </w:r>
          </w:p>
        </w:tc>
      </w:tr>
    </w:tbl>
    <w:p>
      <w:pPr>
        <w:spacing w:after="0"/>
      </w:pPr>
    </w:p>
    <w:p>
      <w:pPr>
        <w:pStyle w:val="Heading2"/>
      </w:pPr>
      <w:r>
        <w:t>実利用者による短い検証を追加する</w:t>
      </w:r>
    </w:p>
    <w:p>
      <w:r>
        <w:rPr>
          <w:b w:val="0"/>
        </w:rPr>
        <w:t>地方の計画担当者と中央・広域の担当者を含む5～8人程度を最初の探索的な確認対象とする。人数は統計的な代表性を保証するものではない。ドミ共とウガンダで、都市部・農村部を含む具体的な地域を選び、以下を説明なしで操作してもらう。</w:t>
      </w:r>
    </w:p>
    <w:p>
      <w:r>
        <w:rPr>
          <w:b w:val="0"/>
        </w:rPr>
        <w:t>①人口構成と主要課題を説明する　②同条件の地域と比較する　③関連する投資・要求・既存計画を探す　④出典付きベース文書を取得する。完了できたか、誤った地域・値を採用しなかったか、迷った場所、支援回数、所要時間を記録する。</w:t>
      </w:r>
    </w:p>
    <w:p>
      <w:r>
        <w:rPr>
          <w:b w:val="0"/>
        </w:rPr>
        <w:t>主な作業で地域の誤認や文書取得不能が残る場合は仕様確定を保留する。今回、実利用者によるテスト、SUS等の点数化、作業時間の比較実験は行っていない。</w:t>
      </w:r>
    </w:p>
    <w:p>
      <w:r>
        <w:br w:type="page"/>
      </w:r>
    </w:p>
    <w:p>
      <w:pPr>
        <w:pStyle w:val="Heading1"/>
      </w:pPr>
      <w:r>
        <w:t>6 確認範囲と参照先</w:t>
      </w:r>
    </w:p>
    <w:p>
      <w:r>
        <w:rPr>
          <w:b w:val="0"/>
        </w:rPr>
        <w:t>公開・未ログインのデスクトップ表示で、主要7モジュールとホーム、診断／計画の入口、用語集を確認した。地域・テーマ・フィルターの変更、代表的な詳細リンク、Wordの案内、文章診断の生成を観察した。画面サイズは1363×936 CSS px。ソースコードの修正・公開作業は行っていない。</w:t>
      </w:r>
    </w:p>
    <w:tbl>
      <w:tblPr>
        <w:tblW w:type="auto" w:w="0"/>
        <w:jc w:val="center"/>
        <w:tblLayout w:type="fixed"/>
        <w:tblLook w:firstColumn="1" w:firstRow="1" w:lastColumn="0" w:lastRow="0" w:noHBand="0" w:noVBand="1" w:val="04A0"/>
      </w:tblPr>
      <w:tblGrid>
        <w:gridCol w:w="3744"/>
        <w:gridCol w:w="6480"/>
      </w:tblGrid>
      <w:tr>
        <w:trPr>
          <w:cantSplit/>
          <w:tblHeader/>
        </w:trPr>
        <w:tc>
          <w:tcPr>
            <w:tcW w:type="dxa" w:w="3744"/>
            <w:vAlign w:val="center"/>
            <w:shd w:fill="203C53"/>
            <w:tcMar>
              <w:top w:w="85" w:type="dxa"/>
              <w:bottom w:w="85" w:type="dxa"/>
              <w:left w:w="90" w:type="dxa"/>
              <w:right w:w="90" w:type="dxa"/>
            </w:tcMar>
          </w:tcPr>
          <w:p>
            <w:pPr>
              <w:spacing w:after="0" w:line="264" w:lineRule="auto"/>
            </w:pPr>
            <w:r>
              <w:rPr>
                <w:b/>
                <w:color w:val="FFFFFF"/>
                <w:sz w:val="18"/>
              </w:rPr>
              <w:t>確認できた範囲</w:t>
            </w:r>
          </w:p>
        </w:tc>
        <w:tc>
          <w:tcPr>
            <w:tcW w:type="dxa" w:w="6480"/>
            <w:vAlign w:val="center"/>
            <w:shd w:fill="203C53"/>
            <w:tcMar>
              <w:top w:w="85" w:type="dxa"/>
              <w:bottom w:w="85" w:type="dxa"/>
              <w:left w:w="90" w:type="dxa"/>
              <w:right w:w="90" w:type="dxa"/>
            </w:tcMar>
          </w:tcPr>
          <w:p>
            <w:pPr>
              <w:spacing w:after="0" w:line="264" w:lineRule="auto"/>
            </w:pPr>
            <w:r>
              <w:rPr>
                <w:b/>
                <w:color w:val="FFFFFF"/>
                <w:sz w:val="18"/>
              </w:rPr>
              <w:t>残る検証</w:t>
            </w:r>
          </w:p>
        </w:tc>
      </w:tr>
      <w:tr>
        <w:trPr>
          <w:cantSplit/>
        </w:trPr>
        <w:tc>
          <w:tcPr>
            <w:tcW w:type="dxa" w:w="3744"/>
            <w:vAlign w:val="center"/>
            <w:shd w:fill="FFFFFF"/>
            <w:tcMar>
              <w:top w:w="85" w:type="dxa"/>
              <w:bottom w:w="85" w:type="dxa"/>
              <w:left w:w="90" w:type="dxa"/>
              <w:right w:w="90" w:type="dxa"/>
            </w:tcMar>
          </w:tcPr>
          <w:p>
            <w:pPr>
              <w:spacing w:after="0" w:line="264" w:lineRule="auto"/>
            </w:pPr>
            <w:r>
              <w:rPr>
                <w:b w:val="0"/>
                <w:color w:val="000000"/>
                <w:sz w:val="18"/>
              </w:rPr>
              <w:t>表示と代表的な操作経路</w:t>
            </w:r>
          </w:p>
        </w:tc>
        <w:tc>
          <w:tcPr>
            <w:tcW w:type="dxa" w:w="6480"/>
            <w:vAlign w:val="center"/>
            <w:shd w:fill="FFFFFF"/>
            <w:tcMar>
              <w:top w:w="85" w:type="dxa"/>
              <w:bottom w:w="85" w:type="dxa"/>
              <w:left w:w="90" w:type="dxa"/>
              <w:right w:w="90" w:type="dxa"/>
            </w:tcMar>
          </w:tcPr>
          <w:p>
            <w:pPr>
              <w:spacing w:after="0" w:line="264" w:lineRule="auto"/>
            </w:pPr>
            <w:r>
              <w:rPr>
                <w:b w:val="0"/>
                <w:color w:val="000000"/>
                <w:sz w:val="18"/>
              </w:rPr>
              <w:t>全自治体・全指標・全リンクの網羅確認は未実施。</w:t>
            </w:r>
          </w:p>
        </w:tc>
      </w:tr>
      <w:tr>
        <w:trPr>
          <w:cantSplit/>
        </w:trPr>
        <w:tc>
          <w:tcPr>
            <w:tcW w:type="dxa" w:w="3744"/>
            <w:vAlign w:val="center"/>
            <w:shd w:fill="F0F4F7"/>
            <w:tcMar>
              <w:top w:w="85" w:type="dxa"/>
              <w:bottom w:w="85" w:type="dxa"/>
              <w:left w:w="90" w:type="dxa"/>
              <w:right w:w="90" w:type="dxa"/>
            </w:tcMar>
          </w:tcPr>
          <w:p>
            <w:pPr>
              <w:spacing w:after="0" w:line="264" w:lineRule="auto"/>
            </w:pPr>
            <w:r>
              <w:rPr>
                <w:b w:val="0"/>
                <w:color w:val="000000"/>
                <w:sz w:val="18"/>
              </w:rPr>
              <w:t>共有URLと選択状態の一部</w:t>
            </w:r>
          </w:p>
        </w:tc>
        <w:tc>
          <w:tcPr>
            <w:tcW w:type="dxa" w:w="6480"/>
            <w:vAlign w:val="center"/>
            <w:shd w:fill="F0F4F7"/>
            <w:tcMar>
              <w:top w:w="85" w:type="dxa"/>
              <w:bottom w:w="85" w:type="dxa"/>
              <w:left w:w="90" w:type="dxa"/>
              <w:right w:w="90" w:type="dxa"/>
            </w:tcMar>
          </w:tcPr>
          <w:p>
            <w:pPr>
              <w:spacing w:after="0" w:line="264" w:lineRule="auto"/>
            </w:pPr>
            <w:r>
              <w:rPr>
                <w:b w:val="0"/>
                <w:color w:val="000000"/>
                <w:sz w:val="18"/>
              </w:rPr>
              <w:t>投資のURL反映、テーマ選択URL、旧投資リンクの地域付き転送は確認。ブラウザの戻る操作全般は未検証。</w:t>
            </w:r>
          </w:p>
        </w:tc>
      </w:tr>
      <w:tr>
        <w:trPr>
          <w:cantSplit/>
        </w:trPr>
        <w:tc>
          <w:tcPr>
            <w:tcW w:type="dxa" w:w="3744"/>
            <w:vAlign w:val="center"/>
            <w:shd w:fill="FFFFFF"/>
            <w:tcMar>
              <w:top w:w="85" w:type="dxa"/>
              <w:bottom w:w="85" w:type="dxa"/>
              <w:left w:w="90" w:type="dxa"/>
              <w:right w:w="90" w:type="dxa"/>
            </w:tcMar>
          </w:tcPr>
          <w:p>
            <w:pPr>
              <w:spacing w:after="0" w:line="264" w:lineRule="auto"/>
            </w:pPr>
            <w:r>
              <w:rPr>
                <w:b w:val="0"/>
                <w:color w:val="000000"/>
                <w:sz w:val="18"/>
              </w:rPr>
              <w:t>取得ボタン・案内の見え方</w:t>
            </w:r>
          </w:p>
        </w:tc>
        <w:tc>
          <w:tcPr>
            <w:tcW w:type="dxa" w:w="6480"/>
            <w:vAlign w:val="center"/>
            <w:shd w:fill="FFFFFF"/>
            <w:tcMar>
              <w:top w:w="85" w:type="dxa"/>
              <w:bottom w:w="85" w:type="dxa"/>
              <w:left w:w="90" w:type="dxa"/>
              <w:right w:w="90" w:type="dxa"/>
            </w:tcMar>
          </w:tcPr>
          <w:p>
            <w:pPr>
              <w:spacing w:after="0" w:line="264" w:lineRule="auto"/>
            </w:pPr>
            <w:r>
              <w:rPr>
                <w:b w:val="0"/>
                <w:color w:val="000000"/>
                <w:sz w:val="18"/>
              </w:rPr>
              <w:t>CSVはダウンロード完了を環境側で確認できず、失敗とは断定しない。ログイン後のWord、PDF・DOCXの内容や出力一致は未検証。</w:t>
            </w:r>
          </w:p>
        </w:tc>
      </w:tr>
      <w:tr>
        <w:trPr>
          <w:cantSplit/>
        </w:trPr>
        <w:tc>
          <w:tcPr>
            <w:tcW w:type="dxa" w:w="3744"/>
            <w:vAlign w:val="center"/>
            <w:shd w:fill="F0F4F7"/>
            <w:tcMar>
              <w:top w:w="85" w:type="dxa"/>
              <w:bottom w:w="85" w:type="dxa"/>
              <w:left w:w="90" w:type="dxa"/>
              <w:right w:w="90" w:type="dxa"/>
            </w:tcMar>
          </w:tcPr>
          <w:p>
            <w:pPr>
              <w:spacing w:after="0" w:line="264" w:lineRule="auto"/>
            </w:pPr>
            <w:r>
              <w:rPr>
                <w:b w:val="0"/>
                <w:color w:val="000000"/>
                <w:sz w:val="18"/>
              </w:rPr>
              <w:t>デスクトップでの読み取り</w:t>
            </w:r>
          </w:p>
        </w:tc>
        <w:tc>
          <w:tcPr>
            <w:tcW w:type="dxa" w:w="6480"/>
            <w:vAlign w:val="center"/>
            <w:shd w:fill="F0F4F7"/>
            <w:tcMar>
              <w:top w:w="85" w:type="dxa"/>
              <w:bottom w:w="85" w:type="dxa"/>
              <w:left w:w="90" w:type="dxa"/>
              <w:right w:w="90" w:type="dxa"/>
            </w:tcMar>
          </w:tcPr>
          <w:p>
            <w:pPr>
              <w:spacing w:after="0" w:line="264" w:lineRule="auto"/>
            </w:pPr>
            <w:r>
              <w:rPr>
                <w:b w:val="0"/>
                <w:color w:val="000000"/>
                <w:sz w:val="18"/>
              </w:rPr>
              <w:t>モバイル実機、画面サイズ変更、200%拡大、全キーボード経路、正式なWCAG監査、低帯域の測定は未実施。</w:t>
            </w:r>
          </w:p>
        </w:tc>
      </w:tr>
    </w:tbl>
    <w:p>
      <w:pPr>
        <w:spacing w:after="0"/>
      </w:pPr>
    </w:p>
    <w:p>
      <w:r>
        <w:rPr>
          <w:b w:val="0"/>
        </w:rPr>
        <w:t>S01～S11はライブ画面での観察先。リンク先は更新されるため、本文の件数・状態は確認時点の観察として読む。添付の所見一覧には再現手順、期待動作、未確定事項を項目ごとに記載した。</w:t>
      </w:r>
    </w:p>
    <w:p>
      <w:pPr>
        <w:spacing w:after="100"/>
      </w:pPr>
      <w:r>
        <w:rPr>
          <w:sz w:val="19"/>
        </w:rPr>
        <w:t xml:space="preserve">S01　</w:t>
      </w:r>
      <w:hyperlink r:id="rId13">
        <w:r>
          <w:rPr>
            <w:color w:val="145A73"/>
          </w:rPr>
          <w:t>ホーム</w:t>
        </w:r>
      </w:hyperlink>
    </w:p>
    <w:p>
      <w:pPr>
        <w:spacing w:after="100"/>
      </w:pPr>
      <w:r>
        <w:rPr>
          <w:sz w:val="19"/>
        </w:rPr>
        <w:t xml:space="preserve">S02　</w:t>
      </w:r>
      <w:hyperlink r:id="rId14">
        <w:r>
          <w:rPr>
            <w:color w:val="145A73"/>
          </w:rPr>
          <w:t>地域診断</w:t>
        </w:r>
      </w:hyperlink>
    </w:p>
    <w:p>
      <w:pPr>
        <w:spacing w:after="100"/>
      </w:pPr>
      <w:r>
        <w:rPr>
          <w:sz w:val="19"/>
        </w:rPr>
        <w:t xml:space="preserve">S03　</w:t>
      </w:r>
      <w:hyperlink r:id="rId15">
        <w:r>
          <w:rPr>
            <w:color w:val="145A73"/>
          </w:rPr>
          <w:t>テーマ別診断：Valverde・教育施設</w:t>
        </w:r>
      </w:hyperlink>
    </w:p>
    <w:p>
      <w:pPr>
        <w:spacing w:after="100"/>
      </w:pPr>
      <w:r>
        <w:rPr>
          <w:sz w:val="19"/>
        </w:rPr>
        <w:t xml:space="preserve">S04　</w:t>
      </w:r>
      <w:hyperlink r:id="rId16">
        <w:r>
          <w:rPr>
            <w:color w:val="145A73"/>
          </w:rPr>
          <w:t>公共投資：Mao</w:t>
        </w:r>
      </w:hyperlink>
    </w:p>
    <w:p>
      <w:pPr>
        <w:spacing w:after="100"/>
      </w:pPr>
      <w:r>
        <w:rPr>
          <w:sz w:val="19"/>
        </w:rPr>
        <w:t xml:space="preserve">S05　</w:t>
      </w:r>
      <w:hyperlink r:id="rId17">
        <w:r>
          <w:rPr>
            <w:color w:val="145A73"/>
          </w:rPr>
          <w:t>市町村計画</w:t>
        </w:r>
      </w:hyperlink>
    </w:p>
    <w:p>
      <w:pPr>
        <w:spacing w:after="100"/>
      </w:pPr>
      <w:r>
        <w:rPr>
          <w:sz w:val="19"/>
        </w:rPr>
        <w:t xml:space="preserve">S06　</w:t>
      </w:r>
      <w:hyperlink r:id="rId18">
        <w:r>
          <w:rPr>
            <w:color w:val="145A73"/>
          </w:rPr>
          <w:t>県計画</w:t>
        </w:r>
      </w:hyperlink>
    </w:p>
    <w:p>
      <w:pPr>
        <w:spacing w:after="100"/>
      </w:pPr>
      <w:r>
        <w:rPr>
          <w:sz w:val="19"/>
        </w:rPr>
        <w:t xml:space="preserve">S07　</w:t>
      </w:r>
      <w:hyperlink r:id="rId19">
        <w:r>
          <w:rPr>
            <w:color w:val="145A73"/>
          </w:rPr>
          <w:t>地域計画</w:t>
        </w:r>
      </w:hyperlink>
    </w:p>
    <w:p>
      <w:pPr>
        <w:spacing w:after="100"/>
      </w:pPr>
      <w:r>
        <w:rPr>
          <w:sz w:val="19"/>
        </w:rPr>
        <w:t xml:space="preserve">S08　</w:t>
      </w:r>
      <w:hyperlink r:id="rId20">
        <w:r>
          <w:rPr>
            <w:color w:val="145A73"/>
          </w:rPr>
          <w:t>県別の住民要求</w:t>
        </w:r>
      </w:hyperlink>
    </w:p>
    <w:p>
      <w:pPr>
        <w:spacing w:after="100"/>
      </w:pPr>
      <w:r>
        <w:rPr>
          <w:sz w:val="19"/>
        </w:rPr>
        <w:t xml:space="preserve">S09　</w:t>
      </w:r>
      <w:hyperlink r:id="rId21">
        <w:r>
          <w:rPr>
            <w:color w:val="145A73"/>
          </w:rPr>
          <w:t>用語集</w:t>
        </w:r>
      </w:hyperlink>
    </w:p>
    <w:p>
      <w:pPr>
        <w:spacing w:after="100"/>
      </w:pPr>
      <w:r>
        <w:rPr>
          <w:sz w:val="19"/>
        </w:rPr>
        <w:t xml:space="preserve">S10　</w:t>
      </w:r>
      <w:hyperlink r:id="rId22">
        <w:r>
          <w:rPr>
            <w:color w:val="145A73"/>
          </w:rPr>
          <w:t>診断の入口</w:t>
        </w:r>
      </w:hyperlink>
    </w:p>
    <w:p>
      <w:pPr>
        <w:spacing w:after="100"/>
      </w:pPr>
      <w:r>
        <w:rPr>
          <w:sz w:val="19"/>
        </w:rPr>
        <w:t xml:space="preserve">S11　</w:t>
      </w:r>
      <w:hyperlink r:id="rId23">
        <w:r>
          <w:rPr>
            <w:color w:val="145A73"/>
          </w:rPr>
          <w:t>計画の入口</w:t>
        </w:r>
      </w:hyperlink>
    </w:p>
    <w:p>
      <w:pPr>
        <w:spacing w:after="100"/>
      </w:pPr>
      <w:r>
        <w:rPr>
          <w:sz w:val="19"/>
        </w:rPr>
        <w:t xml:space="preserve">S12　</w:t>
      </w:r>
      <w:hyperlink r:id="rId24">
        <w:r>
          <w:rPr>
            <w:color w:val="145A73"/>
          </w:rPr>
          <w:t>W3C：WCAG 2.2</w:t>
        </w:r>
      </w:hyperlink>
    </w:p>
    <w:p>
      <w:r>
        <w:rPr>
          <w:b w:val="0"/>
        </w:rPr>
        <w:t>S12は受入条件の参照基準。今回の部分的なラベル確認だけでWCAGへの全面的な適合・不適合を判定していない。</w:t>
      </w:r>
    </w:p>
    <w:sectPr w:rsidR="00FC693F" w:rsidRPr="0006063C" w:rsidSect="00034616">
      <w:headerReference w:type="default" r:id="rId9"/>
      <w:footerReference w:type="default" r:id="rId10"/>
      <w:pgSz w:w="12240" w:h="15840"/>
      <w:pgMar w:top="922" w:right="1008" w:bottom="864"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2026年9月12日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DDPT  |  世界共通仕様に向けたユーザビリティ検証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BIZ UDPGothic" w:hAnsi="BIZ UDPGothic" w:eastAsia="BIZ UDP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BIZ UDPGothic" w:hAnsi="BIZ UDPGothic" w:eastAsia="BIZ UDP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BIZ UDPGothic" w:hAnsi="BIZ UDPGothic" w:eastAsia="BIZ UDP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IZ UDPGothic" w:hAnsi="BIZ UDPGothic" w:eastAsia="BIZ UDP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BIZ UDPGothic" w:hAnsi="BIZ UDPGothic" w:eastAsia="BIZ UDPGothi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BIZ UDPGothic" w:hAnsi="BIZ UDPGothic" w:eastAsia="BIZ UDP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hyperlink" Target="https://prodecare.net/viplan/ddpt/" TargetMode="External"/><Relationship Id="rId14" Type="http://schemas.openxmlformats.org/officeDocument/2006/relationships/hyperlink" Target="https://prodecare.net/viplan/ddpt/diagnostico-territorial/" TargetMode="External"/><Relationship Id="rId15" Type="http://schemas.openxmlformats.org/officeDocument/2006/relationships/hyperlink" Target="https://prodecare.net/viplan/ddpt/diagnostico-tematico-territorial/?modo=tema&amp;tema=educacion&amp;indicador=centros-educativos&amp;nivel=provincia&amp;territorio=prov-27" TargetMode="External"/><Relationship Id="rId16" Type="http://schemas.openxmlformats.org/officeDocument/2006/relationships/hyperlink" Target="https://prodecare.net/viplan/ddpt/inversion-publica-territorial/?metric=projects&amp;region=cibao_noroeste&amp;province=Valverde&amp;municipality=Mao" TargetMode="External"/><Relationship Id="rId17" Type="http://schemas.openxmlformats.org/officeDocument/2006/relationships/hyperlink" Target="https://prodecare.net/viplan/ddpt/planificacion-municipal/" TargetMode="External"/><Relationship Id="rId18" Type="http://schemas.openxmlformats.org/officeDocument/2006/relationships/hyperlink" Target="https://prodecare.net/viplan/ddpt/planificacion-provincial/" TargetMode="External"/><Relationship Id="rId19" Type="http://schemas.openxmlformats.org/officeDocument/2006/relationships/hyperlink" Target="https://prodecare.net/viplan/ddpt/planificacion-regional/" TargetMode="External"/><Relationship Id="rId20" Type="http://schemas.openxmlformats.org/officeDocument/2006/relationships/hyperlink" Target="https://prodecare.net/viplan/ddpt/demandas-provinciales/" TargetMode="External"/><Relationship Id="rId21" Type="http://schemas.openxmlformats.org/officeDocument/2006/relationships/hyperlink" Target="https://prodecare.net/viplan/ddpt/glosario/" TargetMode="External"/><Relationship Id="rId22" Type="http://schemas.openxmlformats.org/officeDocument/2006/relationships/hyperlink" Target="https://prodecare.net/viplan/ddpt/diagnostico/" TargetMode="External"/><Relationship Id="rId23" Type="http://schemas.openxmlformats.org/officeDocument/2006/relationships/hyperlink" Target="https://prodecare.net/viplan/ddpt/planificacion/" TargetMode="External"/><Relationship Id="rId24"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