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María Trinidad Sánchez</w:t>
      </w:r>
    </w:p>
    <w:p>
      <w:pPr>
        <w:spacing w:after="520"/>
        <w:jc w:val="center"/>
      </w:pPr>
      <w:r>
        <w:rPr>
          <w:rFonts w:ascii="Calibri" w:hAnsi="Calibri" w:eastAsia="Calibri"/>
          <w:color w:val="65777E"/>
          <w:sz w:val="26"/>
        </w:rPr>
        <w:t>Región Cibao Nordeste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03140000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María Trinidad Sánchez registró 156,633 habitantes en el Censo 2022, distribuidos entre Nagua, Cabrera, El Factor y Río San Juan.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las diez demandas consolidadas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María Trinidad Sánchez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Nordeste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156,633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Nagua, Cabrera, El Factor y Río San Juan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57,421</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84,173 / 72,460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María Trinidad Sánchez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pStyle w:val="Heading2"/>
      </w:pPr>
      <w:r>
        <w:t>Territorio y población</w:t>
      </w:r>
    </w:p>
    <w:p>
      <w:pPr>
        <w:jc w:val="both"/>
      </w:pPr>
      <w:r>
        <w:rPr>
          <w:rFonts w:ascii="Calibri" w:hAnsi="Calibri" w:eastAsia="Calibri"/>
          <w:b/>
          <w:color w:val="203740"/>
          <w:sz w:val="21"/>
        </w:rPr>
        <w:t>Dato observado.</w:t>
      </w:r>
      <w:r>
        <w:rPr>
          <w:rFonts w:ascii="Calibri" w:hAnsi="Calibri" w:eastAsia="Calibri"/>
          <w:color w:val="203740"/>
          <w:sz w:val="21"/>
        </w:rPr>
        <w:t xml:space="preserve"> Nagua concentra 52.0% de la población provincial; Cabrera, El Factor y Río San Juan reúnen el resto. El agregado no muestra por sí mismo tiempos de viaje, conectividad, dispersión rural, exposición a riesgos ni acceso real a servicios.</w:t>
      </w:r>
    </w:p>
    <w:p>
      <w:pPr>
        <w:jc w:val="both"/>
      </w:pPr>
      <w:r>
        <w:rPr>
          <w:rFonts w:ascii="Calibri" w:hAnsi="Calibri" w:eastAsia="Calibri"/>
          <w:b/>
          <w:color w:val="203740"/>
          <w:sz w:val="21"/>
        </w:rPr>
        <w:t>Verificación requerida.</w:t>
      </w:r>
      <w:r>
        <w:rPr>
          <w:rFonts w:ascii="Calibri" w:hAnsi="Calibri" w:eastAsia="Calibri"/>
          <w:color w:val="203740"/>
          <w:sz w:val="21"/>
        </w:rPr>
        <w:t xml:space="preserve"> Localizar comunidades, corredores, cuencas y equipamientos compartidos; verificar cómo cambian las necesidades entre zonas urbanas y rurales.</w:t>
      </w:r>
    </w:p>
    <w:p>
      <w:pPr>
        <w:pStyle w:val="Heading2"/>
      </w:pPr>
      <w:r>
        <w:t>Servicios básicos</w:t>
      </w:r>
    </w:p>
    <w:p>
      <w:pPr>
        <w:jc w:val="both"/>
      </w:pPr>
      <w:r>
        <w:rPr>
          <w:rFonts w:ascii="Calibri" w:hAnsi="Calibri" w:eastAsia="Calibri"/>
          <w:b/>
          <w:color w:val="203740"/>
          <w:sz w:val="21"/>
        </w:rPr>
        <w:t>Dato observado.</w:t>
      </w:r>
      <w:r>
        <w:rPr>
          <w:rFonts w:ascii="Calibri" w:hAnsi="Calibri" w:eastAsia="Calibri"/>
          <w:color w:val="203740"/>
          <w:sz w:val="21"/>
        </w:rPr>
        <w:t xml:space="preserve"> El Censo registra 61.0% de hogares con agua del acueducto dentro de la vivienda, 78.7% con inodoro y 79.5% con recogida municipal de residuos. Las diferencias entre municipios son visibles.</w:t>
      </w:r>
    </w:p>
    <w:p>
      <w:pPr>
        <w:jc w:val="both"/>
      </w:pPr>
      <w:r>
        <w:rPr>
          <w:rFonts w:ascii="Calibri" w:hAnsi="Calibri" w:eastAsia="Calibri"/>
          <w:b/>
          <w:color w:val="203740"/>
          <w:sz w:val="21"/>
        </w:rPr>
        <w:t>Verificación requerida.</w:t>
      </w:r>
      <w:r>
        <w:rPr>
          <w:rFonts w:ascii="Calibri" w:hAnsi="Calibri" w:eastAsia="Calibri"/>
          <w:color w:val="203740"/>
          <w:sz w:val="21"/>
        </w:rPr>
        <w:t xml:space="preserve"> Comprobar continuidad, presión, potabilidad, frecuencia, rutas, disposición final, costo y población no servida; distinguir competencias municipales y sectoriales.</w:t>
      </w:r>
    </w:p>
    <w:p>
      <w:pPr>
        <w:pStyle w:val="Heading2"/>
      </w:pPr>
      <w:r>
        <w:t>Condiciones sociales</w:t>
      </w:r>
    </w:p>
    <w:p>
      <w:pPr>
        <w:jc w:val="both"/>
      </w:pPr>
      <w:r>
        <w:rPr>
          <w:rFonts w:ascii="Calibri" w:hAnsi="Calibri" w:eastAsia="Calibri"/>
          <w:b/>
          <w:color w:val="203740"/>
          <w:sz w:val="21"/>
        </w:rPr>
        <w:t>Dato observado.</w:t>
      </w:r>
      <w:r>
        <w:rPr>
          <w:rFonts w:ascii="Calibri" w:hAnsi="Calibri" w:eastAsia="Calibri"/>
          <w:color w:val="203740"/>
          <w:sz w:val="21"/>
        </w:rPr>
        <w:t xml:space="preserve"> Los registros 2026 muestran 3.9% de hacinamiento extremo y 9.7% moderado; 13 centros INAIPI y 70.7% de asistencia registrada; 13,064 personas con discapacidad distribuidas por ICV.</w:t>
      </w:r>
    </w:p>
    <w:p>
      <w:pPr>
        <w:jc w:val="both"/>
      </w:pPr>
      <w:r>
        <w:rPr>
          <w:rFonts w:ascii="Calibri" w:hAnsi="Calibri" w:eastAsia="Calibri"/>
          <w:b/>
          <w:color w:val="203740"/>
          <w:sz w:val="21"/>
        </w:rPr>
        <w:t>Verificación requerida.</w:t>
      </w:r>
      <w:r>
        <w:rPr>
          <w:rFonts w:ascii="Calibri" w:hAnsi="Calibri" w:eastAsia="Calibri"/>
          <w:color w:val="203740"/>
          <w:sz w:val="21"/>
        </w:rPr>
        <w:t xml:space="preserve"> Revisar definiciones, evitar tratar presencias como personas únicas y localizar barreras específicas antes de definir población objetivo.</w:t>
      </w:r>
    </w:p>
    <w:p>
      <w:pPr>
        <w:pStyle w:val="Heading2"/>
      </w:pPr>
      <w:r>
        <w:t>Seguridad y movilidad</w:t>
      </w:r>
    </w:p>
    <w:p>
      <w:pPr>
        <w:jc w:val="both"/>
      </w:pPr>
      <w:r>
        <w:rPr>
          <w:rFonts w:ascii="Calibri" w:hAnsi="Calibri" w:eastAsia="Calibri"/>
          <w:b/>
          <w:color w:val="203740"/>
          <w:sz w:val="21"/>
        </w:rPr>
        <w:t>Dato observado.</w:t>
      </w:r>
      <w:r>
        <w:rPr>
          <w:rFonts w:ascii="Calibri" w:hAnsi="Calibri" w:eastAsia="Calibri"/>
          <w:color w:val="203740"/>
          <w:sz w:val="21"/>
        </w:rPr>
        <w:t xml:space="preserve"> La tasa de homicidios fue 8.3 por 100 mil en 2024. La tasa de muertes de tránsito fue 32.6 por 100 mil en 2025, con variación anual considerable.</w:t>
      </w:r>
    </w:p>
    <w:p>
      <w:pPr>
        <w:jc w:val="both"/>
      </w:pPr>
      <w:r>
        <w:rPr>
          <w:rFonts w:ascii="Calibri" w:hAnsi="Calibri" w:eastAsia="Calibri"/>
          <w:b/>
          <w:color w:val="203740"/>
          <w:sz w:val="21"/>
        </w:rPr>
        <w:t>Verificación requerida.</w:t>
      </w:r>
      <w:r>
        <w:rPr>
          <w:rFonts w:ascii="Calibri" w:hAnsi="Calibri" w:eastAsia="Calibri"/>
          <w:color w:val="203740"/>
          <w:sz w:val="21"/>
        </w:rPr>
        <w:t xml:space="preserve"> Desagregar eventos por lugar, vía, horario, sexo, edad y circunstancia; contrastar infraestructura, control, educación y respuesta de emergencia.</w:t>
      </w:r>
    </w:p>
    <w:p>
      <w:pPr>
        <w:pStyle w:val="Heading2"/>
      </w:pPr>
      <w:r>
        <w:t>Educación y economía</w:t>
      </w:r>
    </w:p>
    <w:p>
      <w:pPr>
        <w:jc w:val="both"/>
      </w:pPr>
      <w:r>
        <w:rPr>
          <w:rFonts w:ascii="Calibri" w:hAnsi="Calibri" w:eastAsia="Calibri"/>
          <w:b/>
          <w:color w:val="203740"/>
          <w:sz w:val="21"/>
        </w:rPr>
        <w:t>Dato observado.</w:t>
      </w:r>
      <w:r>
        <w:rPr>
          <w:rFonts w:ascii="Calibri" w:hAnsi="Calibri" w:eastAsia="Calibri"/>
          <w:color w:val="203740"/>
          <w:sz w:val="21"/>
        </w:rPr>
        <w:t xml:space="preserve"> El Anuario 2024 reporta 87.0% de promoción, 5.9% de abandono y 7.1% de reprobación en secundaria. El DEE registra 1,289 establecimientos y empleo estimado de 9,818 personas.</w:t>
      </w:r>
    </w:p>
    <w:p>
      <w:pPr>
        <w:jc w:val="both"/>
      </w:pPr>
      <w:r>
        <w:rPr>
          <w:rFonts w:ascii="Calibri" w:hAnsi="Calibri" w:eastAsia="Calibri"/>
          <w:b/>
          <w:color w:val="203740"/>
          <w:sz w:val="21"/>
        </w:rPr>
        <w:t>Verificación requerida.</w:t>
      </w:r>
      <w:r>
        <w:rPr>
          <w:rFonts w:ascii="Calibri" w:hAnsi="Calibri" w:eastAsia="Calibri"/>
          <w:color w:val="203740"/>
          <w:sz w:val="21"/>
        </w:rPr>
        <w:t xml:space="preserve"> Validar distritos educativos y evitar representar el DEE como totalidad de la economía, pues no cubre adecuadamente informalidad, autoempleo ni producción agropecuaria familiar.</w:t>
      </w:r>
    </w:p>
    <w:p>
      <w:pPr>
        <w:pStyle w:val="Heading2"/>
      </w:pPr>
      <w:r>
        <w:t>Inversión y demandas</w:t>
      </w:r>
    </w:p>
    <w:p>
      <w:pPr>
        <w:jc w:val="both"/>
      </w:pPr>
      <w:r>
        <w:rPr>
          <w:rFonts w:ascii="Calibri" w:hAnsi="Calibri" w:eastAsia="Calibri"/>
          <w:b/>
          <w:color w:val="203740"/>
          <w:sz w:val="21"/>
        </w:rPr>
        <w:t>Dato observado.</w:t>
      </w:r>
      <w:r>
        <w:rPr>
          <w:rFonts w:ascii="Calibri" w:hAnsi="Calibri" w:eastAsia="Calibri"/>
          <w:color w:val="203740"/>
          <w:sz w:val="21"/>
        </w:rPr>
        <w:t xml:space="preserve"> El corte 2026 asocia 50 proyectos, RD$4.83 mil millones de presupuesto y 42.8% de ejecución registrada. El consolidado del CDP incluye diez demandas.</w:t>
      </w:r>
    </w:p>
    <w:p>
      <w:pPr>
        <w:jc w:val="both"/>
      </w:pPr>
      <w:r>
        <w:rPr>
          <w:rFonts w:ascii="Calibri" w:hAnsi="Calibri" w:eastAsia="Calibri"/>
          <w:b/>
          <w:color w:val="203740"/>
          <w:sz w:val="21"/>
        </w:rPr>
        <w:t>Verificación requerida.</w:t>
      </w:r>
      <w:r>
        <w:rPr>
          <w:rFonts w:ascii="Calibri" w:hAnsi="Calibri" w:eastAsia="Calibri"/>
          <w:color w:val="203740"/>
          <w:sz w:val="21"/>
        </w:rPr>
        <w:t xml:space="preserve"> Revisar localización, estado, duplicidades, contratos, madurez técnica, código SNIP, financiamiento y relación con brechas; no equiparar demanda, proyecto aprobado e inversión ejecutada.</w:t>
      </w:r>
    </w:p>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61 instalaciones deportivas; 39 de propiedad municipal; centros de salud presentes en los cuatro municipios.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86.4% y 98.8% en 2018–2025; 50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Diez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61.0% con acueducto dentro; 78.7% con inodoro; diferencias municipales marcadas.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79.5% declara recogida municipal; 16.9% quema residuos; demandas incluyen drenaje y saneamiento.</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32.6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13.6% de hogares con hacinamiento extremo o moderado; 13,064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POR ACORDAR POR EL CDP</w:t>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POR ACORDAR POR EL CDP</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POR ACORDAR POR EL CDP</w:t>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POR ACORDAR POR EL CDP</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POR ACORDAR POR EL CDP</w:t>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POR ACORDAR POR EL CDP</w:t>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diez demandas de María Trinidad Sánchez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edificio para oficinas gubernamentales en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callejón A hasta cruce de Pirula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municipal de El Factor,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Factor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corrección y rehabilitación penitenciario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drenaje pluvial y sanitario del casco urbano de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educativo para atención integral a la discapacidad en el municipio de Cabrera,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Cabrera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CONADIS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municipal de Río San Juan,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Rio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presa sobre el río Boba en el DM Las Gordas, del municipio de Nagua ,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Electrificación del DM Arroyo Al Medio, en Nagua, provincia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y ampliación de la red eléctrica del D.M. Las Gordas, en Nagua, provincia María Trinidad Sánchez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50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Diez demandas de María Trinidad Sánchez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1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María Trinidad Sánchez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María Trinidad Sánchez · 03140000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María Trinidad Sánchez</dc:title>
  <dc:subject>Base técnica para deliberación del Consejo de Desarrollo Provincial</dc:subject>
  <dc:creator>DDPT · Documento base generado para revisión institucional</dc:creator>
  <cp:keywords>María Trinidad Sánchez;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