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spacing w:after="560"/>
        <w:jc w:val="center"/>
      </w:pPr>
      <w:r>
        <w:rPr>
          <w:rFonts w:ascii="Calibri" w:hAnsi="Calibri" w:eastAsia="Calibri"/>
          <w:b/>
          <w:color w:val="B57A16"/>
          <w:sz w:val="20"/>
        </w:rPr>
        <w:t>REPÚBLICA DOMINICANA · PLANIFICACIÓN TERRITORIAL</w:t>
      </w:r>
    </w:p>
    <w:p>
      <w:pPr>
        <w:spacing w:after="60"/>
        <w:jc w:val="center"/>
      </w:pPr>
      <w:r>
        <w:rPr>
          <w:rFonts w:ascii="Calibri" w:hAnsi="Calibri" w:eastAsia="Calibri"/>
          <w:b/>
          <w:color w:val="203740"/>
          <w:sz w:val="34"/>
        </w:rPr>
        <w:t>Documento base para la formulación del</w:t>
      </w:r>
    </w:p>
    <w:p>
      <w:pPr>
        <w:spacing w:after="440"/>
        <w:jc w:val="center"/>
      </w:pPr>
      <w:r>
        <w:rPr>
          <w:rFonts w:ascii="Calibri" w:hAnsi="Calibri" w:eastAsia="Calibri"/>
          <w:b/>
          <w:color w:val="203740"/>
          <w:sz w:val="48"/>
        </w:rPr>
        <w:t>Plan Estratégico de Desarrollo Territorial Provincial</w:t>
      </w:r>
    </w:p>
    <w:p>
      <w:pPr>
        <w:spacing w:after="120"/>
        <w:jc w:val="center"/>
      </w:pPr>
      <w:r>
        <w:rPr>
          <w:rFonts w:ascii="Calibri" w:hAnsi="Calibri" w:eastAsia="Calibri"/>
          <w:b/>
          <w:color w:val="13836D"/>
          <w:sz w:val="44"/>
        </w:rPr>
        <w:t>Monte Cristi</w:t>
      </w:r>
    </w:p>
    <w:p>
      <w:pPr>
        <w:spacing w:after="520"/>
        <w:jc w:val="center"/>
      </w:pPr>
      <w:r>
        <w:rPr>
          <w:rFonts w:ascii="Calibri" w:hAnsi="Calibri" w:eastAsia="Calibri"/>
          <w:color w:val="65777E"/>
          <w:sz w:val="26"/>
        </w:rPr>
        <w:t>Región Cibao Noroeste</w:t>
      </w:r>
    </w:p>
    <w:p>
      <w:pPr>
        <w:spacing w:after="120"/>
        <w:jc w:val="center"/>
      </w:pPr>
      <w:r>
        <w:rPr>
          <w:rFonts w:ascii="Calibri" w:hAnsi="Calibri" w:eastAsia="Calibri"/>
          <w:b/>
          <w:color w:val="B57A16"/>
          <w:sz w:val="26"/>
        </w:rPr>
        <w:t>BORRADOR TÉCNICO PARA REVISIÓN DEL CDP</w:t>
      </w:r>
    </w:p>
    <w:p>
      <w:pPr>
        <w:jc w:val="center"/>
      </w:pPr>
      <w:r>
        <w:rPr>
          <w:rFonts w:ascii="Calibri" w:hAnsi="Calibri" w:eastAsia="Calibri"/>
          <w:color w:val="65777E"/>
          <w:sz w:val="20"/>
        </w:rPr>
        <w:t>Diagnóstico, orientaciones de análisis y espacios para la formulación participativa</w:t>
      </w:r>
    </w:p>
    <w:p/>
    <w:p/>
    <w:p/>
    <w:p/>
    <w:p/>
    <w:p>
      <w:pPr>
        <w:jc w:val="center"/>
      </w:pPr>
      <w:r>
        <w:rPr>
          <w:rFonts w:ascii="Calibri" w:hAnsi="Calibri" w:eastAsia="Calibri"/>
          <w:color w:val="65777E"/>
          <w:sz w:val="18"/>
        </w:rPr>
        <w:t>Código territorial 04150000 · Base estadística 2022–2026</w:t>
      </w:r>
    </w:p>
    <w:p>
      <w:r>
        <w:br w:type="page"/>
      </w:r>
    </w:p>
    <w:p>
      <w:pPr>
        <w:pStyle w:val="Heading1"/>
      </w:pPr>
      <w:r>
        <w:t>Contenido</w:t>
      </w:r>
    </w:p>
    <w:tbl>
      <w:tblPr>
        <w:tblW w:type="auto" w:w="0"/>
        <w:jc w:val="center"/>
        <w:tblLayout w:type="fixed"/>
        <w:tblLook w:firstColumn="1" w:firstRow="1" w:lastColumn="0" w:lastRow="0" w:noHBand="0" w:noVBand="1" w:val="04A0"/>
      </w:tblPr>
      <w:tblGrid>
        <w:gridCol w:w="4680"/>
        <w:gridCol w:w="4680"/>
      </w:tblGrid>
      <w:tr>
        <w:trPr>
          <w:tblHeader w:val="true"/>
        </w:trPr>
        <w:tc>
          <w:tcPr>
            <w:tcW w:type="dxa" w:w="936"/>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8"/>
              </w:rPr>
              <w:t>Parte</w:t>
            </w:r>
          </w:p>
        </w:tc>
        <w:tc>
          <w:tcPr>
            <w:tcW w:type="dxa" w:w="8424"/>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8"/>
              </w:rPr>
              <w:t>Contenido</w:t>
            </w:r>
          </w:p>
        </w:tc>
      </w:tr>
      <w:tr>
        <w:tc>
          <w:tcPr>
            <w:tcW w:type="dxa" w:w="936"/>
            <w:tcMar>
              <w:top w:w="70" w:type="dxa"/>
              <w:start w:w="90" w:type="dxa"/>
              <w:bottom w:w="70" w:type="dxa"/>
              <w:end w:w="90" w:type="dxa"/>
            </w:tcMar>
            <w:vAlign w:val="center"/>
          </w:tcPr>
          <w:p>
            <w:pPr>
              <w:spacing w:after="0" w:line="252" w:lineRule="auto"/>
              <w:jc w:val="left"/>
            </w:pPr>
            <w:r>
              <w:rPr>
                <w:rFonts w:ascii="Calibri" w:hAnsi="Calibri" w:eastAsia="Calibri"/>
                <w:color w:val="203740"/>
                <w:sz w:val="18"/>
              </w:rPr>
              <w:t>1</w:t>
            </w:r>
          </w:p>
        </w:tc>
        <w:tc>
          <w:tcPr>
            <w:tcW w:type="dxa" w:w="8424"/>
            <w:tcMar>
              <w:top w:w="70" w:type="dxa"/>
              <w:start w:w="90" w:type="dxa"/>
              <w:bottom w:w="70" w:type="dxa"/>
              <w:end w:w="90" w:type="dxa"/>
            </w:tcMar>
            <w:vAlign w:val="center"/>
          </w:tcPr>
          <w:p>
            <w:pPr>
              <w:spacing w:after="0" w:line="252" w:lineRule="auto"/>
              <w:jc w:val="left"/>
            </w:pPr>
            <w:r>
              <w:rPr>
                <w:rFonts w:ascii="Calibri" w:hAnsi="Calibri" w:eastAsia="Calibri"/>
                <w:color w:val="203740"/>
                <w:sz w:val="18"/>
              </w:rPr>
              <w:t>Información general, marco jurídico e institucional y metodología</w:t>
            </w:r>
          </w:p>
        </w:tc>
      </w:tr>
      <w:tr>
        <w:tc>
          <w:tcPr>
            <w:tcW w:type="dxa" w:w="93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8"/>
              </w:rPr>
              <w:t>2</w:t>
            </w:r>
          </w:p>
        </w:tc>
        <w:tc>
          <w:tcPr>
            <w:tcW w:type="dxa" w:w="84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8"/>
              </w:rPr>
              <w:t>Diagnóstico provincial: nueve láminas de evidencia factual</w:t>
            </w:r>
          </w:p>
        </w:tc>
      </w:tr>
      <w:tr>
        <w:tc>
          <w:tcPr>
            <w:tcW w:type="dxa" w:w="936"/>
            <w:tcMar>
              <w:top w:w="70" w:type="dxa"/>
              <w:start w:w="90" w:type="dxa"/>
              <w:bottom w:w="70" w:type="dxa"/>
              <w:end w:w="90" w:type="dxa"/>
            </w:tcMar>
            <w:vAlign w:val="center"/>
          </w:tcPr>
          <w:p>
            <w:pPr>
              <w:spacing w:after="0" w:line="252" w:lineRule="auto"/>
              <w:jc w:val="left"/>
            </w:pPr>
            <w:r>
              <w:rPr>
                <w:rFonts w:ascii="Calibri" w:hAnsi="Calibri" w:eastAsia="Calibri"/>
                <w:color w:val="203740"/>
                <w:sz w:val="18"/>
              </w:rPr>
              <w:t>3</w:t>
            </w:r>
          </w:p>
        </w:tc>
        <w:tc>
          <w:tcPr>
            <w:tcW w:type="dxa" w:w="8424"/>
            <w:tcMar>
              <w:top w:w="70" w:type="dxa"/>
              <w:start w:w="90" w:type="dxa"/>
              <w:bottom w:w="70" w:type="dxa"/>
              <w:end w:w="90" w:type="dxa"/>
            </w:tcMar>
            <w:vAlign w:val="center"/>
          </w:tcPr>
          <w:p>
            <w:pPr>
              <w:spacing w:after="0" w:line="252" w:lineRule="auto"/>
              <w:jc w:val="left"/>
            </w:pPr>
            <w:r>
              <w:rPr>
                <w:rFonts w:ascii="Calibri" w:hAnsi="Calibri" w:eastAsia="Calibri"/>
                <w:color w:val="203740"/>
                <w:sz w:val="18"/>
              </w:rPr>
              <w:t>Lectura técnica y matriz de fortalezas/debilidades para validación</w:t>
            </w:r>
          </w:p>
        </w:tc>
      </w:tr>
      <w:tr>
        <w:tc>
          <w:tcPr>
            <w:tcW w:type="dxa" w:w="93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8"/>
              </w:rPr>
              <w:t>4</w:t>
            </w:r>
          </w:p>
        </w:tc>
        <w:tc>
          <w:tcPr>
            <w:tcW w:type="dxa" w:w="84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8"/>
              </w:rPr>
              <w:t>Agenda de concertación y registro de acuerdos del CDP</w:t>
            </w:r>
          </w:p>
        </w:tc>
      </w:tr>
      <w:tr>
        <w:tc>
          <w:tcPr>
            <w:tcW w:type="dxa" w:w="936"/>
            <w:tcMar>
              <w:top w:w="70" w:type="dxa"/>
              <w:start w:w="90" w:type="dxa"/>
              <w:bottom w:w="70" w:type="dxa"/>
              <w:end w:w="90" w:type="dxa"/>
            </w:tcMar>
            <w:vAlign w:val="center"/>
          </w:tcPr>
          <w:p>
            <w:pPr>
              <w:spacing w:after="0" w:line="252" w:lineRule="auto"/>
              <w:jc w:val="left"/>
            </w:pPr>
            <w:r>
              <w:rPr>
                <w:rFonts w:ascii="Calibri" w:hAnsi="Calibri" w:eastAsia="Calibri"/>
                <w:color w:val="203740"/>
                <w:sz w:val="18"/>
              </w:rPr>
              <w:t>5</w:t>
            </w:r>
          </w:p>
        </w:tc>
        <w:tc>
          <w:tcPr>
            <w:tcW w:type="dxa" w:w="8424"/>
            <w:tcMar>
              <w:top w:w="70" w:type="dxa"/>
              <w:start w:w="90" w:type="dxa"/>
              <w:bottom w:w="70" w:type="dxa"/>
              <w:end w:w="90" w:type="dxa"/>
            </w:tcMar>
            <w:vAlign w:val="center"/>
          </w:tcPr>
          <w:p>
            <w:pPr>
              <w:spacing w:after="0" w:line="252" w:lineRule="auto"/>
              <w:jc w:val="left"/>
            </w:pPr>
            <w:r>
              <w:rPr>
                <w:rFonts w:ascii="Calibri" w:hAnsi="Calibri" w:eastAsia="Calibri"/>
                <w:color w:val="203740"/>
                <w:sz w:val="18"/>
              </w:rPr>
              <w:t>Visión, objetivos, resultados y plan de acción por acordar</w:t>
            </w:r>
          </w:p>
        </w:tc>
      </w:tr>
      <w:tr>
        <w:tc>
          <w:tcPr>
            <w:tcW w:type="dxa" w:w="93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8"/>
              </w:rPr>
              <w:t>Anexo</w:t>
            </w:r>
          </w:p>
        </w:tc>
        <w:tc>
          <w:tcPr>
            <w:tcW w:type="dxa" w:w="84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8"/>
              </w:rPr>
              <w:t>Demandas provinciales consolidadas y fuentes de trazabilidad</w:t>
            </w:r>
          </w:p>
        </w:tc>
      </w:tr>
    </w:tbl>
    <w:p>
      <w:pPr>
        <w:pStyle w:val="Heading1"/>
      </w:pPr>
      <w:r>
        <w:t>Síntesis ejecutiva</w:t>
      </w:r>
    </w:p>
    <w:p>
      <w:pPr>
        <w:jc w:val="both"/>
      </w:pPr>
      <w:r>
        <w:rPr>
          <w:rFonts w:ascii="Calibri" w:hAnsi="Calibri" w:eastAsia="Calibri"/>
          <w:color w:val="203740"/>
          <w:sz w:val="21"/>
        </w:rPr>
        <w:t>Monte Cristi registró 123,519 habitantes en el Censo 2022, distribuidos en 6 municipios: Castañuelas, Guayubín, Las Matas de Santa Cruz, Monte Cristi, Pepillo Salcedo y Villa Vásquez. Este documento organiza información factual sobre población, servicios, condiciones sociales, seguridad, educación, economía, salud, deporte, inversión pública, permisos y demandas provinciales.</w:t>
      </w:r>
    </w:p>
    <w:p>
      <w:pPr>
        <w:jc w:val="both"/>
      </w:pPr>
      <w:r>
        <w:rPr>
          <w:rFonts w:ascii="Calibri" w:hAnsi="Calibri" w:eastAsia="Calibri"/>
          <w:color w:val="203740"/>
          <w:sz w:val="21"/>
        </w:rPr>
        <w:t>El diagnóstico no sustituye la deliberación territorial. Las fortalezas y debilidades se presentan como hipótesis sustentadas en evidencia disponible; el Consejo de Desarrollo Provincial debe verificar su localización, vigencia, causalidad, competencia institucional y relevancia antes de convertirlas en visión, objetivos, resultados o acciones.</w:t>
      </w:r>
    </w:p>
    <w:tbl>
      <w:tblPr>
        <w:tblW w:type="auto" w:w="0"/>
        <w:jc w:val="center"/>
        <w:tblLayout w:type="fixed"/>
        <w:tblLook w:firstColumn="1" w:firstRow="1" w:lastColumn="0" w:lastRow="0" w:noHBand="0" w:noVBand="1" w:val="04A0"/>
      </w:tblPr>
      <w:tblGrid>
        <w:gridCol w:w="9360"/>
      </w:tblGrid>
      <w:tr>
        <w:tc>
          <w:tcPr>
            <w:tcW w:type="dxa" w:w="9360"/>
            <w:tcMar>
              <w:top w:w="120" w:type="dxa"/>
              <w:start w:w="140" w:type="dxa"/>
              <w:bottom w:w="120" w:type="dxa"/>
              <w:end w:w="140" w:type="dxa"/>
            </w:tcMar>
            <w:shd w:fill="FCF6E9"/>
          </w:tcPr>
          <w:p>
            <w:pPr>
              <w:spacing w:after="60"/>
            </w:pPr>
            <w:r/>
            <w:r>
              <w:rPr>
                <w:rFonts w:ascii="Calibri" w:hAnsi="Calibri" w:eastAsia="Calibri"/>
                <w:b/>
                <w:color w:val="B57A16"/>
                <w:sz w:val="21"/>
              </w:rPr>
              <w:t>Regla de uso</w:t>
            </w:r>
          </w:p>
          <w:p>
            <w:pPr>
              <w:spacing w:after="0"/>
            </w:pPr>
            <w:r>
              <w:rPr>
                <w:rFonts w:ascii="Calibri" w:hAnsi="Calibri" w:eastAsia="Calibri"/>
                <w:color w:val="203740"/>
                <w:sz w:val="19"/>
              </w:rPr>
              <w:t>Los datos y los registros de demandas (14 en el consolidado consultado) están preelaborados como insumos. Ninguna visión, objetivo, acción, proyecto, meta, presupuesto, responsable o plazo ha sido decidido en este documento.</w:t>
            </w:r>
          </w:p>
        </w:tc>
      </w:tr>
    </w:tbl>
    <w:p>
      <w:r>
        <w:br w:type="page"/>
      </w:r>
    </w:p>
    <w:p>
      <w:pPr>
        <w:pStyle w:val="Heading1"/>
      </w:pPr>
      <w:r>
        <w:t>1. Información general</w:t>
      </w:r>
    </w:p>
    <w:p>
      <w:pPr>
        <w:pStyle w:val="Heading2"/>
      </w:pPr>
      <w:r>
        <w:t>1.1 Equipo de formulación y participación del CDP</w:t>
      </w:r>
    </w:p>
    <w:p>
      <w:pPr>
        <w:jc w:val="both"/>
      </w:pPr>
      <w:r>
        <w:rPr>
          <w:rFonts w:ascii="Calibri" w:hAnsi="Calibri" w:eastAsia="Calibri"/>
          <w:color w:val="203740"/>
          <w:sz w:val="21"/>
        </w:rPr>
        <w:t>La formulación se organiza por funciones institucionales y no por nombres de personas. El CDP deberá completar la integración efectiva, dejar constancia en actas y definir su mecanismo técnico de trabajo.</w:t>
      </w:r>
    </w:p>
    <w:tbl>
      <w:tblPr>
        <w:tblW w:type="auto" w:w="0"/>
        <w:jc w:val="center"/>
        <w:tblLayout w:type="fixed"/>
        <w:tblLook w:firstColumn="1" w:firstRow="1" w:lastColumn="0" w:lastRow="0" w:noHBand="0" w:noVBand="1" w:val="04A0"/>
      </w:tblPr>
      <w:tblGrid>
        <w:gridCol w:w="4680"/>
        <w:gridCol w:w="4680"/>
      </w:tblGrid>
      <w:tr>
        <w:trPr>
          <w:tblHeader w:val="true"/>
        </w:trPr>
        <w:tc>
          <w:tcPr>
            <w:tcW w:type="dxa" w:w="3096"/>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7"/>
              </w:rPr>
              <w:t>Instancia</w:t>
            </w:r>
          </w:p>
        </w:tc>
        <w:tc>
          <w:tcPr>
            <w:tcW w:type="dxa" w:w="6264"/>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7"/>
              </w:rPr>
              <w:t>Función en la formulación</w:t>
            </w:r>
          </w:p>
        </w:tc>
      </w:tr>
      <w:tr>
        <w:tc>
          <w:tcPr>
            <w:tcW w:type="dxa" w:w="3096"/>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Consejo de Desarrollo Provincial (CDP)</w:t>
            </w:r>
          </w:p>
        </w:tc>
        <w:tc>
          <w:tcPr>
            <w:tcW w:type="dxa" w:w="6264"/>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Deliberar, concertar y validar el diagnóstico, la estrategia territorial, las prioridades y el seguimiento.</w:t>
            </w:r>
          </w:p>
        </w:tc>
      </w:tr>
      <w:tr>
        <w:tc>
          <w:tcPr>
            <w:tcW w:type="dxa" w:w="309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Coordinación del CDP</w:t>
            </w:r>
          </w:p>
        </w:tc>
        <w:tc>
          <w:tcPr>
            <w:tcW w:type="dxa" w:w="626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Organizar convocatorias, agenda, articulación institucional y presentación de acuerdos.</w:t>
            </w:r>
          </w:p>
        </w:tc>
      </w:tr>
      <w:tr>
        <w:tc>
          <w:tcPr>
            <w:tcW w:type="dxa" w:w="3096"/>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Secretaría del CDP</w:t>
            </w:r>
          </w:p>
        </w:tc>
        <w:tc>
          <w:tcPr>
            <w:tcW w:type="dxa" w:w="6264"/>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Registrar asistencia, actas, acuerdos, documentación y comunicación de las sesiones.</w:t>
            </w:r>
          </w:p>
        </w:tc>
      </w:tr>
      <w:tr>
        <w:tc>
          <w:tcPr>
            <w:tcW w:type="dxa" w:w="309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Comisión técnica</w:t>
            </w:r>
          </w:p>
        </w:tc>
        <w:tc>
          <w:tcPr>
            <w:tcW w:type="dxa" w:w="626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Verificar fuentes, localizar brechas, preparar alternativas y documentar supuestos para deliberación.</w:t>
            </w:r>
          </w:p>
        </w:tc>
      </w:tr>
      <w:tr>
        <w:tc>
          <w:tcPr>
            <w:tcW w:type="dxa" w:w="3096"/>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Gobiernos locales y consejos municipales</w:t>
            </w:r>
          </w:p>
        </w:tc>
        <w:tc>
          <w:tcPr>
            <w:tcW w:type="dxa" w:w="6264"/>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Aportar PMD, demandas, cartografía, información operativa y conocimiento de municipios y distritos municipales.</w:t>
            </w:r>
          </w:p>
        </w:tc>
      </w:tr>
      <w:tr>
        <w:tc>
          <w:tcPr>
            <w:tcW w:type="dxa" w:w="309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Representación social, económica y sectorial</w:t>
            </w:r>
          </w:p>
        </w:tc>
        <w:tc>
          <w:tcPr>
            <w:tcW w:type="dxa" w:w="626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Contrastar evidencia, expresar perspectivas territoriales y acompañar el seguimiento.</w:t>
            </w:r>
          </w:p>
        </w:tc>
      </w:tr>
    </w:tbl>
    <w:p>
      <w:pPr>
        <w:pStyle w:val="Heading2"/>
      </w:pPr>
      <w:r>
        <w:t>1.2 ¿Qué es este documento?</w:t>
      </w:r>
    </w:p>
    <w:p>
      <w:pPr>
        <w:jc w:val="both"/>
      </w:pPr>
      <w:r>
        <w:rPr>
          <w:rFonts w:ascii="Calibri" w:hAnsi="Calibri" w:eastAsia="Calibri"/>
          <w:color w:val="203740"/>
          <w:sz w:val="21"/>
        </w:rPr>
        <w:t>Es una base técnica de trabajo para que el CDP formule el Plan Estratégico de Desarrollo Territorial correspondiente al nivel provincial. Ordena evidencia, plantea preguntas de validación y ofrece formatos para registrar acuerdos futuros.</w:t>
      </w:r>
    </w:p>
    <w:tbl>
      <w:tblPr>
        <w:tblW w:type="auto" w:w="0"/>
        <w:jc w:val="center"/>
        <w:tblLayout w:type="fixed"/>
        <w:tblLook w:firstColumn="1" w:firstRow="1" w:lastColumn="0" w:lastRow="0" w:noHBand="0" w:noVBand="1" w:val="04A0"/>
      </w:tblPr>
      <w:tblGrid>
        <w:gridCol w:w="9360"/>
      </w:tblGrid>
      <w:tr>
        <w:tc>
          <w:tcPr>
            <w:tcW w:type="dxa" w:w="9360"/>
            <w:tcMar>
              <w:top w:w="120" w:type="dxa"/>
              <w:start w:w="140" w:type="dxa"/>
              <w:bottom w:w="120" w:type="dxa"/>
              <w:end w:w="140" w:type="dxa"/>
            </w:tcMar>
            <w:shd w:fill="EEF7F4"/>
          </w:tcPr>
          <w:p>
            <w:pPr>
              <w:spacing w:after="60"/>
            </w:pPr>
            <w:r/>
            <w:r>
              <w:rPr>
                <w:rFonts w:ascii="Calibri" w:hAnsi="Calibri" w:eastAsia="Calibri"/>
                <w:b/>
                <w:color w:val="13836D"/>
                <w:sz w:val="21"/>
              </w:rPr>
              <w:t>Alcance del documento base</w:t>
            </w:r>
          </w:p>
          <w:p>
            <w:pPr>
              <w:spacing w:after="0"/>
            </w:pPr>
            <w:r>
              <w:rPr>
                <w:rFonts w:ascii="Calibri" w:hAnsi="Calibri" w:eastAsia="Calibri"/>
                <w:color w:val="203740"/>
                <w:sz w:val="19"/>
              </w:rPr>
              <w:t>Organiza evidencia y formatos para que el CDP formule y concerte la vigencia, las prioridades, los compromisos presupuestarios y la cartera de proyectos.</w:t>
            </w:r>
          </w:p>
        </w:tc>
      </w:tr>
    </w:tbl>
    <w:p>
      <w:r>
        <w:br w:type="page"/>
      </w:r>
    </w:p>
    <w:p>
      <w:pPr>
        <w:pStyle w:val="Heading2"/>
      </w:pPr>
      <w:r>
        <w:t>1.3 Identidad y perfil territorial</w:t>
      </w:r>
    </w:p>
    <w:tbl>
      <w:tblPr>
        <w:tblW w:type="auto" w:w="0"/>
        <w:jc w:val="center"/>
        <w:tblLayout w:type="fixed"/>
        <w:tblLook w:firstColumn="1" w:firstRow="1" w:lastColumn="0" w:lastRow="0" w:noHBand="0" w:noVBand="1" w:val="04A0"/>
      </w:tblPr>
      <w:tblGrid>
        <w:gridCol w:w="3120"/>
        <w:gridCol w:w="3120"/>
        <w:gridCol w:w="3120"/>
      </w:tblGrid>
      <w:tr>
        <w:trPr>
          <w:tblHeader w:val="true"/>
        </w:trPr>
        <w:tc>
          <w:tcPr>
            <w:tcW w:type="dxa" w:w="2232"/>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7"/>
              </w:rPr>
              <w:t>Dato territorial</w:t>
            </w:r>
          </w:p>
        </w:tc>
        <w:tc>
          <w:tcPr>
            <w:tcW w:type="dxa" w:w="4176"/>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7"/>
              </w:rPr>
              <w:t>Valor</w:t>
            </w:r>
          </w:p>
        </w:tc>
        <w:tc>
          <w:tcPr>
            <w:tcW w:type="dxa" w:w="2952"/>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7"/>
              </w:rPr>
              <w:t>Fuente / año</w:t>
            </w:r>
          </w:p>
        </w:tc>
      </w:tr>
      <w:tr>
        <w:tc>
          <w:tcPr>
            <w:tcW w:type="dxa" w:w="223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Provincia</w:t>
            </w:r>
          </w:p>
        </w:tc>
        <w:tc>
          <w:tcPr>
            <w:tcW w:type="dxa" w:w="4176"/>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Monte Cristi</w:t>
            </w:r>
          </w:p>
        </w:tc>
        <w:tc>
          <w:tcPr>
            <w:tcW w:type="dxa" w:w="295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Clasificador geográfico</w:t>
            </w:r>
          </w:p>
        </w:tc>
      </w:tr>
      <w:tr>
        <w:tc>
          <w:tcPr>
            <w:tcW w:type="dxa" w:w="223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Región de planificación</w:t>
            </w:r>
          </w:p>
        </w:tc>
        <w:tc>
          <w:tcPr>
            <w:tcW w:type="dxa" w:w="41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Cibao Noroeste</w:t>
            </w:r>
          </w:p>
        </w:tc>
        <w:tc>
          <w:tcPr>
            <w:tcW w:type="dxa" w:w="295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Dashboard Territorial</w:t>
            </w:r>
          </w:p>
        </w:tc>
      </w:tr>
      <w:tr>
        <w:tc>
          <w:tcPr>
            <w:tcW w:type="dxa" w:w="223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Código provincial</w:t>
            </w:r>
          </w:p>
        </w:tc>
        <w:tc>
          <w:tcPr>
            <w:tcW w:type="dxa" w:w="4176"/>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15</w:t>
            </w:r>
          </w:p>
        </w:tc>
        <w:tc>
          <w:tcPr>
            <w:tcW w:type="dxa" w:w="295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Clasificador geográfico</w:t>
            </w:r>
          </w:p>
        </w:tc>
      </w:tr>
      <w:tr>
        <w:tc>
          <w:tcPr>
            <w:tcW w:type="dxa" w:w="223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Población</w:t>
            </w:r>
          </w:p>
        </w:tc>
        <w:tc>
          <w:tcPr>
            <w:tcW w:type="dxa" w:w="41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123,519 habitantes</w:t>
            </w:r>
          </w:p>
        </w:tc>
        <w:tc>
          <w:tcPr>
            <w:tcW w:type="dxa" w:w="295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X Censo 2022, ONE</w:t>
            </w:r>
          </w:p>
        </w:tc>
      </w:tr>
      <w:tr>
        <w:tc>
          <w:tcPr>
            <w:tcW w:type="dxa" w:w="223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Municipios</w:t>
            </w:r>
          </w:p>
        </w:tc>
        <w:tc>
          <w:tcPr>
            <w:tcW w:type="dxa" w:w="4176"/>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Castañuelas, Guayubín, Las Matas de Santa Cruz, Monte Cristi, Pepillo Salcedo y Villa Vásquez</w:t>
            </w:r>
          </w:p>
        </w:tc>
        <w:tc>
          <w:tcPr>
            <w:tcW w:type="dxa" w:w="295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División político-administrativa</w:t>
            </w:r>
          </w:p>
        </w:tc>
      </w:tr>
      <w:tr>
        <w:tc>
          <w:tcPr>
            <w:tcW w:type="dxa" w:w="223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Hogares</w:t>
            </w:r>
          </w:p>
        </w:tc>
        <w:tc>
          <w:tcPr>
            <w:tcW w:type="dxa" w:w="41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46,156</w:t>
            </w:r>
          </w:p>
        </w:tc>
        <w:tc>
          <w:tcPr>
            <w:tcW w:type="dxa" w:w="295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X Censo 2022, ONE</w:t>
            </w:r>
          </w:p>
        </w:tc>
      </w:tr>
      <w:tr>
        <w:tc>
          <w:tcPr>
            <w:tcW w:type="dxa" w:w="223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Población urbana / rural</w:t>
            </w:r>
          </w:p>
        </w:tc>
        <w:tc>
          <w:tcPr>
            <w:tcW w:type="dxa" w:w="4176"/>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65,289 / 58,230</w:t>
            </w:r>
          </w:p>
        </w:tc>
        <w:tc>
          <w:tcPr>
            <w:tcW w:type="dxa" w:w="295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X Censo 2022, ONE</w:t>
            </w:r>
          </w:p>
        </w:tc>
      </w:tr>
    </w:tbl>
    <w:p>
      <w:pPr>
        <w:pStyle w:val="Heading2"/>
      </w:pPr>
      <w:r>
        <w:t>1.4 Antecedentes y alcance</w:t>
      </w:r>
    </w:p>
    <w:p>
      <w:pPr>
        <w:jc w:val="both"/>
      </w:pPr>
      <w:r>
        <w:rPr>
          <w:rFonts w:ascii="Calibri" w:hAnsi="Calibri" w:eastAsia="Calibri"/>
          <w:color w:val="203740"/>
          <w:sz w:val="21"/>
        </w:rPr>
        <w:t>No se ha identificado un Plan Provincial publicado para Monte Cristi dentro del portal utilizado como línea base. La ausencia en el inventario no demuestra que no existan documentos, acuerdos o ejercicios anteriores; el CDP deberá completar esa verificación documental.</w:t>
      </w:r>
    </w:p>
    <w:p>
      <w:pPr>
        <w:jc w:val="both"/>
      </w:pPr>
      <w:r>
        <w:rPr>
          <w:rFonts w:ascii="Calibri" w:hAnsi="Calibri" w:eastAsia="Calibri"/>
          <w:color w:val="203740"/>
          <w:sz w:val="21"/>
        </w:rPr>
        <w:t>El Plan Provincial debe articular aportes de los municipios y sectores sin sustituir sus competencias ni copiar automáticamente los planes municipales. La escala provincial permite tratar interdependencias, servicios compartidos, movilidad, cuencas, redes de equipamientos y prioridades de inversión que superan un solo municipio.</w:t>
      </w:r>
    </w:p>
    <w:p>
      <w:pPr>
        <w:pStyle w:val="Heading2"/>
      </w:pPr>
      <w:r>
        <w:t>1.5 Información que debe completar el CDP</w:t>
      </w:r>
    </w:p>
    <w:p>
      <w:pPr>
        <w:pStyle w:val="ListBullet"/>
        <w:spacing w:after="60"/>
      </w:pPr>
      <w:r>
        <w:rPr>
          <w:rFonts w:ascii="Calibri" w:hAnsi="Calibri" w:eastAsia="Calibri"/>
          <w:color w:val="203740"/>
          <w:sz w:val="20"/>
        </w:rPr>
        <w:t>Acta de conformación, miembros, sectores representados y mecanismo de sustitución.</w:t>
      </w:r>
    </w:p>
    <w:p>
      <w:pPr>
        <w:pStyle w:val="ListBullet"/>
        <w:spacing w:after="60"/>
      </w:pPr>
      <w:r>
        <w:rPr>
          <w:rFonts w:ascii="Calibri" w:hAnsi="Calibri" w:eastAsia="Calibri"/>
          <w:color w:val="203740"/>
          <w:sz w:val="20"/>
        </w:rPr>
        <w:t>Inventario de planes, estudios, cartografía y acuerdos territoriales anteriores.</w:t>
      </w:r>
    </w:p>
    <w:p>
      <w:pPr>
        <w:pStyle w:val="ListBullet"/>
        <w:spacing w:after="60"/>
      </w:pPr>
      <w:r>
        <w:rPr>
          <w:rFonts w:ascii="Calibri" w:hAnsi="Calibri" w:eastAsia="Calibri"/>
          <w:color w:val="203740"/>
          <w:sz w:val="20"/>
        </w:rPr>
        <w:t>Calendario de sesiones, metodología de validación y reglas para documentar disensos.</w:t>
      </w:r>
    </w:p>
    <w:p>
      <w:pPr>
        <w:pStyle w:val="ListBullet"/>
        <w:spacing w:after="60"/>
      </w:pPr>
      <w:r>
        <w:rPr>
          <w:rFonts w:ascii="Calibri" w:hAnsi="Calibri" w:eastAsia="Calibri"/>
          <w:color w:val="203740"/>
          <w:sz w:val="20"/>
        </w:rPr>
        <w:t>Horizonte del plan, periodicidad de seguimiento y mecanismo de actualización.</w:t>
      </w:r>
    </w:p>
    <w:p>
      <w:r>
        <w:br w:type="page"/>
      </w:r>
    </w:p>
    <w:p>
      <w:pPr>
        <w:pStyle w:val="Heading2"/>
      </w:pPr>
      <w:r>
        <w:t>1.6 Marco jurídico e institucional</w:t>
      </w:r>
    </w:p>
    <w:p>
      <w:pPr>
        <w:jc w:val="both"/>
      </w:pPr>
      <w:r>
        <w:rPr>
          <w:rFonts w:ascii="Calibri" w:hAnsi="Calibri" w:eastAsia="Calibri"/>
          <w:color w:val="203740"/>
          <w:sz w:val="21"/>
        </w:rPr>
        <w:t>El marco aplicable reconoce los consejos de desarrollo en tres niveles territoriales y les asigna participación en la formulación, priorización y seguimiento del desarrollo territorial.</w:t>
      </w:r>
    </w:p>
    <w:tbl>
      <w:tblPr>
        <w:tblW w:type="auto" w:w="0"/>
        <w:jc w:val="center"/>
        <w:tblLayout w:type="fixed"/>
        <w:tblLook w:firstColumn="1" w:firstRow="1" w:lastColumn="0" w:lastRow="0" w:noHBand="0" w:noVBand="1" w:val="04A0"/>
      </w:tblPr>
      <w:tblGrid>
        <w:gridCol w:w="3120"/>
        <w:gridCol w:w="3120"/>
        <w:gridCol w:w="3120"/>
      </w:tblGrid>
      <w:tr>
        <w:trPr>
          <w:tblHeader w:val="true"/>
        </w:trPr>
        <w:tc>
          <w:tcPr>
            <w:tcW w:type="dxa" w:w="2088"/>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6"/>
              </w:rPr>
              <w:t>Norma</w:t>
            </w:r>
          </w:p>
        </w:tc>
        <w:tc>
          <w:tcPr>
            <w:tcW w:type="dxa" w:w="1512"/>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6"/>
              </w:rPr>
              <w:t>Artículos</w:t>
            </w:r>
          </w:p>
        </w:tc>
        <w:tc>
          <w:tcPr>
            <w:tcW w:type="dxa" w:w="5760"/>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6"/>
              </w:rPr>
              <w:t>Aplicación a la formulación provincial</w:t>
            </w:r>
          </w:p>
        </w:tc>
      </w:tr>
      <w:tr>
        <w:tc>
          <w:tcPr>
            <w:tcW w:type="dxa" w:w="2088"/>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t>Ley núm. 498-06</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t>Art. 14</w:t>
            </w:r>
          </w:p>
        </w:tc>
        <w:tc>
          <w:tcPr>
            <w:tcW w:type="dxa" w:w="5760"/>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t>Constituye Consejos de Desarrollo en los niveles municipal, provincial y regional y establece su participación en los Planes Estratégicos de Desarrollo Territorial correspondientes.</w:t>
            </w:r>
          </w:p>
        </w:tc>
      </w:tr>
      <w:tr>
        <w:tc>
          <w:tcPr>
            <w:tcW w:type="dxa" w:w="208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t>Ley núm. 498-06</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t>Art. 15</w:t>
            </w:r>
          </w:p>
        </w:tc>
        <w:tc>
          <w:tcPr>
            <w:tcW w:type="dxa" w:w="576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t>Asigna discusión y propuesta de estrategias, participación social, priorización de inversión, formulación de planes territoriales y seguimiento de su ejecución.</w:t>
            </w:r>
          </w:p>
        </w:tc>
      </w:tr>
      <w:tr>
        <w:tc>
          <w:tcPr>
            <w:tcW w:type="dxa" w:w="2088"/>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t>Ley núm. 498-06</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t>Arts. 30 y 36–38</w:t>
            </w:r>
          </w:p>
        </w:tc>
        <w:tc>
          <w:tcPr>
            <w:tcW w:type="dxa" w:w="5760"/>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t>Vincula la planificación con la programación, evaluación y ciclo de la inversión pública.</w:t>
            </w:r>
          </w:p>
        </w:tc>
      </w:tr>
      <w:tr>
        <w:tc>
          <w:tcPr>
            <w:tcW w:type="dxa" w:w="208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t>Decreto núm. 493-07</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t>Arts. 4–6</w:t>
            </w:r>
          </w:p>
        </w:tc>
        <w:tc>
          <w:tcPr>
            <w:tcW w:type="dxa" w:w="576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t>Desarrolla el carácter consultivo de los consejos y la consolidación ascendente de demandas y propuestas territoriales.</w:t>
            </w:r>
          </w:p>
        </w:tc>
      </w:tr>
      <w:tr>
        <w:tc>
          <w:tcPr>
            <w:tcW w:type="dxa" w:w="2088"/>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t>Decreto núm. 493-07</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t>Arts. 7–15</w:t>
            </w:r>
          </w:p>
        </w:tc>
        <w:tc>
          <w:tcPr>
            <w:tcW w:type="dxa" w:w="5760"/>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t>Regula integración, coordinación, secretaría, reuniones, actas, comisión técnica y comunicación institucional.</w:t>
            </w:r>
          </w:p>
        </w:tc>
      </w:tr>
      <w:tr>
        <w:tc>
          <w:tcPr>
            <w:tcW w:type="dxa" w:w="208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t>Decreto núm. 493-07</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t>Arts. 57–61</w:t>
            </w:r>
          </w:p>
        </w:tc>
        <w:tc>
          <w:tcPr>
            <w:tcW w:type="dxa" w:w="576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t>Articula la identificación y evaluación de iniciativas con el Sistema Nacional de Inversión Pública.</w:t>
            </w:r>
          </w:p>
        </w:tc>
      </w:tr>
    </w:tbl>
    <w:tbl>
      <w:tblPr>
        <w:tblW w:type="auto" w:w="0"/>
        <w:jc w:val="center"/>
        <w:tblLayout w:type="fixed"/>
        <w:tblLook w:firstColumn="1" w:firstRow="1" w:lastColumn="0" w:lastRow="0" w:noHBand="0" w:noVBand="1" w:val="04A0"/>
      </w:tblPr>
      <w:tblGrid>
        <w:gridCol w:w="9360"/>
      </w:tblGrid>
      <w:tr>
        <w:tc>
          <w:tcPr>
            <w:tcW w:type="dxa" w:w="9360"/>
            <w:tcMar>
              <w:top w:w="120" w:type="dxa"/>
              <w:start w:w="140" w:type="dxa"/>
              <w:bottom w:w="120" w:type="dxa"/>
              <w:end w:w="140" w:type="dxa"/>
            </w:tcMar>
            <w:shd w:fill="EEF5FA"/>
          </w:tcPr>
          <w:p>
            <w:pPr>
              <w:spacing w:after="60"/>
            </w:pPr>
            <w:r/>
            <w:r>
              <w:rPr>
                <w:rFonts w:ascii="Calibri" w:hAnsi="Calibri" w:eastAsia="Calibri"/>
                <w:b/>
                <w:color w:val="2E74B5"/>
                <w:sz w:val="21"/>
              </w:rPr>
              <w:t>Nota institucional</w:t>
            </w:r>
          </w:p>
          <w:p>
            <w:pPr>
              <w:spacing w:after="0"/>
            </w:pPr>
            <w:r>
              <w:rPr>
                <w:rFonts w:ascii="Calibri" w:hAnsi="Calibri" w:eastAsia="Calibri"/>
                <w:color w:val="203740"/>
                <w:sz w:val="19"/>
              </w:rPr>
              <w:t>La Ley núm. 498-06 reconoce los Consejos de Desarrollo en los niveles municipal, provincial y regional y establece su participación en la formulación de los Planes Estratégicos de Desarrollo Territorial correspondientes. En este marco, el presente documento constituye una base técnica para la formulación del Plan Provincial, la consolidación de las demandas municipales y la definición de estrategias y prioridades de inversión. Su concertación, aprobación, seguimiento y actualización deberán ser acordados por el Consejo de Desarrollo Provincial y las autoridades competentes, de conformidad con la Ley núm. 498-06 y su Reglamento de Aplicación aprobado mediante el Decreto núm. 493-07.</w:t>
            </w:r>
          </w:p>
        </w:tc>
      </w:tr>
    </w:tbl>
    <w:p>
      <w:pPr>
        <w:spacing w:before="100" w:after="80"/>
        <w:jc w:val="both"/>
      </w:pPr>
      <w:r>
        <w:rPr>
          <w:rFonts w:ascii="Calibri" w:hAnsi="Calibri" w:eastAsia="Calibri"/>
          <w:color w:val="65777E"/>
          <w:sz w:val="17"/>
        </w:rPr>
        <w:t>Fuente: Ley núm. 498-06, arts. 14–15, 30 y 36–38; Decreto núm. 493-07, arts. 4–15 y 57–61.</w:t>
      </w:r>
    </w:p>
    <w:p>
      <w:r>
        <w:br w:type="page"/>
      </w:r>
    </w:p>
    <w:p>
      <w:pPr>
        <w:pStyle w:val="Heading2"/>
      </w:pPr>
      <w:r>
        <w:t>1.7 Metodología de formulación</w:t>
      </w:r>
    </w:p>
    <w:tbl>
      <w:tblPr>
        <w:tblW w:type="auto" w:w="0"/>
        <w:jc w:val="center"/>
        <w:tblLayout w:type="fixed"/>
        <w:tblLook w:firstColumn="1" w:firstRow="1" w:lastColumn="0" w:lastRow="0" w:noHBand="0" w:noVBand="1" w:val="04A0"/>
      </w:tblPr>
      <w:tblGrid>
        <w:gridCol w:w="3120"/>
        <w:gridCol w:w="3120"/>
        <w:gridCol w:w="3120"/>
      </w:tblGrid>
      <w:tr>
        <w:trPr>
          <w:tblHeader w:val="true"/>
        </w:trPr>
        <w:tc>
          <w:tcPr>
            <w:tcW w:type="dxa" w:w="792"/>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7"/>
              </w:rPr>
              <w:t>Paso</w:t>
            </w:r>
          </w:p>
        </w:tc>
        <w:tc>
          <w:tcPr>
            <w:tcW w:type="dxa" w:w="2088"/>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7"/>
              </w:rPr>
              <w:t>Etapa</w:t>
            </w:r>
          </w:p>
        </w:tc>
        <w:tc>
          <w:tcPr>
            <w:tcW w:type="dxa" w:w="6480"/>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7"/>
              </w:rPr>
              <w:t>Producto a acordar</w:t>
            </w:r>
          </w:p>
        </w:tc>
      </w:tr>
      <w:tr>
        <w:tc>
          <w:tcPr>
            <w:tcW w:type="dxa" w:w="79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1</w:t>
            </w:r>
          </w:p>
        </w:tc>
        <w:tc>
          <w:tcPr>
            <w:tcW w:type="dxa" w:w="208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Organización</w:t>
            </w:r>
          </w:p>
        </w:tc>
        <w:tc>
          <w:tcPr>
            <w:tcW w:type="dxa" w:w="6480"/>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Completar integración del CDP, reglas de trabajo, comisión técnica, cronograma y trazabilidad.</w:t>
            </w:r>
          </w:p>
        </w:tc>
      </w:tr>
      <w:tr>
        <w:tc>
          <w:tcPr>
            <w:tcW w:type="dxa" w:w="79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2</w:t>
            </w:r>
          </w:p>
        </w:tc>
        <w:tc>
          <w:tcPr>
            <w:tcW w:type="dxa" w:w="208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Validación del diagnóstico</w:t>
            </w:r>
          </w:p>
        </w:tc>
        <w:tc>
          <w:tcPr>
            <w:tcW w:type="dxa" w:w="64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Revisar fuentes, años, definiciones y distribución territorial; incorporar conocimiento local comprobable.</w:t>
            </w:r>
          </w:p>
        </w:tc>
      </w:tr>
      <w:tr>
        <w:tc>
          <w:tcPr>
            <w:tcW w:type="dxa" w:w="79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3</w:t>
            </w:r>
          </w:p>
        </w:tc>
        <w:tc>
          <w:tcPr>
            <w:tcW w:type="dxa" w:w="208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Priorización concertada</w:t>
            </w:r>
          </w:p>
        </w:tc>
        <w:tc>
          <w:tcPr>
            <w:tcW w:type="dxa" w:w="6480"/>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Acordar criterios de urgencia, equidad, escala provincial, competencia, impacto y madurez sin convertir indicadores automáticamente en acciones.</w:t>
            </w:r>
          </w:p>
        </w:tc>
      </w:tr>
      <w:tr>
        <w:tc>
          <w:tcPr>
            <w:tcW w:type="dxa" w:w="79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4</w:t>
            </w:r>
          </w:p>
        </w:tc>
        <w:tc>
          <w:tcPr>
            <w:tcW w:type="dxa" w:w="208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Formulación estratégica</w:t>
            </w:r>
          </w:p>
        </w:tc>
        <w:tc>
          <w:tcPr>
            <w:tcW w:type="dxa" w:w="64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Definir visión, objetivos, resultados, indicadores y cartera únicamente mediante acuerdos documentados del CDP.</w:t>
            </w:r>
          </w:p>
        </w:tc>
      </w:tr>
      <w:tr>
        <w:tc>
          <w:tcPr>
            <w:tcW w:type="dxa" w:w="79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5</w:t>
            </w:r>
          </w:p>
        </w:tc>
        <w:tc>
          <w:tcPr>
            <w:tcW w:type="dxa" w:w="208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Articulación y seguimiento</w:t>
            </w:r>
          </w:p>
        </w:tc>
        <w:tc>
          <w:tcPr>
            <w:tcW w:type="dxa" w:w="6480"/>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Relacionar acuerdos con inversión, presupuestos, instituciones, riesgos, calendario, reportes y revisión periódica.</w:t>
            </w:r>
          </w:p>
        </w:tc>
      </w:tr>
    </w:tbl>
    <w:p>
      <w:pPr>
        <w:pStyle w:val="Heading1"/>
      </w:pPr>
      <w:r>
        <w:t>2. Diagnóstico provincial</w:t>
      </w:r>
    </w:p>
    <w:p>
      <w:pPr>
        <w:jc w:val="both"/>
      </w:pPr>
      <w:r>
        <w:rPr>
          <w:rFonts w:ascii="Calibri" w:hAnsi="Calibri" w:eastAsia="Calibri"/>
          <w:color w:val="203740"/>
          <w:sz w:val="21"/>
        </w:rPr>
        <w:t>Las nueve láminas siguientes presentan una línea base visual. Cada lámina conserva el año y la fuente, separa datos completos de períodos parciales y termina con preguntas para la deliberación. Una gráfica muestra patrones; no prueba por sí sola causalidad, calidad del servicio ni prioridad.</w:t>
      </w:r>
    </w:p>
    <w:tbl>
      <w:tblPr>
        <w:tblW w:type="auto" w:w="0"/>
        <w:jc w:val="center"/>
        <w:tblLayout w:type="fixed"/>
        <w:tblLook w:firstColumn="1" w:firstRow="1" w:lastColumn="0" w:lastRow="0" w:noHBand="0" w:noVBand="1" w:val="04A0"/>
      </w:tblPr>
      <w:tblGrid>
        <w:gridCol w:w="4680"/>
        <w:gridCol w:w="4680"/>
      </w:tblGrid>
      <w:tr>
        <w:trPr>
          <w:tblHeader w:val="true"/>
        </w:trPr>
        <w:tc>
          <w:tcPr>
            <w:tcW w:type="dxa" w:w="1152"/>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7"/>
              </w:rPr>
              <w:t>Lámina</w:t>
            </w:r>
          </w:p>
        </w:tc>
        <w:tc>
          <w:tcPr>
            <w:tcW w:type="dxa" w:w="8208"/>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7"/>
              </w:rPr>
              <w:t>Contenido</w:t>
            </w:r>
          </w:p>
        </w:tc>
      </w:tr>
      <w:tr>
        <w:tc>
          <w:tcPr>
            <w:tcW w:type="dxa" w:w="115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1</w:t>
            </w:r>
          </w:p>
        </w:tc>
        <w:tc>
          <w:tcPr>
            <w:tcW w:type="dxa" w:w="820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Territorio y distribución municipal</w:t>
            </w:r>
          </w:p>
        </w:tc>
      </w:tr>
      <w:tr>
        <w:tc>
          <w:tcPr>
            <w:tcW w:type="dxa" w:w="115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2</w:t>
            </w:r>
          </w:p>
        </w:tc>
        <w:tc>
          <w:tcPr>
            <w:tcW w:type="dxa" w:w="820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Estructura demográfica y hogares</w:t>
            </w:r>
          </w:p>
        </w:tc>
      </w:tr>
      <w:tr>
        <w:tc>
          <w:tcPr>
            <w:tcW w:type="dxa" w:w="115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3</w:t>
            </w:r>
          </w:p>
        </w:tc>
        <w:tc>
          <w:tcPr>
            <w:tcW w:type="dxa" w:w="820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Condición de vida y servicios</w:t>
            </w:r>
          </w:p>
        </w:tc>
      </w:tr>
      <w:tr>
        <w:tc>
          <w:tcPr>
            <w:tcW w:type="dxa" w:w="115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4</w:t>
            </w:r>
          </w:p>
        </w:tc>
        <w:tc>
          <w:tcPr>
            <w:tcW w:type="dxa" w:w="820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Condiciones sociales</w:t>
            </w:r>
          </w:p>
        </w:tc>
      </w:tr>
      <w:tr>
        <w:tc>
          <w:tcPr>
            <w:tcW w:type="dxa" w:w="115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5</w:t>
            </w:r>
          </w:p>
        </w:tc>
        <w:tc>
          <w:tcPr>
            <w:tcW w:type="dxa" w:w="820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Seguridad vial y convivencia</w:t>
            </w:r>
          </w:p>
        </w:tc>
      </w:tr>
      <w:tr>
        <w:tc>
          <w:tcPr>
            <w:tcW w:type="dxa" w:w="115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6</w:t>
            </w:r>
          </w:p>
        </w:tc>
        <w:tc>
          <w:tcPr>
            <w:tcW w:type="dxa" w:w="820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Educación y economía formal</w:t>
            </w:r>
          </w:p>
        </w:tc>
      </w:tr>
      <w:tr>
        <w:tc>
          <w:tcPr>
            <w:tcW w:type="dxa" w:w="115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7</w:t>
            </w:r>
          </w:p>
        </w:tc>
        <w:tc>
          <w:tcPr>
            <w:tcW w:type="dxa" w:w="820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Equipamientos de salud y deporte</w:t>
            </w:r>
          </w:p>
        </w:tc>
      </w:tr>
      <w:tr>
        <w:tc>
          <w:tcPr>
            <w:tcW w:type="dxa" w:w="115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8</w:t>
            </w:r>
          </w:p>
        </w:tc>
        <w:tc>
          <w:tcPr>
            <w:tcW w:type="dxa" w:w="820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Inversión pública</w:t>
            </w:r>
          </w:p>
        </w:tc>
      </w:tr>
      <w:tr>
        <w:tc>
          <w:tcPr>
            <w:tcW w:type="dxa" w:w="115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9</w:t>
            </w:r>
          </w:p>
        </w:tc>
        <w:tc>
          <w:tcPr>
            <w:tcW w:type="dxa" w:w="820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Dinámica constructiva y demandas</w:t>
            </w:r>
          </w:p>
        </w:tc>
      </w:tr>
    </w:tbl>
    <w:tbl>
      <w:tblPr>
        <w:tblW w:type="auto" w:w="0"/>
        <w:jc w:val="center"/>
        <w:tblLayout w:type="fixed"/>
        <w:tblLook w:firstColumn="1" w:firstRow="1" w:lastColumn="0" w:lastRow="0" w:noHBand="0" w:noVBand="1" w:val="04A0"/>
      </w:tblPr>
      <w:tblGrid>
        <w:gridCol w:w="9360"/>
      </w:tblGrid>
      <w:tr>
        <w:tc>
          <w:tcPr>
            <w:tcW w:type="dxa" w:w="9360"/>
            <w:tcMar>
              <w:top w:w="120" w:type="dxa"/>
              <w:start w:w="140" w:type="dxa"/>
              <w:bottom w:w="120" w:type="dxa"/>
              <w:end w:w="140" w:type="dxa"/>
            </w:tcMar>
            <w:shd w:fill="EEF7F4"/>
          </w:tcPr>
          <w:p>
            <w:pPr>
              <w:spacing w:after="60"/>
            </w:pPr>
            <w:r/>
            <w:r>
              <w:rPr>
                <w:rFonts w:ascii="Calibri" w:hAnsi="Calibri" w:eastAsia="Calibri"/>
                <w:b/>
                <w:color w:val="13836D"/>
                <w:sz w:val="21"/>
              </w:rPr>
              <w:t>Cómo leer las láminas</w:t>
            </w:r>
          </w:p>
          <w:p>
            <w:pPr>
              <w:spacing w:after="0"/>
            </w:pPr>
            <w:r>
              <w:rPr>
                <w:rFonts w:ascii="Calibri" w:hAnsi="Calibri" w:eastAsia="Calibri"/>
                <w:color w:val="203740"/>
                <w:sz w:val="19"/>
              </w:rPr>
              <w:t>Preguntar siempre: ¿qué mide?, ¿qué no mide?, ¿en qué territorio ocurre?, ¿qué fuente debe verificarlo?, ¿qué competencia institucional interviene? La respuesta debe registrarse antes de formular una prioridad.</w:t>
            </w:r>
          </w:p>
        </w:tc>
      </w:tr>
    </w:tbl>
    <w:p>
      <w:r>
        <w:br w:type="page"/>
      </w:r>
    </w:p>
    <w:p>
      <w:pPr>
        <w:spacing w:after="0"/>
        <w:jc w:val="center"/>
      </w:pPr>
      <w:r>
        <w:drawing>
          <wp:inline xmlns:a="http://schemas.openxmlformats.org/drawingml/2006/main" xmlns:pic="http://schemas.openxmlformats.org/drawingml/2006/picture">
            <wp:extent cx="5943600" cy="7132320"/>
            <wp:docPr id="1" name="Picture 1"/>
            <wp:cNvGraphicFramePr>
              <a:graphicFrameLocks noChangeAspect="1"/>
            </wp:cNvGraphicFramePr>
            <a:graphic>
              <a:graphicData uri="http://schemas.openxmlformats.org/drawingml/2006/picture">
                <pic:pic>
                  <pic:nvPicPr>
                    <pic:cNvPr id="0" name="lamina_01_territorio.png"/>
                    <pic:cNvPicPr/>
                  </pic:nvPicPr>
                  <pic:blipFill>
                    <a:blip r:embed="rId16"/>
                    <a:stretch>
                      <a:fillRect/>
                    </a:stretch>
                  </pic:blipFill>
                  <pic:spPr>
                    <a:xfrm>
                      <a:off x="0" y="0"/>
                      <a:ext cx="5943600" cy="7132320"/>
                    </a:xfrm>
                    <a:prstGeom prst="rect"/>
                  </pic:spPr>
                </pic:pic>
              </a:graphicData>
            </a:graphic>
          </wp:inline>
        </w:drawing>
      </w:r>
    </w:p>
    <w:p>
      <w:r>
        <w:br w:type="page"/>
      </w:r>
    </w:p>
    <w:p>
      <w:pPr>
        <w:spacing w:after="0"/>
        <w:jc w:val="center"/>
      </w:pPr>
      <w:r>
        <w:drawing>
          <wp:inline xmlns:a="http://schemas.openxmlformats.org/drawingml/2006/main" xmlns:pic="http://schemas.openxmlformats.org/drawingml/2006/picture">
            <wp:extent cx="5943600" cy="7132320"/>
            <wp:docPr id="2" name="Picture 2"/>
            <wp:cNvGraphicFramePr>
              <a:graphicFrameLocks noChangeAspect="1"/>
            </wp:cNvGraphicFramePr>
            <a:graphic>
              <a:graphicData uri="http://schemas.openxmlformats.org/drawingml/2006/picture">
                <pic:pic>
                  <pic:nvPicPr>
                    <pic:cNvPr id="0" name="lamina_02_demografia.png"/>
                    <pic:cNvPicPr/>
                  </pic:nvPicPr>
                  <pic:blipFill>
                    <a:blip r:embed="rId17"/>
                    <a:stretch>
                      <a:fillRect/>
                    </a:stretch>
                  </pic:blipFill>
                  <pic:spPr>
                    <a:xfrm>
                      <a:off x="0" y="0"/>
                      <a:ext cx="5943600" cy="7132320"/>
                    </a:xfrm>
                    <a:prstGeom prst="rect"/>
                  </pic:spPr>
                </pic:pic>
              </a:graphicData>
            </a:graphic>
          </wp:inline>
        </w:drawing>
      </w:r>
    </w:p>
    <w:p>
      <w:r>
        <w:br w:type="page"/>
      </w:r>
    </w:p>
    <w:p>
      <w:pPr>
        <w:spacing w:after="0"/>
        <w:jc w:val="center"/>
      </w:pPr>
      <w:r>
        <w:drawing>
          <wp:inline xmlns:a="http://schemas.openxmlformats.org/drawingml/2006/main" xmlns:pic="http://schemas.openxmlformats.org/drawingml/2006/picture">
            <wp:extent cx="5943600" cy="7132320"/>
            <wp:docPr id="3" name="Picture 3"/>
            <wp:cNvGraphicFramePr>
              <a:graphicFrameLocks noChangeAspect="1"/>
            </wp:cNvGraphicFramePr>
            <a:graphic>
              <a:graphicData uri="http://schemas.openxmlformats.org/drawingml/2006/picture">
                <pic:pic>
                  <pic:nvPicPr>
                    <pic:cNvPr id="0" name="lamina_03_servicios.png"/>
                    <pic:cNvPicPr/>
                  </pic:nvPicPr>
                  <pic:blipFill>
                    <a:blip r:embed="rId18"/>
                    <a:stretch>
                      <a:fillRect/>
                    </a:stretch>
                  </pic:blipFill>
                  <pic:spPr>
                    <a:xfrm>
                      <a:off x="0" y="0"/>
                      <a:ext cx="5943600" cy="7132320"/>
                    </a:xfrm>
                    <a:prstGeom prst="rect"/>
                  </pic:spPr>
                </pic:pic>
              </a:graphicData>
            </a:graphic>
          </wp:inline>
        </w:drawing>
      </w:r>
    </w:p>
    <w:p>
      <w:r>
        <w:br w:type="page"/>
      </w:r>
    </w:p>
    <w:p>
      <w:pPr>
        <w:spacing w:after="0"/>
        <w:jc w:val="center"/>
      </w:pPr>
      <w:r>
        <w:drawing>
          <wp:inline xmlns:a="http://schemas.openxmlformats.org/drawingml/2006/main" xmlns:pic="http://schemas.openxmlformats.org/drawingml/2006/picture">
            <wp:extent cx="5943600" cy="7132320"/>
            <wp:docPr id="4" name="Picture 4"/>
            <wp:cNvGraphicFramePr>
              <a:graphicFrameLocks noChangeAspect="1"/>
            </wp:cNvGraphicFramePr>
            <a:graphic>
              <a:graphicData uri="http://schemas.openxmlformats.org/drawingml/2006/picture">
                <pic:pic>
                  <pic:nvPicPr>
                    <pic:cNvPr id="0" name="lamina_04_social.png"/>
                    <pic:cNvPicPr/>
                  </pic:nvPicPr>
                  <pic:blipFill>
                    <a:blip r:embed="rId19"/>
                    <a:stretch>
                      <a:fillRect/>
                    </a:stretch>
                  </pic:blipFill>
                  <pic:spPr>
                    <a:xfrm>
                      <a:off x="0" y="0"/>
                      <a:ext cx="5943600" cy="7132320"/>
                    </a:xfrm>
                    <a:prstGeom prst="rect"/>
                  </pic:spPr>
                </pic:pic>
              </a:graphicData>
            </a:graphic>
          </wp:inline>
        </w:drawing>
      </w:r>
    </w:p>
    <w:p>
      <w:r>
        <w:br w:type="page"/>
      </w:r>
    </w:p>
    <w:p>
      <w:pPr>
        <w:spacing w:after="0"/>
        <w:jc w:val="center"/>
      </w:pPr>
      <w:r>
        <w:drawing>
          <wp:inline xmlns:a="http://schemas.openxmlformats.org/drawingml/2006/main" xmlns:pic="http://schemas.openxmlformats.org/drawingml/2006/picture">
            <wp:extent cx="5943600" cy="7132320"/>
            <wp:docPr id="5" name="Picture 5"/>
            <wp:cNvGraphicFramePr>
              <a:graphicFrameLocks noChangeAspect="1"/>
            </wp:cNvGraphicFramePr>
            <a:graphic>
              <a:graphicData uri="http://schemas.openxmlformats.org/drawingml/2006/picture">
                <pic:pic>
                  <pic:nvPicPr>
                    <pic:cNvPr id="0" name="lamina_05_seguridad.png"/>
                    <pic:cNvPicPr/>
                  </pic:nvPicPr>
                  <pic:blipFill>
                    <a:blip r:embed="rId20"/>
                    <a:stretch>
                      <a:fillRect/>
                    </a:stretch>
                  </pic:blipFill>
                  <pic:spPr>
                    <a:xfrm>
                      <a:off x="0" y="0"/>
                      <a:ext cx="5943600" cy="7132320"/>
                    </a:xfrm>
                    <a:prstGeom prst="rect"/>
                  </pic:spPr>
                </pic:pic>
              </a:graphicData>
            </a:graphic>
          </wp:inline>
        </w:drawing>
      </w:r>
    </w:p>
    <w:p>
      <w:r>
        <w:br w:type="page"/>
      </w:r>
    </w:p>
    <w:p>
      <w:pPr>
        <w:spacing w:after="0"/>
        <w:jc w:val="center"/>
      </w:pPr>
      <w:r>
        <w:drawing>
          <wp:inline xmlns:a="http://schemas.openxmlformats.org/drawingml/2006/main" xmlns:pic="http://schemas.openxmlformats.org/drawingml/2006/picture">
            <wp:extent cx="5943600" cy="7132320"/>
            <wp:docPr id="6" name="Picture 6"/>
            <wp:cNvGraphicFramePr>
              <a:graphicFrameLocks noChangeAspect="1"/>
            </wp:cNvGraphicFramePr>
            <a:graphic>
              <a:graphicData uri="http://schemas.openxmlformats.org/drawingml/2006/picture">
                <pic:pic>
                  <pic:nvPicPr>
                    <pic:cNvPr id="0" name="lamina_06_educacion_economia.png"/>
                    <pic:cNvPicPr/>
                  </pic:nvPicPr>
                  <pic:blipFill>
                    <a:blip r:embed="rId21"/>
                    <a:stretch>
                      <a:fillRect/>
                    </a:stretch>
                  </pic:blipFill>
                  <pic:spPr>
                    <a:xfrm>
                      <a:off x="0" y="0"/>
                      <a:ext cx="5943600" cy="7132320"/>
                    </a:xfrm>
                    <a:prstGeom prst="rect"/>
                  </pic:spPr>
                </pic:pic>
              </a:graphicData>
            </a:graphic>
          </wp:inline>
        </w:drawing>
      </w:r>
    </w:p>
    <w:p>
      <w:r>
        <w:br w:type="page"/>
      </w:r>
    </w:p>
    <w:p>
      <w:pPr>
        <w:spacing w:after="0"/>
        <w:jc w:val="center"/>
      </w:pPr>
      <w:r>
        <w:drawing>
          <wp:inline xmlns:a="http://schemas.openxmlformats.org/drawingml/2006/main" xmlns:pic="http://schemas.openxmlformats.org/drawingml/2006/picture">
            <wp:extent cx="5943600" cy="7132320"/>
            <wp:docPr id="7" name="Picture 7"/>
            <wp:cNvGraphicFramePr>
              <a:graphicFrameLocks noChangeAspect="1"/>
            </wp:cNvGraphicFramePr>
            <a:graphic>
              <a:graphicData uri="http://schemas.openxmlformats.org/drawingml/2006/picture">
                <pic:pic>
                  <pic:nvPicPr>
                    <pic:cNvPr id="0" name="lamina_07_salud_deporte.png"/>
                    <pic:cNvPicPr/>
                  </pic:nvPicPr>
                  <pic:blipFill>
                    <a:blip r:embed="rId22"/>
                    <a:stretch>
                      <a:fillRect/>
                    </a:stretch>
                  </pic:blipFill>
                  <pic:spPr>
                    <a:xfrm>
                      <a:off x="0" y="0"/>
                      <a:ext cx="5943600" cy="7132320"/>
                    </a:xfrm>
                    <a:prstGeom prst="rect"/>
                  </pic:spPr>
                </pic:pic>
              </a:graphicData>
            </a:graphic>
          </wp:inline>
        </w:drawing>
      </w:r>
    </w:p>
    <w:p>
      <w:r>
        <w:br w:type="page"/>
      </w:r>
    </w:p>
    <w:p>
      <w:pPr>
        <w:spacing w:after="0"/>
        <w:jc w:val="center"/>
      </w:pPr>
      <w:r>
        <w:drawing>
          <wp:inline xmlns:a="http://schemas.openxmlformats.org/drawingml/2006/main" xmlns:pic="http://schemas.openxmlformats.org/drawingml/2006/picture">
            <wp:extent cx="5943600" cy="7132320"/>
            <wp:docPr id="8" name="Picture 8"/>
            <wp:cNvGraphicFramePr>
              <a:graphicFrameLocks noChangeAspect="1"/>
            </wp:cNvGraphicFramePr>
            <a:graphic>
              <a:graphicData uri="http://schemas.openxmlformats.org/drawingml/2006/picture">
                <pic:pic>
                  <pic:nvPicPr>
                    <pic:cNvPr id="0" name="lamina_08_inversion.png"/>
                    <pic:cNvPicPr/>
                  </pic:nvPicPr>
                  <pic:blipFill>
                    <a:blip r:embed="rId23"/>
                    <a:stretch>
                      <a:fillRect/>
                    </a:stretch>
                  </pic:blipFill>
                  <pic:spPr>
                    <a:xfrm>
                      <a:off x="0" y="0"/>
                      <a:ext cx="5943600" cy="7132320"/>
                    </a:xfrm>
                    <a:prstGeom prst="rect"/>
                  </pic:spPr>
                </pic:pic>
              </a:graphicData>
            </a:graphic>
          </wp:inline>
        </w:drawing>
      </w:r>
    </w:p>
    <w:p>
      <w:r>
        <w:br w:type="page"/>
      </w:r>
    </w:p>
    <w:p>
      <w:pPr>
        <w:spacing w:after="0"/>
        <w:jc w:val="center"/>
      </w:pPr>
      <w:r>
        <w:drawing>
          <wp:inline xmlns:a="http://schemas.openxmlformats.org/drawingml/2006/main" xmlns:pic="http://schemas.openxmlformats.org/drawingml/2006/picture">
            <wp:extent cx="5943600" cy="7132320"/>
            <wp:docPr id="9" name="Picture 9"/>
            <wp:cNvGraphicFramePr>
              <a:graphicFrameLocks noChangeAspect="1"/>
            </wp:cNvGraphicFramePr>
            <a:graphic>
              <a:graphicData uri="http://schemas.openxmlformats.org/drawingml/2006/picture">
                <pic:pic>
                  <pic:nvPicPr>
                    <pic:cNvPr id="0" name="lamina_09_demandas.png"/>
                    <pic:cNvPicPr/>
                  </pic:nvPicPr>
                  <pic:blipFill>
                    <a:blip r:embed="rId24"/>
                    <a:stretch>
                      <a:fillRect/>
                    </a:stretch>
                  </pic:blipFill>
                  <pic:spPr>
                    <a:xfrm>
                      <a:off x="0" y="0"/>
                      <a:ext cx="5943600" cy="7132320"/>
                    </a:xfrm>
                    <a:prstGeom prst="rect"/>
                  </pic:spPr>
                </pic:pic>
              </a:graphicData>
            </a:graphic>
          </wp:inline>
        </w:drawing>
      </w:r>
    </w:p>
    <w:p>
      <w:r>
        <w:br w:type="page"/>
      </w:r>
    </w:p>
    <w:p>
      <w:pPr>
        <w:pStyle w:val="Heading1"/>
      </w:pPr>
      <w:r>
        <w:t>2.1 Lectura técnica y límites de la evidencia</w:t>
      </w:r>
    </w:p>
    <w:p>
      <w:pPr>
        <w:jc w:val="both"/>
      </w:pPr>
      <w:r>
        <w:rPr>
          <w:rFonts w:ascii="Calibri" w:hAnsi="Calibri" w:eastAsia="Calibri"/>
          <w:color w:val="203740"/>
          <w:sz w:val="18"/>
        </w:rPr>
        <w:t>La comparación separa el dato disponible de la verificación que debe realizar la comisión técnica antes de que el CDP formule prioridades.</w:t>
      </w:r>
    </w:p>
    <w:tbl>
      <w:tblPr>
        <w:tblW w:type="auto" w:w="0"/>
        <w:jc w:val="center"/>
        <w:tblLayout w:type="fixed"/>
        <w:tblLook w:firstColumn="1" w:firstRow="1" w:lastColumn="0" w:lastRow="0" w:noHBand="0" w:noVBand="1" w:val="04A0"/>
      </w:tblPr>
      <w:tblGrid>
        <w:gridCol w:w="3120"/>
        <w:gridCol w:w="3120"/>
        <w:gridCol w:w="3120"/>
      </w:tblGrid>
      <w:tr>
        <w:trPr>
          <w:tblHeader w:val="true"/>
        </w:trPr>
        <w:tc>
          <w:tcPr>
            <w:tcW w:type="dxa" w:w="1728"/>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4"/>
              </w:rPr>
              <w:t>Tema</w:t>
            </w:r>
          </w:p>
        </w:tc>
        <w:tc>
          <w:tcPr>
            <w:tcW w:type="dxa" w:w="3960"/>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4"/>
              </w:rPr>
              <w:t>Dato observado</w:t>
            </w:r>
          </w:p>
        </w:tc>
        <w:tc>
          <w:tcPr>
            <w:tcW w:type="dxa" w:w="3672"/>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4"/>
              </w:rPr>
              <w:t>Verificación requerida</w:t>
            </w:r>
          </w:p>
        </w:tc>
      </w:tr>
      <w:tr>
        <w:tc>
          <w:tcPr>
            <w:tcW w:type="dxa" w:w="1728"/>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Territorio y población</w:t>
            </w:r>
          </w:p>
        </w:tc>
        <w:tc>
          <w:tcPr>
            <w:tcW w:type="dxa" w:w="3960"/>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Guayubín concentra 32.1% de la población provincial; los otros 5 municipios reúnen el resto. El agregado no muestra por sí mismo tiempos de viaje, conectividad, dispersión rural, exposición a riesgos ni acceso real a servicios.</w:t>
            </w:r>
          </w:p>
        </w:tc>
        <w:tc>
          <w:tcPr>
            <w:tcW w:type="dxa" w:w="367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Localizar comunidades, corredores, cuencas y equipamientos compartidos; verificar cómo cambian las necesidades entre zonas urbanas y rurales.</w:t>
            </w:r>
          </w:p>
        </w:tc>
      </w:tr>
      <w:tr>
        <w:tc>
          <w:tcPr>
            <w:tcW w:type="dxa" w:w="172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Servicios básicos</w:t>
            </w:r>
          </w:p>
        </w:tc>
        <w:tc>
          <w:tcPr>
            <w:tcW w:type="dxa" w:w="396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El Censo registra 62.4% de hogares con agua del acueducto dentro de la vivienda, 52.7% con inodoro y 80.0% con recogida municipal de residuos. La lámina permite contrastar los municipios de mayor población.</w:t>
            </w:r>
          </w:p>
        </w:tc>
        <w:tc>
          <w:tcPr>
            <w:tcW w:type="dxa" w:w="367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Comprobar continuidad, presión, potabilidad, frecuencia, rutas, disposición final, costo y población no servida; distinguir competencias municipales y sectoriales.</w:t>
            </w:r>
          </w:p>
        </w:tc>
      </w:tr>
      <w:tr>
        <w:tc>
          <w:tcPr>
            <w:tcW w:type="dxa" w:w="1728"/>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Condiciones sociales</w:t>
            </w:r>
          </w:p>
        </w:tc>
        <w:tc>
          <w:tcPr>
            <w:tcW w:type="dxa" w:w="3960"/>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Los registros 2026 muestran 5.0% de hacinamiento extremo y 9.4% moderado; 7 centros INAIPI y 65.2% de asistencia registrada; 8,656 personas con discapacidad distribuidas por ICV.</w:t>
            </w:r>
          </w:p>
        </w:tc>
        <w:tc>
          <w:tcPr>
            <w:tcW w:type="dxa" w:w="367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Revisar definiciones, evitar tratar presencias como personas únicas y localizar barreras específicas antes de definir población objetivo.</w:t>
            </w:r>
          </w:p>
        </w:tc>
      </w:tr>
      <w:tr>
        <w:tc>
          <w:tcPr>
            <w:tcW w:type="dxa" w:w="172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Seguridad y movilidad</w:t>
            </w:r>
          </w:p>
        </w:tc>
        <w:tc>
          <w:tcPr>
            <w:tcW w:type="dxa" w:w="396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La tasa de homicidios fue 11.3 por 100 mil en 2024. La tasa de muertes de tránsito fue 33.2 por 100 mil en 2025, dentro de una serie con variación anual.</w:t>
            </w:r>
          </w:p>
        </w:tc>
        <w:tc>
          <w:tcPr>
            <w:tcW w:type="dxa" w:w="367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Desagregar eventos por lugar, vía, horario, sexo, edad y circunstancia; contrastar infraestructura, control, educación y respuesta de emergencia.</w:t>
            </w:r>
          </w:p>
        </w:tc>
      </w:tr>
      <w:tr>
        <w:tc>
          <w:tcPr>
            <w:tcW w:type="dxa" w:w="1728"/>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Educación y economía</w:t>
            </w:r>
          </w:p>
        </w:tc>
        <w:tc>
          <w:tcPr>
            <w:tcW w:type="dxa" w:w="3960"/>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El Anuario 2024 reporta 87.9% de promoción, 5.5% de abandono y 6.5% de reprobación en secundaria. El DEE registra 782 establecimientos y empleo estimado de 9,790 personas.</w:t>
            </w:r>
          </w:p>
        </w:tc>
        <w:tc>
          <w:tcPr>
            <w:tcW w:type="dxa" w:w="367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Validar distritos educativos y evitar representar el DEE como totalidad de la economía, pues no cubre adecuadamente informalidad, autoempleo ni producción agropecuaria familiar.</w:t>
            </w:r>
          </w:p>
        </w:tc>
      </w:tr>
      <w:tr>
        <w:tc>
          <w:tcPr>
            <w:tcW w:type="dxa" w:w="172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Inversión y demandas</w:t>
            </w:r>
          </w:p>
        </w:tc>
        <w:tc>
          <w:tcPr>
            <w:tcW w:type="dxa" w:w="396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El corte 2026 asocia 72 proyectos, RD$9.65 mil millones de presupuesto y 34.5% de ejecución registrada. El consolidado del CDP incluye 14 demandas.</w:t>
            </w:r>
          </w:p>
        </w:tc>
        <w:tc>
          <w:tcPr>
            <w:tcW w:type="dxa" w:w="367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Revisar localización, estado, duplicidades, contratos, madurez técnica, código SNIP, financiamiento y relación con brechas; no equiparar demanda, proyecto aprobado e inversión ejecutada.</w:t>
            </w:r>
          </w:p>
        </w:tc>
      </w:tr>
    </w:tbl>
    <w:p>
      <w:r>
        <w:br w:type="page"/>
      </w:r>
    </w:p>
    <w:p>
      <w:pPr>
        <w:pStyle w:val="Heading1"/>
      </w:pPr>
      <w:r>
        <w:t>3. Fortalezas y debilidades para validación</w:t>
      </w:r>
    </w:p>
    <w:p>
      <w:pPr>
        <w:jc w:val="both"/>
      </w:pPr>
      <w:r>
        <w:rPr>
          <w:rFonts w:ascii="Calibri" w:hAnsi="Calibri" w:eastAsia="Calibri"/>
          <w:color w:val="203740"/>
          <w:sz w:val="21"/>
        </w:rPr>
        <w:t>La matriz convierte evidencia en preguntas de trabajo. Las categorías son provisionales: una cobertura alta puede ocultar problemas de calidad y una brecha estadística puede corresponder a distintas competencias o causas. El CDP debe confirmar, modificar o descartar cada fila.</w:t>
      </w:r>
    </w:p>
    <w:tbl>
      <w:tblPr>
        <w:tblW w:type="auto" w:w="0"/>
        <w:jc w:val="center"/>
        <w:tblLayout w:type="fixed"/>
        <w:tblLook w:firstColumn="1" w:firstRow="1" w:lastColumn="0" w:lastRow="0" w:noHBand="0" w:noVBand="1" w:val="04A0"/>
      </w:tblPr>
      <w:tblGrid>
        <w:gridCol w:w="1872"/>
        <w:gridCol w:w="1872"/>
        <w:gridCol w:w="1872"/>
        <w:gridCol w:w="1872"/>
        <w:gridCol w:w="1872"/>
      </w:tblGrid>
      <w:tr>
        <w:trPr>
          <w:tblHeader w:val="true"/>
        </w:trPr>
        <w:tc>
          <w:tcPr>
            <w:tcW w:type="dxa" w:w="1440"/>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4"/>
              </w:rPr>
              <w:t>Carácter</w:t>
            </w:r>
          </w:p>
        </w:tc>
        <w:tc>
          <w:tcPr>
            <w:tcW w:type="dxa" w:w="1440"/>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4"/>
              </w:rPr>
              <w:t>Tema</w:t>
            </w:r>
          </w:p>
        </w:tc>
        <w:tc>
          <w:tcPr>
            <w:tcW w:type="dxa" w:w="2304"/>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4"/>
              </w:rPr>
              <w:t>Evidencia</w:t>
            </w:r>
          </w:p>
        </w:tc>
        <w:tc>
          <w:tcPr>
            <w:tcW w:type="dxa" w:w="2088"/>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4"/>
              </w:rPr>
              <w:t>Lectura provisional</w:t>
            </w:r>
          </w:p>
        </w:tc>
        <w:tc>
          <w:tcPr>
            <w:tcW w:type="dxa" w:w="2088"/>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4"/>
              </w:rPr>
              <w:t>Pregunta al CDP</w:t>
            </w:r>
          </w:p>
        </w:tc>
      </w:tr>
      <w:tr>
        <w:tc>
          <w:tcPr>
            <w:tcW w:type="dxa" w:w="1440"/>
            <w:tcMar>
              <w:top w:w="70" w:type="dxa"/>
              <w:start w:w="90" w:type="dxa"/>
              <w:bottom w:w="70" w:type="dxa"/>
              <w:end w:w="90" w:type="dxa"/>
            </w:tcMar>
            <w:vAlign w:val="center"/>
            <w:shd w:fill="EEF7F4"/>
          </w:tcPr>
          <w:p>
            <w:pPr>
              <w:spacing w:after="0" w:line="252" w:lineRule="auto"/>
              <w:jc w:val="left"/>
            </w:pPr>
            <w:r>
              <w:rPr>
                <w:rFonts w:ascii="Calibri" w:hAnsi="Calibri" w:eastAsia="Calibri"/>
                <w:color w:val="203740"/>
                <w:sz w:val="14"/>
              </w:rPr>
              <w:t>Fortaleza potencial</w:t>
            </w:r>
          </w:p>
        </w:tc>
        <w:tc>
          <w:tcPr>
            <w:tcW w:type="dxa" w:w="1440"/>
            <w:tcMar>
              <w:top w:w="70" w:type="dxa"/>
              <w:start w:w="90" w:type="dxa"/>
              <w:bottom w:w="70" w:type="dxa"/>
              <w:end w:w="90" w:type="dxa"/>
            </w:tcMar>
            <w:vAlign w:val="center"/>
            <w:shd w:fill="EEF7F4"/>
          </w:tcPr>
          <w:p>
            <w:pPr>
              <w:spacing w:after="0" w:line="252" w:lineRule="auto"/>
              <w:jc w:val="left"/>
            </w:pPr>
            <w:r>
              <w:rPr>
                <w:rFonts w:ascii="Calibri" w:hAnsi="Calibri" w:eastAsia="Calibri"/>
                <w:color w:val="203740"/>
                <w:sz w:val="14"/>
              </w:rPr>
              <w:t>Red territorial de equipamientos</w:t>
            </w:r>
          </w:p>
        </w:tc>
        <w:tc>
          <w:tcPr>
            <w:tcW w:type="dxa" w:w="2304"/>
            <w:tcMar>
              <w:top w:w="70" w:type="dxa"/>
              <w:start w:w="90" w:type="dxa"/>
              <w:bottom w:w="70" w:type="dxa"/>
              <w:end w:w="90" w:type="dxa"/>
            </w:tcMar>
            <w:vAlign w:val="center"/>
            <w:shd w:fill="EEF7F4"/>
          </w:tcPr>
          <w:p>
            <w:pPr>
              <w:spacing w:after="0" w:line="252" w:lineRule="auto"/>
              <w:jc w:val="left"/>
            </w:pPr>
            <w:r>
              <w:rPr>
                <w:rFonts w:ascii="Calibri" w:hAnsi="Calibri" w:eastAsia="Calibri"/>
                <w:color w:val="203740"/>
                <w:sz w:val="14"/>
              </w:rPr>
              <w:t>129 instalaciones deportivas; 16 de propiedad municipal; 49 registros de centros de salud.</w:t>
            </w:r>
          </w:p>
        </w:tc>
        <w:tc>
          <w:tcPr>
            <w:tcW w:type="dxa" w:w="2088"/>
            <w:tcMar>
              <w:top w:w="70" w:type="dxa"/>
              <w:start w:w="90" w:type="dxa"/>
              <w:bottom w:w="70" w:type="dxa"/>
              <w:end w:w="90" w:type="dxa"/>
            </w:tcMar>
            <w:vAlign w:val="center"/>
            <w:shd w:fill="EEF7F4"/>
          </w:tcPr>
          <w:p>
            <w:pPr>
              <w:spacing w:after="0" w:line="252" w:lineRule="auto"/>
              <w:jc w:val="left"/>
            </w:pPr>
            <w:r>
              <w:rPr>
                <w:rFonts w:ascii="Calibri" w:hAnsi="Calibri" w:eastAsia="Calibri"/>
                <w:color w:val="203740"/>
                <w:sz w:val="14"/>
              </w:rPr>
              <w:t>Puede existir una base física para coordinación intermunicipal, si el estado y la capacidad son adecuados.</w:t>
            </w:r>
          </w:p>
        </w:tc>
        <w:tc>
          <w:tcPr>
            <w:tcW w:type="dxa" w:w="2088"/>
            <w:tcMar>
              <w:top w:w="70" w:type="dxa"/>
              <w:start w:w="90" w:type="dxa"/>
              <w:bottom w:w="70" w:type="dxa"/>
              <w:end w:w="90" w:type="dxa"/>
            </w:tcMar>
            <w:vAlign w:val="center"/>
            <w:shd w:fill="EEF7F4"/>
          </w:tcPr>
          <w:p>
            <w:pPr>
              <w:spacing w:after="0" w:line="252" w:lineRule="auto"/>
              <w:jc w:val="left"/>
            </w:pPr>
            <w:r>
              <w:rPr>
                <w:rFonts w:ascii="Calibri" w:hAnsi="Calibri" w:eastAsia="Calibri"/>
                <w:color w:val="203740"/>
                <w:sz w:val="14"/>
              </w:rPr>
              <w:t>¿Qué instalaciones están operativas, accesibles y sirven a más de un municipio?</w:t>
            </w:r>
          </w:p>
        </w:tc>
      </w:tr>
      <w:tr>
        <w:tc>
          <w:tcPr>
            <w:tcW w:type="dxa" w:w="1440"/>
            <w:tcMar>
              <w:top w:w="70" w:type="dxa"/>
              <w:start w:w="90" w:type="dxa"/>
              <w:bottom w:w="70" w:type="dxa"/>
              <w:end w:w="90" w:type="dxa"/>
            </w:tcMar>
            <w:vAlign w:val="center"/>
            <w:shd w:fill="EEF7F4"/>
          </w:tcPr>
          <w:p>
            <w:pPr>
              <w:spacing w:after="0" w:line="252" w:lineRule="auto"/>
              <w:jc w:val="left"/>
            </w:pPr>
            <w:r>
              <w:rPr>
                <w:rFonts w:ascii="Calibri" w:hAnsi="Calibri" w:eastAsia="Calibri"/>
                <w:color w:val="203740"/>
                <w:sz w:val="14"/>
              </w:rPr>
              <w:t>Fortaleza potencial</w:t>
            </w:r>
          </w:p>
        </w:tc>
        <w:tc>
          <w:tcPr>
            <w:tcW w:type="dxa" w:w="1440"/>
            <w:tcMar>
              <w:top w:w="70" w:type="dxa"/>
              <w:start w:w="90" w:type="dxa"/>
              <w:bottom w:w="70" w:type="dxa"/>
              <w:end w:w="90" w:type="dxa"/>
            </w:tcMar>
            <w:vAlign w:val="center"/>
            <w:shd w:fill="EEF7F4"/>
          </w:tcPr>
          <w:p>
            <w:pPr>
              <w:spacing w:after="0" w:line="252" w:lineRule="auto"/>
              <w:jc w:val="left"/>
            </w:pPr>
            <w:r>
              <w:rPr>
                <w:rFonts w:ascii="Calibri" w:hAnsi="Calibri" w:eastAsia="Calibri"/>
                <w:color w:val="203740"/>
                <w:sz w:val="14"/>
              </w:rPr>
              <w:t>Capacidad de inversión observada</w:t>
            </w:r>
          </w:p>
        </w:tc>
        <w:tc>
          <w:tcPr>
            <w:tcW w:type="dxa" w:w="2304"/>
            <w:tcMar>
              <w:top w:w="70" w:type="dxa"/>
              <w:start w:w="90" w:type="dxa"/>
              <w:bottom w:w="70" w:type="dxa"/>
              <w:end w:w="90" w:type="dxa"/>
            </w:tcMar>
            <w:vAlign w:val="center"/>
            <w:shd w:fill="EEF7F4"/>
          </w:tcPr>
          <w:p>
            <w:pPr>
              <w:spacing w:after="0" w:line="252" w:lineRule="auto"/>
              <w:jc w:val="left"/>
            </w:pPr>
            <w:r>
              <w:rPr>
                <w:rFonts w:ascii="Calibri" w:hAnsi="Calibri" w:eastAsia="Calibri"/>
                <w:color w:val="203740"/>
                <w:sz w:val="14"/>
              </w:rPr>
              <w:t>Ejecución registrada entre 62.9% y 99.4% en 2018–2025; 72 proyectos asociados en 2026.</w:t>
            </w:r>
          </w:p>
        </w:tc>
        <w:tc>
          <w:tcPr>
            <w:tcW w:type="dxa" w:w="2088"/>
            <w:tcMar>
              <w:top w:w="70" w:type="dxa"/>
              <w:start w:w="90" w:type="dxa"/>
              <w:bottom w:w="70" w:type="dxa"/>
              <w:end w:w="90" w:type="dxa"/>
            </w:tcMar>
            <w:vAlign w:val="center"/>
            <w:shd w:fill="EEF7F4"/>
          </w:tcPr>
          <w:p>
            <w:pPr>
              <w:spacing w:after="0" w:line="252" w:lineRule="auto"/>
              <w:jc w:val="left"/>
            </w:pPr>
            <w:r>
              <w:rPr>
                <w:rFonts w:ascii="Calibri" w:hAnsi="Calibri" w:eastAsia="Calibri"/>
                <w:color w:val="203740"/>
                <w:sz w:val="14"/>
              </w:rPr>
              <w:t>Existe flujo de inversión que podría articularse con acuerdos territoriales; las series requieren conciliación.</w:t>
            </w:r>
          </w:p>
        </w:tc>
        <w:tc>
          <w:tcPr>
            <w:tcW w:type="dxa" w:w="2088"/>
            <w:tcMar>
              <w:top w:w="70" w:type="dxa"/>
              <w:start w:w="90" w:type="dxa"/>
              <w:bottom w:w="70" w:type="dxa"/>
              <w:end w:w="90" w:type="dxa"/>
            </w:tcMar>
            <w:vAlign w:val="center"/>
            <w:shd w:fill="EEF7F4"/>
          </w:tcPr>
          <w:p>
            <w:pPr>
              <w:spacing w:after="0" w:line="252" w:lineRule="auto"/>
              <w:jc w:val="left"/>
            </w:pPr>
            <w:r>
              <w:rPr>
                <w:rFonts w:ascii="Calibri" w:hAnsi="Calibri" w:eastAsia="Calibri"/>
                <w:color w:val="203740"/>
                <w:sz w:val="14"/>
              </w:rPr>
              <w:t>¿Qué proyectos se alinean con brechas validadas y cuál es su estado real?</w:t>
            </w:r>
          </w:p>
        </w:tc>
      </w:tr>
      <w:tr>
        <w:tc>
          <w:tcPr>
            <w:tcW w:type="dxa" w:w="1440"/>
            <w:tcMar>
              <w:top w:w="70" w:type="dxa"/>
              <w:start w:w="90" w:type="dxa"/>
              <w:bottom w:w="70" w:type="dxa"/>
              <w:end w:w="90" w:type="dxa"/>
            </w:tcMar>
            <w:vAlign w:val="center"/>
            <w:shd w:fill="EEF7F4"/>
          </w:tcPr>
          <w:p>
            <w:pPr>
              <w:spacing w:after="0" w:line="252" w:lineRule="auto"/>
              <w:jc w:val="left"/>
            </w:pPr>
            <w:r>
              <w:rPr>
                <w:rFonts w:ascii="Calibri" w:hAnsi="Calibri" w:eastAsia="Calibri"/>
                <w:color w:val="203740"/>
                <w:sz w:val="14"/>
              </w:rPr>
              <w:t>Fortaleza potencial</w:t>
            </w:r>
          </w:p>
        </w:tc>
        <w:tc>
          <w:tcPr>
            <w:tcW w:type="dxa" w:w="1440"/>
            <w:tcMar>
              <w:top w:w="70" w:type="dxa"/>
              <w:start w:w="90" w:type="dxa"/>
              <w:bottom w:w="70" w:type="dxa"/>
              <w:end w:w="90" w:type="dxa"/>
            </w:tcMar>
            <w:vAlign w:val="center"/>
            <w:shd w:fill="EEF7F4"/>
          </w:tcPr>
          <w:p>
            <w:pPr>
              <w:spacing w:after="0" w:line="252" w:lineRule="auto"/>
              <w:jc w:val="left"/>
            </w:pPr>
            <w:r>
              <w:rPr>
                <w:rFonts w:ascii="Calibri" w:hAnsi="Calibri" w:eastAsia="Calibri"/>
                <w:color w:val="203740"/>
                <w:sz w:val="14"/>
              </w:rPr>
              <w:t>Base institucional de demanda</w:t>
            </w:r>
          </w:p>
        </w:tc>
        <w:tc>
          <w:tcPr>
            <w:tcW w:type="dxa" w:w="2304"/>
            <w:tcMar>
              <w:top w:w="70" w:type="dxa"/>
              <w:start w:w="90" w:type="dxa"/>
              <w:bottom w:w="70" w:type="dxa"/>
              <w:end w:w="90" w:type="dxa"/>
            </w:tcMar>
            <w:vAlign w:val="center"/>
            <w:shd w:fill="EEF7F4"/>
          </w:tcPr>
          <w:p>
            <w:pPr>
              <w:spacing w:after="0" w:line="252" w:lineRule="auto"/>
              <w:jc w:val="left"/>
            </w:pPr>
            <w:r>
              <w:rPr>
                <w:rFonts w:ascii="Calibri" w:hAnsi="Calibri" w:eastAsia="Calibri"/>
                <w:color w:val="203740"/>
                <w:sz w:val="14"/>
              </w:rPr>
              <w:t>14 demandas priorizadas y consolidadas por el CDP en 2026.</w:t>
            </w:r>
          </w:p>
        </w:tc>
        <w:tc>
          <w:tcPr>
            <w:tcW w:type="dxa" w:w="2088"/>
            <w:tcMar>
              <w:top w:w="70" w:type="dxa"/>
              <w:start w:w="90" w:type="dxa"/>
              <w:bottom w:w="70" w:type="dxa"/>
              <w:end w:w="90" w:type="dxa"/>
            </w:tcMar>
            <w:vAlign w:val="center"/>
            <w:shd w:fill="EEF7F4"/>
          </w:tcPr>
          <w:p>
            <w:pPr>
              <w:spacing w:after="0" w:line="252" w:lineRule="auto"/>
              <w:jc w:val="left"/>
            </w:pPr>
            <w:r>
              <w:rPr>
                <w:rFonts w:ascii="Calibri" w:hAnsi="Calibri" w:eastAsia="Calibri"/>
                <w:color w:val="203740"/>
                <w:sz w:val="14"/>
              </w:rPr>
              <w:t>Hay un punto de partida participativo documentado, sin que ello pruebe factibilidad o vigencia.</w:t>
            </w:r>
          </w:p>
        </w:tc>
        <w:tc>
          <w:tcPr>
            <w:tcW w:type="dxa" w:w="2088"/>
            <w:tcMar>
              <w:top w:w="70" w:type="dxa"/>
              <w:start w:w="90" w:type="dxa"/>
              <w:bottom w:w="70" w:type="dxa"/>
              <w:end w:w="90" w:type="dxa"/>
            </w:tcMar>
            <w:vAlign w:val="center"/>
            <w:shd w:fill="EEF7F4"/>
          </w:tcPr>
          <w:p>
            <w:pPr>
              <w:spacing w:after="0" w:line="252" w:lineRule="auto"/>
              <w:jc w:val="left"/>
            </w:pPr>
            <w:r>
              <w:rPr>
                <w:rFonts w:ascii="Calibri" w:hAnsi="Calibri" w:eastAsia="Calibri"/>
                <w:color w:val="203740"/>
                <w:sz w:val="14"/>
              </w:rPr>
              <w:t>¿Cuáles deben ratificarse, reformularse o agruparse y con qué criterio?</w:t>
            </w:r>
          </w:p>
        </w:tc>
      </w:tr>
      <w:tr>
        <w:tc>
          <w:tcPr>
            <w:tcW w:type="dxa" w:w="1440"/>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Debilidad / brecha potencial</w:t>
            </w:r>
          </w:p>
        </w:tc>
        <w:tc>
          <w:tcPr>
            <w:tcW w:type="dxa" w:w="1440"/>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Agua y saneamiento</w:t>
            </w:r>
          </w:p>
        </w:tc>
        <w:tc>
          <w:tcPr>
            <w:tcW w:type="dxa" w:w="2304"/>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62.4% con acueducto dentro; 52.7% con inodoro; contraste disponible entre municipios.</w:t>
            </w:r>
          </w:p>
        </w:tc>
        <w:tc>
          <w:tcPr>
            <w:tcW w:type="dxa" w:w="2088"/>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El agregado sugiere brechas de acceso, pero no mide calidad, continuidad ni localización.</w:t>
            </w:r>
          </w:p>
        </w:tc>
        <w:tc>
          <w:tcPr>
            <w:tcW w:type="dxa" w:w="2088"/>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¿Qué comunidades y sistemas explican la brecha y qué institución tiene competencia?</w:t>
            </w:r>
          </w:p>
        </w:tc>
      </w:tr>
      <w:tr>
        <w:tc>
          <w:tcPr>
            <w:tcW w:type="dxa" w:w="1440"/>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Debilidad / brecha potencial</w:t>
            </w:r>
          </w:p>
        </w:tc>
        <w:tc>
          <w:tcPr>
            <w:tcW w:type="dxa" w:w="1440"/>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Residuos y drenaje</w:t>
            </w:r>
          </w:p>
        </w:tc>
        <w:tc>
          <w:tcPr>
            <w:tcW w:type="dxa" w:w="2304"/>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80.0% declara recogida municipal y 14.0% quema residuos; las demandas deben contrastarse con estas categorías censales.</w:t>
            </w:r>
          </w:p>
        </w:tc>
        <w:tc>
          <w:tcPr>
            <w:tcW w:type="dxa" w:w="2088"/>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Pueden existir brechas de cobertura y gestión ambiental; demanda y dato censal deben contrastarse.</w:t>
            </w:r>
          </w:p>
        </w:tc>
        <w:tc>
          <w:tcPr>
            <w:tcW w:type="dxa" w:w="2088"/>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¿Qué rutas, frecuencias, puntos de disposición y zonas inundables deben verificarse?</w:t>
            </w:r>
          </w:p>
        </w:tc>
      </w:tr>
      <w:tr>
        <w:tc>
          <w:tcPr>
            <w:tcW w:type="dxa" w:w="1440"/>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Debilidad / brecha potencial</w:t>
            </w:r>
          </w:p>
        </w:tc>
        <w:tc>
          <w:tcPr>
            <w:tcW w:type="dxa" w:w="1440"/>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Seguridad vial</w:t>
            </w:r>
          </w:p>
        </w:tc>
        <w:tc>
          <w:tcPr>
            <w:tcW w:type="dxa" w:w="2304"/>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Tasa de muertes de tránsito de 33.2 por 100 mil en 2025.</w:t>
            </w:r>
          </w:p>
        </w:tc>
        <w:tc>
          <w:tcPr>
            <w:tcW w:type="dxa" w:w="2088"/>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La serie señala un asunto para investigación, no una causa ni una solución predeterminada.</w:t>
            </w:r>
          </w:p>
        </w:tc>
        <w:tc>
          <w:tcPr>
            <w:tcW w:type="dxa" w:w="2088"/>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¿Dónde, cuándo y en qué condiciones ocurren los eventos?</w:t>
            </w:r>
          </w:p>
        </w:tc>
      </w:tr>
      <w:tr>
        <w:tc>
          <w:tcPr>
            <w:tcW w:type="dxa" w:w="1440"/>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Debilidad / brecha potencial</w:t>
            </w:r>
          </w:p>
        </w:tc>
        <w:tc>
          <w:tcPr>
            <w:tcW w:type="dxa" w:w="1440"/>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Inclusión y vivienda</w:t>
            </w:r>
          </w:p>
        </w:tc>
        <w:tc>
          <w:tcPr>
            <w:tcW w:type="dxa" w:w="2304"/>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14.4% de hogares con hacinamiento extremo o moderado; 8,656 personas con discapacidad por ICV.</w:t>
            </w:r>
          </w:p>
        </w:tc>
        <w:tc>
          <w:tcPr>
            <w:tcW w:type="dxa" w:w="2088"/>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La combinación puede indicar vulnerabilidades diferenciadas que requieren localización y validación.</w:t>
            </w:r>
          </w:p>
        </w:tc>
        <w:tc>
          <w:tcPr>
            <w:tcW w:type="dxa" w:w="2088"/>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¿Qué hogares, barreras y servicios concentran la situación?</w:t>
            </w:r>
          </w:p>
        </w:tc>
      </w:tr>
      <w:tr>
        <w:tc>
          <w:tcPr>
            <w:tcW w:type="dxa" w:w="1440"/>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Debilidad / brecha potencial</w:t>
            </w:r>
          </w:p>
        </w:tc>
        <w:tc>
          <w:tcPr>
            <w:tcW w:type="dxa" w:w="1440"/>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Información para decisiones</w:t>
            </w:r>
          </w:p>
        </w:tc>
        <w:tc>
          <w:tcPr>
            <w:tcW w:type="dxa" w:w="2304"/>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Varios indicadores carecen de desagregación comunitaria o miden registros, no calidad ni personas únicas.</w:t>
            </w:r>
          </w:p>
        </w:tc>
        <w:tc>
          <w:tcPr>
            <w:tcW w:type="dxa" w:w="2088"/>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La falta de detalle limita indicadores, metas y focalización confiables.</w:t>
            </w:r>
          </w:p>
        </w:tc>
        <w:tc>
          <w:tcPr>
            <w:tcW w:type="dxa" w:w="2088"/>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¿Qué levantamientos mínimos debe completar la comisión técnica antes de formular acciones?</w:t>
            </w:r>
          </w:p>
        </w:tc>
      </w:tr>
    </w:tbl>
    <w:p>
      <w:pPr>
        <w:jc w:val="both"/>
      </w:pPr>
      <w:r>
        <w:rPr>
          <w:rFonts w:ascii="Calibri" w:hAnsi="Calibri" w:eastAsia="Calibri"/>
          <w:color w:val="203740"/>
          <w:sz w:val="18"/>
        </w:rPr>
        <w:t>Resultado de la sesión: el CDP deberá marcar cada fila como confirmada, modificada, descartada o pendiente y anexar la evidencia local correspondiente.</w:t>
      </w:r>
    </w:p>
    <w:p>
      <w:r>
        <w:br w:type="page"/>
      </w:r>
    </w:p>
    <w:p>
      <w:pPr>
        <w:pStyle w:val="Heading1"/>
      </w:pPr>
      <w:r>
        <w:t>4. Del diagnóstico a la concertación</w:t>
      </w:r>
    </w:p>
    <w:p>
      <w:pPr>
        <w:pStyle w:val="Heading2"/>
      </w:pPr>
      <w:r>
        <w:t>4.1 Secuencia sugerida para las sesiones del CDP</w:t>
      </w:r>
    </w:p>
    <w:tbl>
      <w:tblPr>
        <w:tblW w:type="auto" w:w="0"/>
        <w:jc w:val="center"/>
        <w:tblLayout w:type="fixed"/>
        <w:tblLook w:firstColumn="1" w:firstRow="1" w:lastColumn="0" w:lastRow="0" w:noHBand="0" w:noVBand="1" w:val="04A0"/>
      </w:tblPr>
      <w:tblGrid>
        <w:gridCol w:w="4680"/>
        <w:gridCol w:w="4680"/>
      </w:tblGrid>
      <w:tr>
        <w:trPr>
          <w:tblHeader w:val="true"/>
        </w:trPr>
        <w:tc>
          <w:tcPr>
            <w:tcW w:type="dxa" w:w="1656"/>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7"/>
              </w:rPr>
              <w:t>Momento</w:t>
            </w:r>
          </w:p>
        </w:tc>
        <w:tc>
          <w:tcPr>
            <w:tcW w:type="dxa" w:w="7704"/>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7"/>
              </w:rPr>
              <w:t>Pregunta de trabajo</w:t>
            </w:r>
          </w:p>
        </w:tc>
      </w:tr>
      <w:tr>
        <w:tc>
          <w:tcPr>
            <w:tcW w:type="dxa" w:w="1656"/>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1. Validar</w:t>
            </w:r>
          </w:p>
        </w:tc>
        <w:tc>
          <w:tcPr>
            <w:tcW w:type="dxa" w:w="7704"/>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Confirmar fuente, año, definición, localización y responsable de aportar evidencia adicional.</w:t>
            </w:r>
          </w:p>
        </w:tc>
      </w:tr>
      <w:tr>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2. Explicar</w:t>
            </w:r>
          </w:p>
        </w:tc>
        <w:tc>
          <w:tcPr>
            <w:tcW w:type="dxa" w:w="770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Distinguir síntoma, causa posible, población afectada y competencias públicas o sociales.</w:t>
            </w:r>
          </w:p>
        </w:tc>
      </w:tr>
      <w:tr>
        <w:tc>
          <w:tcPr>
            <w:tcW w:type="dxa" w:w="1656"/>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3. Comparar</w:t>
            </w:r>
          </w:p>
        </w:tc>
        <w:tc>
          <w:tcPr>
            <w:tcW w:type="dxa" w:w="7704"/>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Contrastar municipios, zonas urbanas/rurales, grupos de población e inversiones existentes.</w:t>
            </w:r>
          </w:p>
        </w:tc>
      </w:tr>
      <w:tr>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4. Acordar</w:t>
            </w:r>
          </w:p>
        </w:tc>
        <w:tc>
          <w:tcPr>
            <w:tcW w:type="dxa" w:w="770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Documentar situación priorizada, resultado esperado y criterio de selección; registrar disenso.</w:t>
            </w:r>
          </w:p>
        </w:tc>
      </w:tr>
      <w:tr>
        <w:tc>
          <w:tcPr>
            <w:tcW w:type="dxa" w:w="1656"/>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5. Formular</w:t>
            </w:r>
          </w:p>
        </w:tc>
        <w:tc>
          <w:tcPr>
            <w:tcW w:type="dxa" w:w="7704"/>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Definir acción, indicador, línea base, meta, responsable, financiamiento, plazo y riesgos.</w:t>
            </w:r>
          </w:p>
        </w:tc>
      </w:tr>
    </w:tbl>
    <w:p>
      <w:pPr>
        <w:pStyle w:val="Heading2"/>
      </w:pPr>
      <w:r>
        <w:t>4.2 Registro de validación del diagnóstico</w:t>
      </w:r>
    </w:p>
    <w:tbl>
      <w:tblPr>
        <w:tblW w:type="auto" w:w="0"/>
        <w:jc w:val="center"/>
        <w:tblLayout w:type="fixed"/>
        <w:tblLook w:firstColumn="1" w:firstRow="1" w:lastColumn="0" w:lastRow="0" w:noHBand="0" w:noVBand="1" w:val="04A0"/>
      </w:tblPr>
      <w:tblGrid>
        <w:gridCol w:w="1872"/>
        <w:gridCol w:w="1872"/>
        <w:gridCol w:w="1872"/>
        <w:gridCol w:w="1872"/>
        <w:gridCol w:w="1872"/>
      </w:tblGrid>
      <w:tr>
        <w:trPr>
          <w:tblHeader w:val="true"/>
        </w:trPr>
        <w:tc>
          <w:tcPr>
            <w:tcW w:type="dxa" w:w="1656"/>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6"/>
              </w:rPr>
              <w:t>Tema</w:t>
            </w:r>
          </w:p>
        </w:tc>
        <w:tc>
          <w:tcPr>
            <w:tcW w:type="dxa" w:w="2088"/>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6"/>
              </w:rPr>
              <w:t>Dato validado</w:t>
            </w:r>
          </w:p>
        </w:tc>
        <w:tc>
          <w:tcPr>
            <w:tcW w:type="dxa" w:w="1656"/>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6"/>
              </w:rPr>
              <w:t>Localización</w:t>
            </w:r>
          </w:p>
        </w:tc>
        <w:tc>
          <w:tcPr>
            <w:tcW w:type="dxa" w:w="1944"/>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6"/>
              </w:rPr>
              <w:t>Fuente adicional</w:t>
            </w:r>
          </w:p>
        </w:tc>
        <w:tc>
          <w:tcPr>
            <w:tcW w:type="dxa" w:w="2016"/>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6"/>
              </w:rPr>
              <w:t>Acuerdo / pendiente</w:t>
            </w:r>
          </w:p>
        </w:tc>
      </w:tr>
      <w:tr>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208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194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201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r>
      <w:tr>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208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194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201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r>
      <w:tr>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208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194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201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r>
      <w:tr>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208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194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201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r>
      <w:tr>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208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194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201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r>
    </w:tbl>
    <w:p>
      <w:pPr>
        <w:pStyle w:val="Heading2"/>
      </w:pPr>
      <w:r>
        <w:t>4.3 Criterios de priorización a acordar</w:t>
      </w:r>
    </w:p>
    <w:p>
      <w:pPr>
        <w:jc w:val="both"/>
      </w:pPr>
      <w:r>
        <w:rPr>
          <w:rFonts w:ascii="Calibri" w:hAnsi="Calibri" w:eastAsia="Calibri"/>
          <w:color w:val="203740"/>
          <w:sz w:val="18"/>
        </w:rPr>
        <w:t>El CDP completará la definición y el peso o regla de cada criterio durante la sesión de concertación.</w:t>
      </w:r>
    </w:p>
    <w:tbl>
      <w:tblPr>
        <w:tblW w:type="auto" w:w="0"/>
        <w:jc w:val="center"/>
        <w:tblLayout w:type="fixed"/>
        <w:tblLook w:firstColumn="1" w:firstRow="1" w:lastColumn="0" w:lastRow="0" w:noHBand="0" w:noVBand="1" w:val="04A0"/>
      </w:tblPr>
      <w:tblGrid>
        <w:gridCol w:w="3120"/>
        <w:gridCol w:w="3120"/>
        <w:gridCol w:w="3120"/>
      </w:tblGrid>
      <w:tr>
        <w:trPr>
          <w:tblHeader w:val="true"/>
        </w:trPr>
        <w:tc>
          <w:tcPr>
            <w:tcW w:type="dxa" w:w="3240"/>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6"/>
              </w:rPr>
              <w:t>Criterio</w:t>
            </w:r>
          </w:p>
        </w:tc>
        <w:tc>
          <w:tcPr>
            <w:tcW w:type="dxa" w:w="4680"/>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6"/>
              </w:rPr>
              <w:t>Definición acordada</w:t>
            </w:r>
          </w:p>
        </w:tc>
        <w:tc>
          <w:tcPr>
            <w:tcW w:type="dxa" w:w="1440"/>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6"/>
              </w:rPr>
              <w:t>Peso / regla</w:t>
            </w:r>
          </w:p>
        </w:tc>
      </w:tr>
      <w:tr>
        <w:tc>
          <w:tcPr>
            <w:tcW w:type="dxa" w:w="3240"/>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t>Urgencia y gravedad</w:t>
            </w:r>
          </w:p>
        </w:tc>
        <w:tc>
          <w:tcPr>
            <w:tcW w:type="dxa" w:w="4680"/>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r>
          </w:p>
        </w:tc>
        <w:tc>
          <w:tcPr>
            <w:tcW w:type="dxa" w:w="1440"/>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r>
          </w:p>
        </w:tc>
      </w:tr>
      <w:tr>
        <w:tc>
          <w:tcPr>
            <w:tcW w:type="dxa" w:w="324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t>Equidad territorial y poblacional</w:t>
            </w:r>
          </w:p>
        </w:tc>
        <w:tc>
          <w:tcPr>
            <w:tcW w:type="dxa" w:w="46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r>
          </w:p>
        </w:tc>
        <w:tc>
          <w:tcPr>
            <w:tcW w:type="dxa" w:w="144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r>
          </w:p>
        </w:tc>
      </w:tr>
      <w:tr>
        <w:tc>
          <w:tcPr>
            <w:tcW w:type="dxa" w:w="3240"/>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t>Escala o interdependencia provincial</w:t>
            </w:r>
          </w:p>
        </w:tc>
        <w:tc>
          <w:tcPr>
            <w:tcW w:type="dxa" w:w="4680"/>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r>
          </w:p>
        </w:tc>
        <w:tc>
          <w:tcPr>
            <w:tcW w:type="dxa" w:w="1440"/>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r>
          </w:p>
        </w:tc>
      </w:tr>
      <w:tr>
        <w:tc>
          <w:tcPr>
            <w:tcW w:type="dxa" w:w="324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t>Competencia y coordinación institucional</w:t>
            </w:r>
          </w:p>
        </w:tc>
        <w:tc>
          <w:tcPr>
            <w:tcW w:type="dxa" w:w="46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r>
          </w:p>
        </w:tc>
        <w:tc>
          <w:tcPr>
            <w:tcW w:type="dxa" w:w="144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r>
          </w:p>
        </w:tc>
      </w:tr>
      <w:tr>
        <w:tc>
          <w:tcPr>
            <w:tcW w:type="dxa" w:w="3240"/>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t>Madurez técnica y financiera</w:t>
            </w:r>
          </w:p>
        </w:tc>
        <w:tc>
          <w:tcPr>
            <w:tcW w:type="dxa" w:w="4680"/>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r>
          </w:p>
        </w:tc>
        <w:tc>
          <w:tcPr>
            <w:tcW w:type="dxa" w:w="1440"/>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r>
          </w:p>
        </w:tc>
      </w:tr>
      <w:tr>
        <w:tc>
          <w:tcPr>
            <w:tcW w:type="dxa" w:w="324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t>Sostenibilidad, riesgos y mantenimiento</w:t>
            </w:r>
          </w:p>
        </w:tc>
        <w:tc>
          <w:tcPr>
            <w:tcW w:type="dxa" w:w="46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r>
          </w:p>
        </w:tc>
        <w:tc>
          <w:tcPr>
            <w:tcW w:type="dxa" w:w="144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r>
          </w:p>
        </w:tc>
      </w:tr>
    </w:tbl>
    <w:p>
      <w:r>
        <w:br w:type="page"/>
      </w:r>
    </w:p>
    <w:p>
      <w:pPr>
        <w:pStyle w:val="Heading1"/>
      </w:pPr>
      <w:r>
        <w:t>5. Visión, objetivos y plan de acción</w:t>
      </w:r>
    </w:p>
    <w:tbl>
      <w:tblPr>
        <w:tblW w:type="auto" w:w="0"/>
        <w:jc w:val="center"/>
        <w:tblLayout w:type="fixed"/>
        <w:tblLook w:firstColumn="1" w:firstRow="1" w:lastColumn="0" w:lastRow="0" w:noHBand="0" w:noVBand="1" w:val="04A0"/>
      </w:tblPr>
      <w:tblGrid>
        <w:gridCol w:w="9360"/>
      </w:tblGrid>
      <w:tr>
        <w:tc>
          <w:tcPr>
            <w:tcW w:type="dxa" w:w="9360"/>
            <w:tcMar>
              <w:top w:w="120" w:type="dxa"/>
              <w:start w:w="140" w:type="dxa"/>
              <w:bottom w:w="120" w:type="dxa"/>
              <w:end w:w="140" w:type="dxa"/>
            </w:tcMar>
            <w:shd w:fill="FCF6E9"/>
          </w:tcPr>
          <w:p>
            <w:pPr>
              <w:spacing w:after="60"/>
            </w:pPr>
            <w:r/>
            <w:r>
              <w:rPr>
                <w:rFonts w:ascii="Calibri" w:hAnsi="Calibri" w:eastAsia="Calibri"/>
                <w:b/>
                <w:color w:val="B57A16"/>
                <w:sz w:val="21"/>
              </w:rPr>
              <w:t>Sección reservada a decisión del CDP</w:t>
            </w:r>
          </w:p>
          <w:p>
            <w:pPr>
              <w:spacing w:after="0"/>
            </w:pPr>
            <w:r>
              <w:rPr>
                <w:rFonts w:ascii="Calibri" w:hAnsi="Calibri" w:eastAsia="Calibri"/>
                <w:color w:val="203740"/>
                <w:sz w:val="19"/>
              </w:rPr>
              <w:t>El diagnóstico permite formular preguntas, pero no autoriza a redactar una visión, seleccionar objetivos ni comprometer acciones. Los campos siguientes deben completarse mediante concertación y constar en actas.</w:t>
            </w:r>
          </w:p>
        </w:tc>
      </w:tr>
    </w:tbl>
    <w:p>
      <w:pPr>
        <w:pStyle w:val="Heading2"/>
      </w:pPr>
      <w:r>
        <w:t>5.1 Visión provincial</w:t>
      </w:r>
    </w:p>
    <w:tbl>
      <w:tblPr>
        <w:tblW w:type="auto" w:w="0"/>
        <w:jc w:val="center"/>
        <w:tblLayout w:type="fixed"/>
        <w:tblLook w:firstColumn="1" w:firstRow="1" w:lastColumn="0" w:lastRow="0" w:noHBand="0" w:noVBand="1" w:val="04A0"/>
      </w:tblPr>
      <w:tblGrid>
        <w:gridCol w:w="4680"/>
        <w:gridCol w:w="4680"/>
      </w:tblGrid>
      <w:tr>
        <w:trPr>
          <w:tblHeader w:val="true"/>
        </w:trPr>
        <w:tc>
          <w:tcPr>
            <w:tcW w:type="dxa" w:w="2880"/>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8"/>
              </w:rPr>
              <w:t>Campo</w:t>
            </w:r>
          </w:p>
        </w:tc>
        <w:tc>
          <w:tcPr>
            <w:tcW w:type="dxa" w:w="6480"/>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8"/>
              </w:rPr>
              <w:t>Acuerdo</w:t>
            </w:r>
          </w:p>
        </w:tc>
      </w:tr>
      <w:tr>
        <w:tc>
          <w:tcPr>
            <w:tcW w:type="dxa" w:w="2880"/>
            <w:tcMar>
              <w:top w:w="70" w:type="dxa"/>
              <w:start w:w="90" w:type="dxa"/>
              <w:bottom w:w="70" w:type="dxa"/>
              <w:end w:w="90" w:type="dxa"/>
            </w:tcMar>
            <w:vAlign w:val="center"/>
          </w:tcPr>
          <w:p>
            <w:pPr>
              <w:spacing w:after="0" w:line="252" w:lineRule="auto"/>
              <w:jc w:val="left"/>
            </w:pPr>
            <w:r>
              <w:rPr>
                <w:rFonts w:ascii="Calibri" w:hAnsi="Calibri" w:eastAsia="Calibri"/>
                <w:color w:val="203740"/>
                <w:sz w:val="18"/>
              </w:rPr>
              <w:t>Horizonte temporal</w:t>
            </w:r>
          </w:p>
        </w:tc>
        <w:tc>
          <w:tcPr>
            <w:tcW w:type="dxa" w:w="6480"/>
            <w:tcMar>
              <w:top w:w="70" w:type="dxa"/>
              <w:start w:w="90" w:type="dxa"/>
              <w:bottom w:w="70" w:type="dxa"/>
              <w:end w:w="90" w:type="dxa"/>
            </w:tcMar>
            <w:vAlign w:val="center"/>
          </w:tcPr>
          <w:p>
            <w:pPr>
              <w:spacing w:after="0" w:line="252" w:lineRule="auto"/>
              <w:jc w:val="left"/>
            </w:pPr>
            <w:r>
              <w:rPr>
                <w:rFonts w:ascii="Calibri" w:hAnsi="Calibri" w:eastAsia="Calibri"/>
                <w:color w:val="203740"/>
                <w:sz w:val="18"/>
              </w:rPr>
            </w:r>
          </w:p>
        </w:tc>
      </w:tr>
      <w:tr>
        <w:tc>
          <w:tcPr>
            <w:tcW w:type="dxa" w:w="2880"/>
            <w:tcMar>
              <w:top w:w="70" w:type="dxa"/>
              <w:start w:w="90" w:type="dxa"/>
              <w:bottom w:w="70" w:type="dxa"/>
              <w:end w:w="90" w:type="dxa"/>
            </w:tcMar>
            <w:vAlign w:val="center"/>
          </w:tcPr>
          <w:p>
            <w:pPr>
              <w:spacing w:after="0" w:line="252" w:lineRule="auto"/>
              <w:jc w:val="left"/>
            </w:pPr>
            <w:r>
              <w:rPr>
                <w:rFonts w:ascii="Calibri" w:hAnsi="Calibri" w:eastAsia="Calibri"/>
                <w:color w:val="203740"/>
                <w:sz w:val="18"/>
              </w:rPr>
              <w:t>Texto de la visión</w:t>
            </w:r>
          </w:p>
        </w:tc>
        <w:tc>
          <w:tcPr>
            <w:tcW w:type="dxa" w:w="6480"/>
            <w:tcMar>
              <w:top w:w="70" w:type="dxa"/>
              <w:start w:w="90" w:type="dxa"/>
              <w:bottom w:w="70" w:type="dxa"/>
              <w:end w:w="90" w:type="dxa"/>
            </w:tcMar>
            <w:vAlign w:val="center"/>
          </w:tcPr>
          <w:p>
            <w:pPr>
              <w:spacing w:after="0" w:line="252" w:lineRule="auto"/>
              <w:jc w:val="left"/>
            </w:pPr>
            <w:r>
              <w:rPr>
                <w:rFonts w:ascii="Calibri" w:hAnsi="Calibri" w:eastAsia="Calibri"/>
                <w:color w:val="203740"/>
                <w:sz w:val="18"/>
              </w:rPr>
              <w:br/>
              <w:br/>
            </w:r>
          </w:p>
        </w:tc>
      </w:tr>
      <w:tr>
        <w:tc>
          <w:tcPr>
            <w:tcW w:type="dxa" w:w="2880"/>
            <w:tcMar>
              <w:top w:w="70" w:type="dxa"/>
              <w:start w:w="90" w:type="dxa"/>
              <w:bottom w:w="70" w:type="dxa"/>
              <w:end w:w="90" w:type="dxa"/>
            </w:tcMar>
            <w:vAlign w:val="center"/>
          </w:tcPr>
          <w:p>
            <w:pPr>
              <w:spacing w:after="0" w:line="252" w:lineRule="auto"/>
              <w:jc w:val="left"/>
            </w:pPr>
            <w:r>
              <w:rPr>
                <w:rFonts w:ascii="Calibri" w:hAnsi="Calibri" w:eastAsia="Calibri"/>
                <w:color w:val="203740"/>
                <w:sz w:val="18"/>
              </w:rPr>
              <w:t>Acta / fecha de concertación</w:t>
            </w:r>
          </w:p>
        </w:tc>
        <w:tc>
          <w:tcPr>
            <w:tcW w:type="dxa" w:w="6480"/>
            <w:tcMar>
              <w:top w:w="70" w:type="dxa"/>
              <w:start w:w="90" w:type="dxa"/>
              <w:bottom w:w="70" w:type="dxa"/>
              <w:end w:w="90" w:type="dxa"/>
            </w:tcMar>
            <w:vAlign w:val="center"/>
          </w:tcPr>
          <w:p>
            <w:pPr>
              <w:spacing w:after="0" w:line="252" w:lineRule="auto"/>
              <w:jc w:val="left"/>
            </w:pPr>
            <w:r>
              <w:rPr>
                <w:rFonts w:ascii="Calibri" w:hAnsi="Calibri" w:eastAsia="Calibri"/>
                <w:color w:val="203740"/>
                <w:sz w:val="18"/>
              </w:rPr>
            </w:r>
          </w:p>
        </w:tc>
      </w:tr>
      <w:tr>
        <w:tc>
          <w:tcPr>
            <w:tcW w:type="dxa" w:w="2880"/>
            <w:tcMar>
              <w:top w:w="70" w:type="dxa"/>
              <w:start w:w="90" w:type="dxa"/>
              <w:bottom w:w="70" w:type="dxa"/>
              <w:end w:w="90" w:type="dxa"/>
            </w:tcMar>
            <w:vAlign w:val="center"/>
          </w:tcPr>
          <w:p>
            <w:pPr>
              <w:spacing w:after="0" w:line="252" w:lineRule="auto"/>
              <w:jc w:val="left"/>
            </w:pPr>
            <w:r>
              <w:rPr>
                <w:rFonts w:ascii="Calibri" w:hAnsi="Calibri" w:eastAsia="Calibri"/>
                <w:color w:val="203740"/>
                <w:sz w:val="18"/>
              </w:rPr>
              <w:t>Participantes y constancia de disenso</w:t>
            </w:r>
          </w:p>
        </w:tc>
        <w:tc>
          <w:tcPr>
            <w:tcW w:type="dxa" w:w="6480"/>
            <w:tcMar>
              <w:top w:w="70" w:type="dxa"/>
              <w:start w:w="90" w:type="dxa"/>
              <w:bottom w:w="70" w:type="dxa"/>
              <w:end w:w="90" w:type="dxa"/>
            </w:tcMar>
            <w:vAlign w:val="center"/>
          </w:tcPr>
          <w:p>
            <w:pPr>
              <w:spacing w:after="0" w:line="252" w:lineRule="auto"/>
              <w:jc w:val="left"/>
            </w:pPr>
            <w:r>
              <w:rPr>
                <w:rFonts w:ascii="Calibri" w:hAnsi="Calibri" w:eastAsia="Calibri"/>
                <w:color w:val="203740"/>
                <w:sz w:val="18"/>
              </w:rPr>
            </w:r>
          </w:p>
        </w:tc>
      </w:tr>
    </w:tbl>
    <w:p>
      <w:pPr>
        <w:pStyle w:val="Heading2"/>
      </w:pPr>
      <w:r>
        <w:t>5.2 Objetivos y resultados</w:t>
      </w:r>
    </w:p>
    <w:tbl>
      <w:tblPr>
        <w:tblW w:type="auto" w:w="0"/>
        <w:jc w:val="center"/>
        <w:tblLayout w:type="fixed"/>
        <w:tblLook w:firstColumn="1" w:firstRow="1" w:lastColumn="0" w:lastRow="0" w:noHBand="0" w:noVBand="1" w:val="04A0"/>
      </w:tblPr>
      <w:tblGrid>
        <w:gridCol w:w="1872"/>
        <w:gridCol w:w="1872"/>
        <w:gridCol w:w="1872"/>
        <w:gridCol w:w="1872"/>
        <w:gridCol w:w="1872"/>
      </w:tblGrid>
      <w:tr>
        <w:trPr>
          <w:tblHeader w:val="true"/>
        </w:trPr>
        <w:tc>
          <w:tcPr>
            <w:tcW w:type="dxa" w:w="1944"/>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5"/>
              </w:rPr>
              <w:t>Situación priorizada</w:t>
            </w:r>
          </w:p>
        </w:tc>
        <w:tc>
          <w:tcPr>
            <w:tcW w:type="dxa" w:w="1800"/>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5"/>
              </w:rPr>
              <w:t>Objetivo</w:t>
            </w:r>
          </w:p>
        </w:tc>
        <w:tc>
          <w:tcPr>
            <w:tcW w:type="dxa" w:w="1800"/>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5"/>
              </w:rPr>
              <w:t>Resultado</w:t>
            </w:r>
          </w:p>
        </w:tc>
        <w:tc>
          <w:tcPr>
            <w:tcW w:type="dxa" w:w="2376"/>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5"/>
              </w:rPr>
              <w:t>Indicador / línea base</w:t>
            </w:r>
          </w:p>
        </w:tc>
        <w:tc>
          <w:tcPr>
            <w:tcW w:type="dxa" w:w="1440"/>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5"/>
              </w:rPr>
              <w:t>Meta</w:t>
            </w:r>
          </w:p>
        </w:tc>
      </w:tr>
      <w:tr>
        <w:tc>
          <w:tcPr>
            <w:tcW w:type="dxa" w:w="194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80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80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23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44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r>
      <w:tr>
        <w:tc>
          <w:tcPr>
            <w:tcW w:type="dxa" w:w="194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80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80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23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44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r>
      <w:tr>
        <w:tc>
          <w:tcPr>
            <w:tcW w:type="dxa" w:w="194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80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80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23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44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r>
      <w:tr>
        <w:tc>
          <w:tcPr>
            <w:tcW w:type="dxa" w:w="194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80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80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23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44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r>
    </w:tbl>
    <w:p>
      <w:r>
        <w:br w:type="page"/>
      </w:r>
    </w:p>
    <w:p>
      <w:pPr>
        <w:pStyle w:val="Heading2"/>
      </w:pPr>
      <w:r>
        <w:t>5.3 Ficha para formular una acción o proyecto</w:t>
      </w:r>
    </w:p>
    <w:tbl>
      <w:tblPr>
        <w:tblW w:type="auto" w:w="0"/>
        <w:jc w:val="center"/>
        <w:tblLayout w:type="fixed"/>
        <w:tblLook w:firstColumn="1" w:firstRow="1" w:lastColumn="0" w:lastRow="0" w:noHBand="0" w:noVBand="1" w:val="04A0"/>
      </w:tblPr>
      <w:tblGrid>
        <w:gridCol w:w="4680"/>
        <w:gridCol w:w="4680"/>
      </w:tblGrid>
      <w:tr>
        <w:trPr>
          <w:tblHeader w:val="true"/>
        </w:trPr>
        <w:tc>
          <w:tcPr>
            <w:tcW w:type="dxa" w:w="3168"/>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7"/>
              </w:rPr>
              <w:t>Campo</w:t>
            </w:r>
          </w:p>
        </w:tc>
        <w:tc>
          <w:tcPr>
            <w:tcW w:type="dxa" w:w="6192"/>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7"/>
              </w:rPr>
              <w:t>Definición concertada</w:t>
            </w:r>
          </w:p>
        </w:tc>
      </w:tr>
      <w:tr>
        <w:tc>
          <w:tcPr>
            <w:tcW w:type="dxa" w:w="316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Situación priorizada y evidencia</w:t>
            </w:r>
          </w:p>
        </w:tc>
        <w:tc>
          <w:tcPr>
            <w:tcW w:type="dxa" w:w="619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r>
          </w:p>
        </w:tc>
      </w:tr>
      <w:tr>
        <w:tc>
          <w:tcPr>
            <w:tcW w:type="dxa" w:w="316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Resultado esperado</w:t>
            </w:r>
          </w:p>
        </w:tc>
        <w:tc>
          <w:tcPr>
            <w:tcW w:type="dxa" w:w="619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r>
          </w:p>
        </w:tc>
      </w:tr>
      <w:tr>
        <w:tc>
          <w:tcPr>
            <w:tcW w:type="dxa" w:w="316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Acción / proyecto</w:t>
            </w:r>
          </w:p>
        </w:tc>
        <w:tc>
          <w:tcPr>
            <w:tcW w:type="dxa" w:w="619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r>
          </w:p>
        </w:tc>
      </w:tr>
      <w:tr>
        <w:tc>
          <w:tcPr>
            <w:tcW w:type="dxa" w:w="316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Alcance territorial y población</w:t>
            </w:r>
          </w:p>
        </w:tc>
        <w:tc>
          <w:tcPr>
            <w:tcW w:type="dxa" w:w="619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r>
          </w:p>
        </w:tc>
      </w:tr>
      <w:tr>
        <w:tc>
          <w:tcPr>
            <w:tcW w:type="dxa" w:w="316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Indicador, línea base y meta</w:t>
            </w:r>
          </w:p>
        </w:tc>
        <w:tc>
          <w:tcPr>
            <w:tcW w:type="dxa" w:w="619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r>
          </w:p>
        </w:tc>
      </w:tr>
      <w:tr>
        <w:tc>
          <w:tcPr>
            <w:tcW w:type="dxa" w:w="316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Institución responsable y aliadas</w:t>
            </w:r>
          </w:p>
        </w:tc>
        <w:tc>
          <w:tcPr>
            <w:tcW w:type="dxa" w:w="619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r>
          </w:p>
        </w:tc>
      </w:tr>
      <w:tr>
        <w:tc>
          <w:tcPr>
            <w:tcW w:type="dxa" w:w="316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Presupuesto, fuente y código SNIP</w:t>
            </w:r>
          </w:p>
        </w:tc>
        <w:tc>
          <w:tcPr>
            <w:tcW w:type="dxa" w:w="619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r>
          </w:p>
        </w:tc>
      </w:tr>
      <w:tr>
        <w:tc>
          <w:tcPr>
            <w:tcW w:type="dxa" w:w="316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Plazo, hitos y mantenimiento</w:t>
            </w:r>
          </w:p>
        </w:tc>
        <w:tc>
          <w:tcPr>
            <w:tcW w:type="dxa" w:w="619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r>
          </w:p>
        </w:tc>
      </w:tr>
      <w:tr>
        <w:tc>
          <w:tcPr>
            <w:tcW w:type="dxa" w:w="316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Riesgos, supuestos y verificación</w:t>
            </w:r>
          </w:p>
        </w:tc>
        <w:tc>
          <w:tcPr>
            <w:tcW w:type="dxa" w:w="619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r>
          </w:p>
        </w:tc>
      </w:tr>
      <w:tr>
        <w:tc>
          <w:tcPr>
            <w:tcW w:type="dxa" w:w="316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Acta / fecha del acuerdo</w:t>
            </w:r>
          </w:p>
        </w:tc>
        <w:tc>
          <w:tcPr>
            <w:tcW w:type="dxa" w:w="619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r>
          </w:p>
        </w:tc>
      </w:tr>
    </w:tbl>
    <w:p>
      <w:pPr>
        <w:pStyle w:val="Heading2"/>
      </w:pPr>
      <w:r>
        <w:t>5.4 Matriz de seguimiento</w:t>
      </w:r>
    </w:p>
    <w:tbl>
      <w:tblPr>
        <w:tblW w:type="auto" w:w="0"/>
        <w:jc w:val="center"/>
        <w:tblLayout w:type="fixed"/>
        <w:tblLook w:firstColumn="1" w:firstRow="1" w:lastColumn="0" w:lastRow="0" w:noHBand="0" w:noVBand="1" w:val="04A0"/>
      </w:tblPr>
      <w:tblGrid>
        <w:gridCol w:w="1872"/>
        <w:gridCol w:w="1872"/>
        <w:gridCol w:w="1872"/>
        <w:gridCol w:w="1872"/>
        <w:gridCol w:w="1872"/>
      </w:tblGrid>
      <w:tr>
        <w:trPr>
          <w:tblHeader w:val="true"/>
        </w:trPr>
        <w:tc>
          <w:tcPr>
            <w:tcW w:type="dxa" w:w="2088"/>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5"/>
              </w:rPr>
              <w:t>Resultado / acción</w:t>
            </w:r>
          </w:p>
        </w:tc>
        <w:tc>
          <w:tcPr>
            <w:tcW w:type="dxa" w:w="1728"/>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5"/>
              </w:rPr>
              <w:t>Indicador</w:t>
            </w:r>
          </w:p>
        </w:tc>
        <w:tc>
          <w:tcPr>
            <w:tcW w:type="dxa" w:w="1728"/>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5"/>
              </w:rPr>
              <w:t>Meta / plazo</w:t>
            </w:r>
          </w:p>
        </w:tc>
        <w:tc>
          <w:tcPr>
            <w:tcW w:type="dxa" w:w="1800"/>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5"/>
              </w:rPr>
              <w:t>Responsable</w:t>
            </w:r>
          </w:p>
        </w:tc>
        <w:tc>
          <w:tcPr>
            <w:tcW w:type="dxa" w:w="2016"/>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5"/>
              </w:rPr>
              <w:t>Avance y evidencia</w:t>
            </w:r>
          </w:p>
        </w:tc>
      </w:tr>
      <w:tr>
        <w:tc>
          <w:tcPr>
            <w:tcW w:type="dxa" w:w="208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72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72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80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201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r>
      <w:tr>
        <w:tc>
          <w:tcPr>
            <w:tcW w:type="dxa" w:w="208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72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72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80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201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r>
      <w:tr>
        <w:tc>
          <w:tcPr>
            <w:tcW w:type="dxa" w:w="208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72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72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80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201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r>
      <w:tr>
        <w:tc>
          <w:tcPr>
            <w:tcW w:type="dxa" w:w="208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72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72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80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201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r>
    </w:tbl>
    <w:p>
      <w:r>
        <w:br w:type="page"/>
      </w:r>
    </w:p>
    <w:p>
      <w:pPr>
        <w:pStyle w:val="Heading1"/>
      </w:pPr>
      <w:r>
        <w:t>Anexo A. Demandas provinciales consolidadas</w:t>
      </w:r>
    </w:p>
    <w:p>
      <w:pPr>
        <w:jc w:val="both"/>
      </w:pPr>
      <w:r>
        <w:rPr>
          <w:rFonts w:ascii="Calibri" w:hAnsi="Calibri" w:eastAsia="Calibri"/>
          <w:color w:val="203740"/>
          <w:sz w:val="21"/>
        </w:rPr>
        <w:t>El consolidado 003 registra 14 demandas de Monte Cristi priorizadas en 2026. Se incluyen como evidencia de participación y como insumo para contrastar con el diagnóstico. El CDP deberá revisar vigencia, alcance, duplicidades, institución responsable, código SNIP, madurez técnica y financiamiento.</w:t>
      </w:r>
    </w:p>
    <w:tbl>
      <w:tblPr>
        <w:tblW w:type="auto" w:w="0"/>
        <w:jc w:val="center"/>
        <w:tblLayout w:type="fixed"/>
        <w:tblLook w:firstColumn="1" w:firstRow="1" w:lastColumn="0" w:lastRow="0" w:noHBand="0" w:noVBand="1" w:val="04A0"/>
      </w:tblPr>
      <w:tblGrid>
        <w:gridCol w:w="1872"/>
        <w:gridCol w:w="1872"/>
        <w:gridCol w:w="1872"/>
        <w:gridCol w:w="1872"/>
        <w:gridCol w:w="1872"/>
      </w:tblGrid>
      <w:tr>
        <w:trPr>
          <w:tblHeader w:val="true"/>
        </w:trPr>
        <w:tc>
          <w:tcPr>
            <w:tcW w:type="dxa" w:w="648"/>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4"/>
              </w:rPr>
              <w:t>Núm.</w:t>
            </w:r>
          </w:p>
        </w:tc>
        <w:tc>
          <w:tcPr>
            <w:tcW w:type="dxa" w:w="4464"/>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4"/>
              </w:rPr>
              <w:t>Demanda priorizada (texto resumido)</w:t>
            </w:r>
          </w:p>
        </w:tc>
        <w:tc>
          <w:tcPr>
            <w:tcW w:type="dxa" w:w="1512"/>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4"/>
              </w:rPr>
              <w:t>Municipio</w:t>
            </w:r>
          </w:p>
        </w:tc>
        <w:tc>
          <w:tcPr>
            <w:tcW w:type="dxa" w:w="1512"/>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4"/>
              </w:rPr>
              <w:t>Institución</w:t>
            </w:r>
          </w:p>
        </w:tc>
        <w:tc>
          <w:tcPr>
            <w:tcW w:type="dxa" w:w="1224"/>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4"/>
              </w:rPr>
              <w:t>SNIP</w:t>
            </w:r>
          </w:p>
        </w:tc>
      </w:tr>
      <w:tr>
        <w:tc>
          <w:tcPr>
            <w:tcW w:type="dxa" w:w="648"/>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1</w:t>
            </w:r>
          </w:p>
        </w:tc>
        <w:tc>
          <w:tcPr>
            <w:tcW w:type="dxa" w:w="446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Construcción carretera Santa Cruz-La Horca-Amacelles del municipio de Las Matas de Santa Cruz, provincia Monte Cristi</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Las Matas De Santa Cruz</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MOPC</w:t>
            </w:r>
          </w:p>
        </w:tc>
        <w:tc>
          <w:tcPr>
            <w:tcW w:type="dxa" w:w="12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(pendiente)</w:t>
            </w:r>
          </w:p>
        </w:tc>
      </w:tr>
      <w:tr>
        <w:tc>
          <w:tcPr>
            <w:tcW w:type="dxa" w:w="64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2</w:t>
            </w:r>
          </w:p>
        </w:tc>
        <w:tc>
          <w:tcPr>
            <w:tcW w:type="dxa" w:w="446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Asfaltado de 22 kms, tramo Los Maestros-Los Angeles, provincia Monte Cristi</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Monte Cristi</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MOPC</w:t>
            </w:r>
          </w:p>
        </w:tc>
        <w:tc>
          <w:tcPr>
            <w:tcW w:type="dxa" w:w="12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(pendiente)</w:t>
            </w:r>
          </w:p>
        </w:tc>
      </w:tr>
      <w:tr>
        <w:tc>
          <w:tcPr>
            <w:tcW w:type="dxa" w:w="648"/>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3</w:t>
            </w:r>
          </w:p>
        </w:tc>
        <w:tc>
          <w:tcPr>
            <w:tcW w:type="dxa" w:w="446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Construcción de 3 km de acceso a estación de Bomberos en el DM Cana Chapeton, municipio de Guayubín, provincia Monte Cristi</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Guayubin</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MOPC</w:t>
            </w:r>
          </w:p>
        </w:tc>
        <w:tc>
          <w:tcPr>
            <w:tcW w:type="dxa" w:w="12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(pendiente)</w:t>
            </w:r>
          </w:p>
        </w:tc>
      </w:tr>
      <w:tr>
        <w:tc>
          <w:tcPr>
            <w:tcW w:type="dxa" w:w="64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4</w:t>
            </w:r>
          </w:p>
        </w:tc>
        <w:tc>
          <w:tcPr>
            <w:tcW w:type="dxa" w:w="446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Construcción Carretera Hato del Medio-Los Limones-Copey en el DM Villa Elisa, Guayubín,  provincia Monte Cristi</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Guayubin</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MOPC</w:t>
            </w:r>
          </w:p>
        </w:tc>
        <w:tc>
          <w:tcPr>
            <w:tcW w:type="dxa" w:w="12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(pendiente)</w:t>
            </w:r>
          </w:p>
        </w:tc>
      </w:tr>
      <w:tr>
        <w:tc>
          <w:tcPr>
            <w:tcW w:type="dxa" w:w="648"/>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5</w:t>
            </w:r>
          </w:p>
        </w:tc>
        <w:tc>
          <w:tcPr>
            <w:tcW w:type="dxa" w:w="446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Construcción carretera La Cana - Manantial (8 kms)  en Villa Vásquez,  provincia Monte Cristi</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Villa Vasquez</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MOPC</w:t>
            </w:r>
          </w:p>
        </w:tc>
        <w:tc>
          <w:tcPr>
            <w:tcW w:type="dxa" w:w="12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(pendiente)</w:t>
            </w:r>
          </w:p>
        </w:tc>
      </w:tr>
      <w:tr>
        <w:tc>
          <w:tcPr>
            <w:tcW w:type="dxa" w:w="64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6</w:t>
            </w:r>
          </w:p>
        </w:tc>
        <w:tc>
          <w:tcPr>
            <w:tcW w:type="dxa" w:w="446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Reconstrucción de viviendas en el DM Santa María, Pepillo Salacedo, provincia Monte Cristi</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Monte Cristi</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MIVHED</w:t>
            </w:r>
          </w:p>
        </w:tc>
        <w:tc>
          <w:tcPr>
            <w:tcW w:type="dxa" w:w="12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(pendiente)</w:t>
            </w:r>
          </w:p>
        </w:tc>
      </w:tr>
      <w:tr>
        <w:tc>
          <w:tcPr>
            <w:tcW w:type="dxa" w:w="648"/>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7</w:t>
            </w:r>
          </w:p>
        </w:tc>
        <w:tc>
          <w:tcPr>
            <w:tcW w:type="dxa" w:w="446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Construcción de  infraestructura deportiva techada en Hatillo Palma, Guayubín, provincia Monte Cristi</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Guayubin</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MIDEREC</w:t>
            </w:r>
          </w:p>
        </w:tc>
        <w:tc>
          <w:tcPr>
            <w:tcW w:type="dxa" w:w="12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(pendiente)</w:t>
            </w:r>
          </w:p>
        </w:tc>
      </w:tr>
      <w:tr>
        <w:tc>
          <w:tcPr>
            <w:tcW w:type="dxa" w:w="64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8</w:t>
            </w:r>
          </w:p>
        </w:tc>
        <w:tc>
          <w:tcPr>
            <w:tcW w:type="dxa" w:w="446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Construcción del Puente Palo Verde, Mun Castañuelas, provincia Monte Cristi</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Castanuelas</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MOPC</w:t>
            </w:r>
          </w:p>
        </w:tc>
        <w:tc>
          <w:tcPr>
            <w:tcW w:type="dxa" w:w="12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No tiene</w:t>
            </w:r>
          </w:p>
        </w:tc>
      </w:tr>
      <w:tr>
        <w:tc>
          <w:tcPr>
            <w:tcW w:type="dxa" w:w="648"/>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9</w:t>
            </w:r>
          </w:p>
        </w:tc>
        <w:tc>
          <w:tcPr>
            <w:tcW w:type="dxa" w:w="446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Construcción del Puente de Guayubín- El Pocito, provincia Monte Cristi</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Castanuelas</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MOPC</w:t>
            </w:r>
          </w:p>
        </w:tc>
        <w:tc>
          <w:tcPr>
            <w:tcW w:type="dxa" w:w="12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No tiene</w:t>
            </w:r>
          </w:p>
        </w:tc>
      </w:tr>
      <w:tr>
        <w:tc>
          <w:tcPr>
            <w:tcW w:type="dxa" w:w="64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10</w:t>
            </w:r>
          </w:p>
        </w:tc>
        <w:tc>
          <w:tcPr>
            <w:tcW w:type="dxa" w:w="446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Reconstrucción del Puente de Castañuelas, provincia Monte Cristi</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Provincial / sin municipio</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MOPC</w:t>
            </w:r>
          </w:p>
        </w:tc>
        <w:tc>
          <w:tcPr>
            <w:tcW w:type="dxa" w:w="12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No tiene</w:t>
            </w:r>
          </w:p>
        </w:tc>
      </w:tr>
      <w:tr>
        <w:tc>
          <w:tcPr>
            <w:tcW w:type="dxa" w:w="648"/>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11</w:t>
            </w:r>
          </w:p>
        </w:tc>
        <w:tc>
          <w:tcPr>
            <w:tcW w:type="dxa" w:w="446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Construcción de centro INFOTEP, municipio  Monte Cristi, provincia Monte Cristi</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Las Matas De Santa Cruz</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INFOTEP</w:t>
            </w:r>
          </w:p>
        </w:tc>
        <w:tc>
          <w:tcPr>
            <w:tcW w:type="dxa" w:w="12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No tiene</w:t>
            </w:r>
          </w:p>
        </w:tc>
      </w:tr>
      <w:tr>
        <w:tc>
          <w:tcPr>
            <w:tcW w:type="dxa" w:w="64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12</w:t>
            </w:r>
          </w:p>
        </w:tc>
        <w:tc>
          <w:tcPr>
            <w:tcW w:type="dxa" w:w="446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Programa de transformación productiva de la agricultura de La Cruz de Manzanillo, provincia Monte Cristi</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Monte Cristi</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MA</w:t>
            </w:r>
          </w:p>
        </w:tc>
        <w:tc>
          <w:tcPr>
            <w:tcW w:type="dxa" w:w="12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(pendiente)</w:t>
            </w:r>
          </w:p>
        </w:tc>
      </w:tr>
      <w:tr>
        <w:tc>
          <w:tcPr>
            <w:tcW w:type="dxa" w:w="648"/>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13</w:t>
            </w:r>
          </w:p>
        </w:tc>
        <w:tc>
          <w:tcPr>
            <w:tcW w:type="dxa" w:w="446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Construcción de estación de Bomberos en el DM Cana Chapeton, municipio de Guayubín, provincia Monte Cristi</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Provincial / sin municipio</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CPADP</w:t>
            </w:r>
          </w:p>
        </w:tc>
        <w:tc>
          <w:tcPr>
            <w:tcW w:type="dxa" w:w="12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(pendiente)</w:t>
            </w:r>
          </w:p>
        </w:tc>
      </w:tr>
      <w:tr>
        <w:tc>
          <w:tcPr>
            <w:tcW w:type="dxa" w:w="64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14</w:t>
            </w:r>
          </w:p>
        </w:tc>
        <w:tc>
          <w:tcPr>
            <w:tcW w:type="dxa" w:w="446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Construcción del Puente de Santa María-Palo Blanco en el municipio de Pepillo Salcedo,  provincia Monte Cristi</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Provincial / sin municipio</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MOPC</w:t>
            </w:r>
          </w:p>
        </w:tc>
        <w:tc>
          <w:tcPr>
            <w:tcW w:type="dxa" w:w="12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No tiene</w:t>
            </w:r>
          </w:p>
        </w:tc>
      </w:tr>
    </w:tbl>
    <w:tbl>
      <w:tblPr>
        <w:tblW w:type="auto" w:w="0"/>
        <w:jc w:val="center"/>
        <w:tblLayout w:type="fixed"/>
        <w:tblLook w:firstColumn="1" w:firstRow="1" w:lastColumn="0" w:lastRow="0" w:noHBand="0" w:noVBand="1" w:val="04A0"/>
      </w:tblPr>
      <w:tblGrid>
        <w:gridCol w:w="9360"/>
      </w:tblGrid>
      <w:tr>
        <w:tc>
          <w:tcPr>
            <w:tcW w:type="dxa" w:w="9360"/>
            <w:tcMar>
              <w:top w:w="120" w:type="dxa"/>
              <w:start w:w="140" w:type="dxa"/>
              <w:bottom w:w="120" w:type="dxa"/>
              <w:end w:w="140" w:type="dxa"/>
            </w:tcMar>
            <w:shd w:fill="EEF5FA"/>
          </w:tcPr>
          <w:p>
            <w:pPr>
              <w:spacing w:after="60"/>
            </w:pPr>
            <w:r/>
            <w:r>
              <w:rPr>
                <w:rFonts w:ascii="Calibri" w:hAnsi="Calibri" w:eastAsia="Calibri"/>
                <w:b/>
                <w:color w:val="2E74B5"/>
                <w:sz w:val="21"/>
              </w:rPr>
              <w:t>Decisión pendiente</w:t>
            </w:r>
          </w:p>
          <w:p>
            <w:pPr>
              <w:spacing w:after="0"/>
            </w:pPr>
            <w:r>
              <w:rPr>
                <w:rFonts w:ascii="Calibri" w:hAnsi="Calibri" w:eastAsia="Calibri"/>
                <w:color w:val="203740"/>
                <w:sz w:val="19"/>
              </w:rPr>
              <w:t>Una demanda consolidada no equivale automáticamente a una acción del Plan Provincial. La incorporación debe quedar documentada mediante criterios de priorización, diagnóstico validado y ficha técnica.</w:t>
            </w:r>
          </w:p>
        </w:tc>
      </w:tr>
    </w:tbl>
    <w:p>
      <w:r>
        <w:br w:type="page"/>
      </w:r>
    </w:p>
    <w:p>
      <w:pPr>
        <w:pStyle w:val="Heading1"/>
      </w:pPr>
      <w:r>
        <w:t>Fuentes y trazabilidad</w:t>
      </w:r>
    </w:p>
    <w:tbl>
      <w:tblPr>
        <w:tblW w:type="auto" w:w="0"/>
        <w:jc w:val="center"/>
        <w:tblLayout w:type="fixed"/>
        <w:tblLook w:firstColumn="1" w:firstRow="1" w:lastColumn="0" w:lastRow="0" w:noHBand="0" w:noVBand="1" w:val="04A0"/>
      </w:tblPr>
      <w:tblGrid>
        <w:gridCol w:w="1872"/>
        <w:gridCol w:w="1872"/>
        <w:gridCol w:w="1872"/>
        <w:gridCol w:w="1872"/>
        <w:gridCol w:w="1872"/>
      </w:tblGrid>
      <w:tr>
        <w:trPr>
          <w:tblHeader w:val="true"/>
        </w:trPr>
        <w:tc>
          <w:tcPr>
            <w:tcW w:type="dxa" w:w="1080"/>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5"/>
              </w:rPr>
              <w:t>ID</w:t>
            </w:r>
          </w:p>
        </w:tc>
        <w:tc>
          <w:tcPr>
            <w:tcW w:type="dxa" w:w="3312"/>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5"/>
              </w:rPr>
              <w:t>Fuente</w:t>
            </w:r>
          </w:p>
        </w:tc>
        <w:tc>
          <w:tcPr>
            <w:tcW w:type="dxa" w:w="1080"/>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5"/>
              </w:rPr>
              <w:t>Año</w:t>
            </w:r>
          </w:p>
        </w:tc>
        <w:tc>
          <w:tcPr>
            <w:tcW w:type="dxa" w:w="2376"/>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5"/>
              </w:rPr>
              <w:t>Cobertura</w:t>
            </w:r>
          </w:p>
        </w:tc>
        <w:tc>
          <w:tcPr>
            <w:tcW w:type="dxa" w:w="1512"/>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5"/>
              </w:rPr>
              <w:t>Confianza / límite</w:t>
            </w:r>
          </w:p>
        </w:tc>
      </w:tr>
      <w:tr>
        <w:tc>
          <w:tcPr>
            <w:tcW w:type="dxa" w:w="1080"/>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ONE-2022</w:t>
            </w:r>
          </w:p>
        </w:tc>
        <w:tc>
          <w:tcPr>
            <w:tcW w:type="dxa" w:w="3312"/>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X Censo Nacional de Población y Vivienda</w:t>
            </w:r>
          </w:p>
        </w:tc>
        <w:tc>
          <w:tcPr>
            <w:tcW w:type="dxa" w:w="1080"/>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2022</w:t>
            </w:r>
          </w:p>
        </w:tc>
        <w:tc>
          <w:tcPr>
            <w:tcW w:type="dxa" w:w="2376"/>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Población, hogares, servicios y educación</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Alta</w:t>
            </w:r>
          </w:p>
        </w:tc>
      </w:tr>
      <w:tr>
        <w:tc>
          <w:tcPr>
            <w:tcW w:type="dxa" w:w="10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t>DASH-DIAG</w:t>
            </w:r>
          </w:p>
        </w:tc>
        <w:tc>
          <w:tcPr>
            <w:tcW w:type="dxa" w:w="33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t>Dashboard de Diagnóstico Territorial y datasets derivados</w:t>
            </w:r>
          </w:p>
        </w:tc>
        <w:tc>
          <w:tcPr>
            <w:tcW w:type="dxa" w:w="10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t>2022 / 2024</w:t>
            </w:r>
          </w:p>
        </w:tc>
        <w:tc>
          <w:tcPr>
            <w:tcW w:type="dxa" w:w="23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t>Comparaciones provincial/municipal, economía y equipamientos</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t>Alta / media según indicador</w:t>
            </w:r>
          </w:p>
        </w:tc>
      </w:tr>
      <w:tr>
        <w:tc>
          <w:tcPr>
            <w:tcW w:type="dxa" w:w="1080"/>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DASH-PROV</w:t>
            </w:r>
          </w:p>
        </w:tc>
        <w:tc>
          <w:tcPr>
            <w:tcW w:type="dxa" w:w="3312"/>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Dashboard Territorial</w:t>
            </w:r>
          </w:p>
        </w:tc>
        <w:tc>
          <w:tcPr>
            <w:tcW w:type="dxa" w:w="1080"/>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2001–2026</w:t>
            </w:r>
          </w:p>
        </w:tc>
        <w:tc>
          <w:tcPr>
            <w:tcW w:type="dxa" w:w="2376"/>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Seguridad, condiciones sociales, equipamientos, inversión, vías y permisos</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Según ficha de fuente</w:t>
            </w:r>
          </w:p>
        </w:tc>
      </w:tr>
      <w:tr>
        <w:tc>
          <w:tcPr>
            <w:tcW w:type="dxa" w:w="10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t>INV-2026</w:t>
            </w:r>
          </w:p>
        </w:tc>
        <w:tc>
          <w:tcPr>
            <w:tcW w:type="dxa" w:w="33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t>Inversión Pública Territorial</w:t>
            </w:r>
          </w:p>
        </w:tc>
        <w:tc>
          <w:tcPr>
            <w:tcW w:type="dxa" w:w="10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t>2026</w:t>
            </w:r>
          </w:p>
        </w:tc>
        <w:tc>
          <w:tcPr>
            <w:tcW w:type="dxa" w:w="23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t>72 proyectos, presupuesto y ejecución al 31-07-2026</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t>Corte administrativo</w:t>
            </w:r>
          </w:p>
        </w:tc>
      </w:tr>
      <w:tr>
        <w:tc>
          <w:tcPr>
            <w:tcW w:type="dxa" w:w="1080"/>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DEM-2026</w:t>
            </w:r>
          </w:p>
        </w:tc>
        <w:tc>
          <w:tcPr>
            <w:tcW w:type="dxa" w:w="3312"/>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Demandas Provinciales · consolidado 003</w:t>
            </w:r>
          </w:p>
        </w:tc>
        <w:tc>
          <w:tcPr>
            <w:tcW w:type="dxa" w:w="1080"/>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2026</w:t>
            </w:r>
          </w:p>
        </w:tc>
        <w:tc>
          <w:tcPr>
            <w:tcW w:type="dxa" w:w="2376"/>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14 demandas de Monte Cristi</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Registro del CDP</w:t>
            </w:r>
          </w:p>
        </w:tc>
      </w:tr>
      <w:tr>
        <w:tc>
          <w:tcPr>
            <w:tcW w:type="dxa" w:w="10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t>LEY-498</w:t>
            </w:r>
          </w:p>
        </w:tc>
        <w:tc>
          <w:tcPr>
            <w:tcW w:type="dxa" w:w="33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t>Ley núm. 498-06 de Planificación e Inversión Pública</w:t>
            </w:r>
          </w:p>
        </w:tc>
        <w:tc>
          <w:tcPr>
            <w:tcW w:type="dxa" w:w="10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t>2006</w:t>
            </w:r>
          </w:p>
        </w:tc>
        <w:tc>
          <w:tcPr>
            <w:tcW w:type="dxa" w:w="23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t>Arts. 14–15, 30 y 36–38</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t>Normativa oficial</w:t>
            </w:r>
          </w:p>
        </w:tc>
      </w:tr>
      <w:tr>
        <w:tc>
          <w:tcPr>
            <w:tcW w:type="dxa" w:w="1080"/>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DEC-493</w:t>
            </w:r>
          </w:p>
        </w:tc>
        <w:tc>
          <w:tcPr>
            <w:tcW w:type="dxa" w:w="3312"/>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Decreto núm. 493-07, Reglamento de Aplicación</w:t>
            </w:r>
          </w:p>
        </w:tc>
        <w:tc>
          <w:tcPr>
            <w:tcW w:type="dxa" w:w="1080"/>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2007</w:t>
            </w:r>
          </w:p>
        </w:tc>
        <w:tc>
          <w:tcPr>
            <w:tcW w:type="dxa" w:w="2376"/>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Arts. 4–15 y 57–61</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Normativa oficial</w:t>
            </w:r>
          </w:p>
        </w:tc>
      </w:tr>
    </w:tbl>
    <w:p>
      <w:pPr>
        <w:pStyle w:val="Heading2"/>
      </w:pPr>
      <w:r>
        <w:t>Enlaces de consulta</w:t>
      </w:r>
    </w:p>
    <w:p>
      <w:pPr>
        <w:pStyle w:val="ListBullet"/>
        <w:spacing w:after="60"/>
      </w:pPr>
      <w:r>
        <w:rPr>
          <w:rFonts w:ascii="Calibri" w:hAnsi="Calibri" w:eastAsia="Calibri"/>
          <w:color w:val="203740"/>
          <w:sz w:val="20"/>
        </w:rPr>
        <w:t xml:space="preserve">Dashboard Territorial: </w:t>
      </w:r>
      <w:hyperlink r:id="rId25">
        <w:r>
          <w:rPr>
            <w:rFonts w:ascii="Calibri" w:hAnsi="Calibri" w:eastAsia="Calibri"/>
            <w:color w:val="2E74B5"/>
            <w:u w:val="single"/>
            <w:sz w:val="20"/>
          </w:rPr>
          <w:t>Abrir fuente</w:t>
        </w:r>
      </w:hyperlink>
    </w:p>
    <w:p>
      <w:pPr>
        <w:pStyle w:val="ListBullet"/>
        <w:spacing w:after="60"/>
      </w:pPr>
      <w:r>
        <w:rPr>
          <w:rFonts w:ascii="Calibri" w:hAnsi="Calibri" w:eastAsia="Calibri"/>
          <w:color w:val="203740"/>
          <w:sz w:val="20"/>
        </w:rPr>
        <w:t xml:space="preserve">Inversión Pública Territorial: </w:t>
      </w:r>
      <w:hyperlink r:id="rId26">
        <w:r>
          <w:rPr>
            <w:rFonts w:ascii="Calibri" w:hAnsi="Calibri" w:eastAsia="Calibri"/>
            <w:color w:val="2E74B5"/>
            <w:u w:val="single"/>
            <w:sz w:val="20"/>
          </w:rPr>
          <w:t>Abrir fuente</w:t>
        </w:r>
      </w:hyperlink>
    </w:p>
    <w:p>
      <w:pPr>
        <w:pStyle w:val="ListBullet"/>
        <w:spacing w:after="60"/>
      </w:pPr>
      <w:r>
        <w:rPr>
          <w:rFonts w:ascii="Calibri" w:hAnsi="Calibri" w:eastAsia="Calibri"/>
          <w:color w:val="203740"/>
          <w:sz w:val="20"/>
        </w:rPr>
        <w:t xml:space="preserve">Demandas Provinciales: </w:t>
      </w:r>
      <w:hyperlink r:id="rId27">
        <w:r>
          <w:rPr>
            <w:rFonts w:ascii="Calibri" w:hAnsi="Calibri" w:eastAsia="Calibri"/>
            <w:color w:val="2E74B5"/>
            <w:u w:val="single"/>
            <w:sz w:val="20"/>
          </w:rPr>
          <w:t>Abrir fuente</w:t>
        </w:r>
      </w:hyperlink>
    </w:p>
    <w:p>
      <w:pPr>
        <w:pStyle w:val="ListBullet"/>
        <w:spacing w:after="60"/>
      </w:pPr>
      <w:r>
        <w:rPr>
          <w:rFonts w:ascii="Calibri" w:hAnsi="Calibri" w:eastAsia="Calibri"/>
          <w:color w:val="203740"/>
          <w:sz w:val="20"/>
        </w:rPr>
        <w:t xml:space="preserve">Planificación Municipal: </w:t>
      </w:r>
      <w:hyperlink r:id="rId28">
        <w:r>
          <w:rPr>
            <w:rFonts w:ascii="Calibri" w:hAnsi="Calibri" w:eastAsia="Calibri"/>
            <w:color w:val="2E74B5"/>
            <w:u w:val="single"/>
            <w:sz w:val="20"/>
          </w:rPr>
          <w:t>Abrir fuente</w:t>
        </w:r>
      </w:hyperlink>
    </w:p>
    <w:p>
      <w:pPr>
        <w:pStyle w:val="ListBullet"/>
        <w:spacing w:after="60"/>
      </w:pPr>
      <w:r>
        <w:rPr>
          <w:rFonts w:ascii="Calibri" w:hAnsi="Calibri" w:eastAsia="Calibri"/>
          <w:color w:val="203740"/>
          <w:sz w:val="20"/>
        </w:rPr>
        <w:t xml:space="preserve">Ley núm. 498-06: </w:t>
      </w:r>
      <w:hyperlink r:id="rId29">
        <w:r>
          <w:rPr>
            <w:rFonts w:ascii="Calibri" w:hAnsi="Calibri" w:eastAsia="Calibri"/>
            <w:color w:val="2E74B5"/>
            <w:u w:val="single"/>
            <w:sz w:val="20"/>
          </w:rPr>
          <w:t>Abrir fuente</w:t>
        </w:r>
      </w:hyperlink>
    </w:p>
    <w:p>
      <w:pPr>
        <w:pStyle w:val="ListBullet"/>
        <w:spacing w:after="60"/>
      </w:pPr>
      <w:r>
        <w:rPr>
          <w:rFonts w:ascii="Calibri" w:hAnsi="Calibri" w:eastAsia="Calibri"/>
          <w:color w:val="203740"/>
          <w:sz w:val="20"/>
        </w:rPr>
        <w:t xml:space="preserve">Decreto núm. 493-07: </w:t>
      </w:r>
      <w:hyperlink r:id="rId30">
        <w:r>
          <w:rPr>
            <w:rFonts w:ascii="Calibri" w:hAnsi="Calibri" w:eastAsia="Calibri"/>
            <w:color w:val="2E74B5"/>
            <w:u w:val="single"/>
            <w:sz w:val="20"/>
          </w:rPr>
          <w:t>Abrir fuente</w:t>
        </w:r>
      </w:hyperlink>
    </w:p>
    <w:tbl>
      <w:tblPr>
        <w:tblW w:type="auto" w:w="0"/>
        <w:jc w:val="center"/>
        <w:tblLayout w:type="fixed"/>
        <w:tblLook w:firstColumn="1" w:firstRow="1" w:lastColumn="0" w:lastRow="0" w:noHBand="0" w:noVBand="1" w:val="04A0"/>
      </w:tblPr>
      <w:tblGrid>
        <w:gridCol w:w="9360"/>
      </w:tblGrid>
      <w:tr>
        <w:tc>
          <w:tcPr>
            <w:tcW w:type="dxa" w:w="9360"/>
            <w:tcMar>
              <w:top w:w="120" w:type="dxa"/>
              <w:start w:w="140" w:type="dxa"/>
              <w:bottom w:w="120" w:type="dxa"/>
              <w:end w:w="140" w:type="dxa"/>
            </w:tcMar>
            <w:shd w:fill="EEF7F4"/>
          </w:tcPr>
          <w:p>
            <w:pPr>
              <w:spacing w:after="60"/>
            </w:pPr>
            <w:r/>
            <w:r>
              <w:rPr>
                <w:rFonts w:ascii="Calibri" w:hAnsi="Calibri" w:eastAsia="Calibri"/>
                <w:b/>
                <w:color w:val="13836D"/>
                <w:sz w:val="21"/>
              </w:rPr>
              <w:t>Control de versión</w:t>
            </w:r>
          </w:p>
          <w:p>
            <w:pPr>
              <w:spacing w:after="0"/>
            </w:pPr>
            <w:r>
              <w:rPr>
                <w:rFonts w:ascii="Calibri" w:hAnsi="Calibri" w:eastAsia="Calibri"/>
                <w:color w:val="203740"/>
                <w:sz w:val="19"/>
              </w:rPr>
              <w:t>Documento base elaborado con información disponible al 2 de agosto de 2026. Antes de una sesión formal, la comisión técnica deberá revisar cambios de fuente, períodos parciales y actualizaciones institucionales.</w:t>
            </w:r>
          </w:p>
        </w:tc>
      </w:tr>
    </w:tbl>
    <w:sectPr w:rsidR="00FC693F" w:rsidRPr="0006063C" w:rsidSect="00034616">
      <w:headerReference w:type="default" r:id="rId9"/>
      <w:footerReference w:type="default" r:id="rId10"/>
      <w:pgSz w:w="12240" w:h="15840"/>
      <w:pgMar w:top="1181" w:right="1440" w:bottom="1123" w:left="1440"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center"/>
    </w:pPr>
    <w:r>
      <w:rPr>
        <w:rFonts w:ascii="Calibri" w:hAnsi="Calibri" w:eastAsia="Calibri"/>
        <w:color w:val="65777E"/>
        <w:sz w:val="15"/>
      </w:rPr>
      <w:t xml:space="preserve">Monte Cristi · Documento base para formulación · </w:t>
    </w:r>
    <w: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tblLayout w:type="fixed"/>
      <w:tblLook w:firstColumn="1" w:firstRow="1" w:lastColumn="0" w:lastRow="0" w:noHBand="0" w:noVBand="1" w:val="04A0"/>
    </w:tblPr>
    <w:tblGrid>
      <w:gridCol w:w="4680"/>
      <w:gridCol w:w="4680"/>
    </w:tblGrid>
    <w:tr>
      <w:tc>
        <w:tcPr>
          <w:tcW w:type="dxa" w:w="4680"/>
          <w:tcMar>
            <w:top w:w="0" w:type="dxa"/>
            <w:start w:w="0" w:type="dxa"/>
            <w:bottom w:w="0" w:type="dxa"/>
            <w:end w:w="0" w:type="dxa"/>
          </w:tcMar>
        </w:tcPr>
        <w:p>
          <w:pPr>
            <w:spacing w:after="0"/>
          </w:pPr>
          <w:r>
            <w:rPr>
              <w:rFonts w:ascii="Calibri" w:hAnsi="Calibri" w:eastAsia="Calibri"/>
              <w:b/>
              <w:color w:val="13836D"/>
              <w:sz w:val="15"/>
            </w:rPr>
            <w:t>PLAN PROVINCIAL DE DESARROLLO · DOCUMENTO BASE</w:t>
          </w:r>
        </w:p>
      </w:tc>
      <w:tc>
        <w:tcPr>
          <w:tcW w:type="dxa" w:w="4680"/>
          <w:tcMar>
            <w:top w:w="0" w:type="dxa"/>
            <w:start w:w="0" w:type="dxa"/>
            <w:bottom w:w="0" w:type="dxa"/>
            <w:end w:w="0" w:type="dxa"/>
          </w:tcMar>
        </w:tcPr>
        <w:p>
          <w:pPr>
            <w:spacing w:after="0"/>
            <w:jc w:val="right"/>
          </w:pPr>
          <w:r>
            <w:rPr>
              <w:rFonts w:ascii="Calibri" w:hAnsi="Calibri" w:eastAsia="Calibri"/>
              <w:color w:val="65777E"/>
              <w:sz w:val="15"/>
            </w:rPr>
            <w:t>Monte Cristi · 04150000</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88" w:lineRule="auto"/>
      <w:jc w:val="both"/>
    </w:pPr>
    <w:rPr>
      <w:rFonts w:ascii="Calibri" w:hAnsi="Calibri" w:eastAsia="Calibri"/>
      <w:color w:val="20374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4D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90" w:lineRule="auto"/>
      <w:ind w:left="540" w:hanging="279"/>
      <w:contextualSpacing/>
    </w:pPr>
    <w:rPr>
      <w:rFonts w:ascii="Calibri" w:hAnsi="Calibri" w:eastAsia="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90" w:lineRule="auto"/>
      <w:ind w:left="540" w:hanging="279"/>
      <w:contextualSpacing/>
    </w:pPr>
    <w:rPr>
      <w:rFonts w:ascii="Calibri" w:hAnsi="Calibri" w:eastAsia="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Note">
    <w:name w:val="Source Note"/>
    <w:pPr>
      <w:spacing w:before="80" w:after="80" w:line="240" w:lineRule="auto"/>
    </w:pPr>
    <w:rPr>
      <w:rFonts w:ascii="Calibri" w:hAnsi="Calibri" w:eastAsia="Calibri"/>
      <w:color w:val="5E7076"/>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hyperlink" Target="https://prodecare.net/DDPT/Dashboard-Territorial/" TargetMode="External"/><Relationship Id="rId26" Type="http://schemas.openxmlformats.org/officeDocument/2006/relationships/hyperlink" Target="https://prodecare.net/DDPT/InversionPublicaTerritorial/" TargetMode="External"/><Relationship Id="rId27" Type="http://schemas.openxmlformats.org/officeDocument/2006/relationships/hyperlink" Target="https://prodecare.net/DDPT/DemandasProvinciales/" TargetMode="External"/><Relationship Id="rId28" Type="http://schemas.openxmlformats.org/officeDocument/2006/relationships/hyperlink" Target="https://prodecare.net/DDPT/PlanificacionMunicipal/" TargetMode="External"/><Relationship Id="rId29" Type="http://schemas.openxmlformats.org/officeDocument/2006/relationships/hyperlink" Target="https://mepyd.gob.do/wp-content/uploads/drive/DIGEDES/Monitoreo%20y%20Evaluaci%C3%B3n/Publicaciones/Normativa/Ley-498-06%20Planificaci%C3%B3n%20e%20Inversi%C3%B3n%20P%C3%BAblica.pdf" TargetMode="External"/><Relationship Id="rId30" Type="http://schemas.openxmlformats.org/officeDocument/2006/relationships/hyperlink" Target="https://mepyd.gob.do/wp-content/uploads/drive/DIGEDES/Monitoreo%20y%20Evaluaci%C3%B3n/Publicaciones/Normativa/Decreto-493-07%20Reglamento%20aplicaci%C3%B3n%20ley%20Planificaci%C3%B3n%20e%20Inversi%C3%B3n%20P%C3%BAblica.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Documento base para la formulación del Plan Provincial de Monte Cristi</dc:title>
  <dc:subject>Base técnica para deliberación del Consejo de Desarrollo Provincial</dc:subject>
  <dc:creator>DDPT · Documento base generado para revisión institucional</dc:creator>
  <cp:keywords>Monte Cristi; Plan Provincial; CDP; diagnóstico; inversión; demandas</cp:keywords>
  <dc:description>generated by python-docx</dc:description>
  <cp:lastModifiedBy/>
  <cp:revision>1</cp:revision>
  <dcterms:created xsi:type="dcterms:W3CDTF">2013-12-23T23:15:00Z</dcterms:created>
  <dcterms:modified xsi:type="dcterms:W3CDTF">2013-12-23T23:15:00Z</dcterms:modified>
  <cp:category/>
</cp:coreProperties>
</file>