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Peravia</w:t>
      </w:r>
    </w:p>
    <w:p>
      <w:pPr>
        <w:spacing w:after="520"/>
        <w:jc w:val="center"/>
      </w:pPr>
      <w:r>
        <w:rPr>
          <w:rFonts w:ascii="Calibri" w:hAnsi="Calibri" w:eastAsia="Calibri"/>
          <w:color w:val="65777E"/>
          <w:sz w:val="26"/>
        </w:rPr>
        <w:t>Región Valdesia</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05170000 · Base estadística 2022–2026</w:t>
      </w:r>
    </w:p>
    <w:p>
      <w:r>
        <w:br w:type="page"/>
      </w:r>
    </w:p>
    <w:p>
      <w:pPr>
        <w:pStyle w:val="Heading1"/>
      </w:pPr>
      <w:r>
        <w:t>Contenido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consolidadas y fuentes de trazabilidad</w:t>
            </w:r>
          </w:p>
        </w:tc>
      </w:tr>
    </w:tbl>
    <w:p>
      <w:pPr>
        <w:pStyle w:val="Heading1"/>
      </w:pPr>
      <w:r>
        <w:t>Síntesis ejecutiva</w:t>
      </w:r>
    </w:p>
    <w:p>
      <w:pPr>
        <w:jc w:val="both"/>
      </w:pPr>
      <w:r>
        <w:rPr>
          <w:rFonts w:ascii="Calibri" w:hAnsi="Calibri" w:eastAsia="Calibri"/>
          <w:color w:val="203740"/>
          <w:sz w:val="21"/>
        </w:rPr>
        <w:t>Peravia registró 209,372 habitantes en el Censo 2022, distribuidos en 3 municipios: Baní, Matanzas y Nizao.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(12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Peravia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Valdesia</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17</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209,372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Baní, Matanzas y Nizao</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70,097</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136,684 / 72,688</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Peravia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Baní concentra 75.5% de la población provincial; los otros 2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58.4% de hogares con agua del acueducto dentro de la vivienda, 87.6% con inodoro y 90.1%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7.4% de hacinamiento extremo y 15.8% moderado; 11 centros INAIPI y 63.0% de asistencia registrada; 12,560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11.5 por 100 mil en 2024. La tasa de muertes de tránsito fue 25.8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89.2% de promoción, 5.7% de abandono y 5.1% de reprobación en secundaria. El DEE registra 1,152 establecimientos y empleo estimado de 13,282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60 proyectos, RD$3.75 mil millones de presupuesto y 44.9% de ejecución registrada. El consolidado del CDP incluye 12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78 instalaciones deportivas; 9 de propiedad municipal; 43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80.7% y 100.0% en 2018–2025; 60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12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58.4% con acueducto dentro; 87.6%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90.1% declara recogida municipal y 6.2%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25.8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23.2% de hogares con hacinamiento extremo o moderado; 12,560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auto" w:w="0"/>
        <w:jc w:val="center"/>
        <w:tblLayout w:type="fixed"/>
        <w:tblLook w:firstColumn="1" w:firstRow="1" w:lastColumn="0" w:lastRow="0" w:noHBand="0" w:noVBand="1" w:val="04A0"/>
      </w:tblPr>
      <w:tblGrid>
        <w:gridCol w:w="4680"/>
        <w:gridCol w:w="4680"/>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12 demandas de Peravia priorizadas en 2026. Se incluyen como evidencia de participación y como insumo para contrastar con el diagnóstico. El CDP deberá revisar vigencia, alcance, duplicidades, institución responsable, código SNIP, madurez técnica y financiamiento.</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Elaboración de Plan de movilidad sostenible, en el municipio de Baní, provincia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Bani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INTRANT</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Hospital de segundo nivel zona norte del municipio de Baní, provincia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Bani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Casa de la Cultura en el municipio de Nizao, provincia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Nizao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Ciudad educativa del municipio de Matanzas, provincia de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Matanzas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Casa de la cultura en Baní, provincia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Bani</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MINC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servicios gubernamentales para albergar entidades públicas y privadas, en el DM Paya, en el municipio Baní, provincia de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Centro logístico multimodal en DM las Calderas, del municipio Baní, provincia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APORDOM</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centro de acopio de productos agrícolas altamente perecedero "Merca peravia",provincia de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Bani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MA</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proyectos habitacionales Vivienda feliz en la provincia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puente peatonal cruce de Pizarrete, en el municipio de Santana, provincia de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Canalización del río Nizao a la altura de Las Barias, Pizarrete, Santana, Nizao, hasta la desembocadura del río, en la provincia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Canalización de la cañada de Brisa de Guazuma,municipio de Baní, provincia Peravia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Bani</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r>
        <w:br w:type="page"/>
      </w:r>
    </w:p>
    <w:p>
      <w:pPr>
        <w:pStyle w:val="Heading1"/>
      </w:pPr>
      <w:r>
        <w:t>Fuentes y trazabilidad</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Comparaciones provincial/municipal,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60 proyectos, presupuesto y ejecución al 31-07-2026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12 demandas de Peravia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25">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2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2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2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2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30">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9"/>
      <w:footerReference w:type="default" r:id="rId10"/>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Peravia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Peravia · 05170000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prodecare.net/DDPT/Dashboard-Territorial/" TargetMode="External"/><Relationship Id="rId26" Type="http://schemas.openxmlformats.org/officeDocument/2006/relationships/hyperlink" Target="https://prodecare.net/DDPT/InversionPublicaTerritorial/" TargetMode="External"/><Relationship Id="rId27" Type="http://schemas.openxmlformats.org/officeDocument/2006/relationships/hyperlink" Target="https://prodecare.net/DDPT/DemandasProvinciales/" TargetMode="External"/><Relationship Id="rId28" Type="http://schemas.openxmlformats.org/officeDocument/2006/relationships/hyperlink" Target="https://prodecare.net/DDPT/PlanificacionMunicipal/" TargetMode="External"/><Relationship Id="rId29" Type="http://schemas.openxmlformats.org/officeDocument/2006/relationships/hyperlink" Target="https://mepyd.gob.do/wp-content/uploads/drive/DIGEDES/Monitoreo%20y%20Evaluaci%C3%B3n/Publicaciones/Normativa/Ley-498-06%20Planificaci%C3%B3n%20e%20Inversi%C3%B3n%20P%C3%BAblica.pdf" TargetMode="External"/><Relationship Id="rId30"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Peravia</dc:title>
  <dc:subject>Base técnica para deliberación del Consejo de Desarrollo Provincial</dc:subject>
  <dc:creator>DDPT · Documento base generado para revisión institucional</dc:creator>
  <cp:keywords>Peravia;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