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Sabana Iglesia</w:t>
      </w:r>
    </w:p>
    <w:p>
      <w:pPr>
        <w:spacing w:after="600"/>
        <w:jc w:val="center"/>
      </w:pPr>
      <w:r>
        <w:rPr>
          <w:rFonts w:ascii="Calibri" w:hAnsi="Calibri" w:eastAsia="Calibri"/>
          <w:b w:val="0"/>
          <w:i w:val="0"/>
          <w:color w:val="5E7076"/>
          <w:sz w:val="24"/>
        </w:rPr>
        <w:t>Santiago · Región Cibao Norte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Sabana Iglesia / Santiago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01250009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Sabana Iglesia forma parte de la provincia Santiago y se integra en la región de planificación Cibao Norte. El código geográfico utilizado en este borrador es 01250009.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Sabana Iglesia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01250009</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59.0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237.7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Era una sección rural del municipio de Santiago de los Caballeros y fue convertida en distrito municipal en noviembre de 1987. El 18 de mayo del año 2007 este distrito municipal fue elevado a la categoría de municipio​ mediante la Ley n.º 58-07; sin embargo, su ejecución entró en vigencia a partir del 16 de mayo de 2010.​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Sabana Iglesia registró 14,018 habitantes: 7,320 hombres (52.2%) y 6,698 mujeres (47.8%). Frente a los 13,348 habitantes censados en 2010, la población creció 5.0%. El cambio intercensal constituye la línea base para dimensionar servicios, infraestructura y demanda de suelo; no permite atribuir por sí solo causas de migración, fecundidad o movilidad residencial. [DASH-BASE]</w:t>
      </w:r>
    </w:p>
    <w:p>
      <w:r>
        <w:t>La distribución territorial muestra 4,933 habitantes en zona urbana (35.2%) y 9,085 en zona rural (64.8%). Esta relación debe considerarse al organizar rutas de servicios, mantenimiento vial, equipamientos y mecanismos de atención a comunidades dispersas. [DASH-URB]</w:t>
      </w:r>
    </w:p>
    <w:p>
      <w:r>
        <w:t>El municipio cuenta con 5,222 hogares y 13,972 personas residentes en hogares. El promedio es de 2.68 personas por hogar. El Censo registra 6,824 viviendas, de las cuales 5,165 estaban ocupadas y 1,645 desocupadas. [DASH-HOG] [DASH-BASE]</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Sabana Iglesia</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2011-2016</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Sabana Iglesia.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Sabana Iglesia se distribuye aproximadamente en 20.6% de población menor de 15 años, 65.7% entre 15 y 64 años y 13.7% de 65 años o más. La relación de dependencia demográfica estimada es de 52.2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35.2% y el tamaño medio de los hogares es 2.68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77.8% de los hogares declara recibir agua del acueducto dentro de la vivienda, frente a 62.7% a escala nacional. Para agua de beber, el uso de botellones representa 90.9%. La comparación sugiere una condición de acceso físico y un patrón de consumo, pero no informa continuidad, presión, potabilidad ni costo. Esos cuatro aspectos deben verificarse antes de formular intervenciones. [DASH-VIDA]</w:t>
      </w:r>
    </w:p>
    <w:p>
      <w:r>
        <w:t>En saneamiento, 84.1% de los hogares reporta inodoro y 3.2%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99.1% de los hogares. La recogida de residuos por el ayuntamiento alcanza 83.2%, mientras 10.9% declara quemarlos. El gas propano es el combustible principal de cocina en 91.5%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No disponible centros y 0 matrículas agregadas. De ellas, No disponible corresponden a inicial/primario, No disponible a secundario y No disponible a educación de adultos. La cobertura corresponde a la asociación territorial usada por el Dashboard y debe verificarse cuando el distrito educativo abarque más de un municipio. [DASH-EDU]</w:t>
      </w:r>
    </w:p>
    <w:p>
      <w:r>
        <w:t>Entre la población de referencia de tres años o más, 12.0% aparece sin nivel de instrucción y 35.8%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94.1% en primaria y 89.5% en secundaria; el abandono reportado en secundaria es 4.4%.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42 establecimientos y un empleo estimado de 405.3, equivalente a 9.7 empleos por establecimiento. Los establecimientos de 1 a 10 personas representan 73.8%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(198.3 empleos estimados); Administración pública y defensa; planes de seguridad social de afiliación obligatoria (112.1 empleos estimados); Actividades de atención de la salud humana y de asistencia social (27.8 empleos estimados). La mayor especialización relativa se observa en Actividades de los hogares como empleadores; actividades no diferenciadas de los hogares como productores de bienes y servicios para uso propio (cociente de localización 18.60). El cociente de localización compara concentración relativa, no productividad ni competitividad. [DASH-ECO]</w:t>
      </w:r>
    </w:p>
    <w:p>
      <w:pPr>
        <w:pStyle w:val="Heading2"/>
      </w:pPr>
      <w:r>
        <w:t>2.5 Salud, conectividad y acceso a información</w:t>
      </w:r>
    </w:p>
    <w:p>
      <w:r>
        <w:t>El Dashboard registra 1 establecimientos de salud en el municipio. La composición principal es: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79.9% y el de computadora 7.3%.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5.0%; urbanización de 35.2%.</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77.8%; hogares sin sanitario: 3.2%.</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83.2%; quema: 10.9%.</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73.8%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79.9%; computadora: 7.3%.</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77.8% (país: 62.7%).</w:t>
              <w:br/>
              <w:t>• Uso de internet: 79.9% (país: 79.0%).</w:t>
              <w:br/>
              <w:t>• Base económica formal observable: 42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83.2% (país: 85.9%).</w:t>
              <w:br/>
              <w:t>• Abandono secundario del distrito asociado: 4.4%.</w:t>
              <w:br/>
              <w:t>• Variación intercensal de 5.0%; urbanización de 35.2%.</w:t>
              <w:br/>
              <w:t>• Agua de acueducto dentro: 77.8%; hogares sin sanitario: 3.2%.</w:t>
              <w:br/>
              <w:t>• Recogida municipal declarada: 83.2%; quema: 10.9%.</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Sabana Iglesia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Sabana Iglesia 2011-2016</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2011-2016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106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Sabana Iglesia, Santiago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Sabana Iglesia · 01250009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Sabana Iglesia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