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Villa Riva</w:t>
      </w:r>
    </w:p>
    <w:p>
      <w:pPr>
        <w:spacing w:after="600"/>
        <w:jc w:val="center"/>
      </w:pPr>
      <w:r>
        <w:rPr>
          <w:rFonts w:ascii="Calibri" w:hAnsi="Calibri" w:eastAsia="Calibri"/>
          <w:b w:val="0"/>
          <w:i w:val="0"/>
          <w:color w:val="5E7076"/>
          <w:sz w:val="24"/>
        </w:rPr>
        <w:t>Duarte · Región Cibao Nordeste</w:t>
      </w:r>
    </w:p>
    <w:p>
      <w:pPr>
        <w:spacing w:after="1100"/>
        <w:jc w:val="center"/>
      </w:pPr>
      <w:r>
        <w:rPr>
          <w:rFonts w:ascii="Calibri" w:hAnsi="Calibri" w:eastAsia="Calibri"/>
          <w:b/>
          <w:i w:val="0"/>
          <w:color w:val="2F6CC6"/>
          <w:sz w:val="26"/>
        </w:rPr>
        <w:t>BORRADOR TÉCNICO 2025-2028</w:t>
      </w:r>
    </w:p>
    <w:p>
      <w:pPr>
        <w:jc w:val="center"/>
      </w:pPr>
      <w:r>
        <w:rPr>
          <w:rFonts w:ascii="Calibri" w:hAnsi="Calibri" w:eastAsia="Calibri"/>
          <w:b w:val="0"/>
          <w:i/>
          <w:color w:val="5E7076"/>
          <w:sz w:val="20"/>
        </w:rPr>
        <w:t>Información General y Diagnóstico precompletados para revisión final</w:t>
        <w:br/>
        <w:t>FODA, Visión y Proyectos sujetos a validación de OMPP y CDM</w:t>
      </w:r>
    </w:p>
    <w:p>
      <w:pPr>
        <w:spacing w:before="440"/>
        <w:jc w:val="center"/>
      </w:pPr>
      <w:r>
        <w:rPr>
          <w:rFonts w:ascii="Calibri" w:hAnsi="Calibri" w:eastAsia="Calibri"/>
          <w:b w:val="0"/>
          <w:i w:val="0"/>
          <w:color w:val="5E7076"/>
          <w:sz w:val="18"/>
        </w:rPr>
        <w:t>Versión técnica · 28-07-2026</w:t>
      </w:r>
    </w:p>
    <w:p>
      <w:r>
        <w:br w:type="page"/>
      </w:r>
    </w:p>
    <w:p>
      <w:pPr>
        <w:pStyle w:val="Heading1"/>
      </w:pPr>
      <w:r>
        <w:t>Estado y alcance del borrador</w:t>
      </w: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Qué está listo para revisión final</w:t>
            </w:r>
          </w:p>
          <w:p>
            <w:pPr>
              <w:spacing w:after="0"/>
            </w:pPr>
            <w:r>
              <w:rPr>
                <w:rFonts w:ascii="Calibri" w:hAnsi="Calibri" w:eastAsia="Calibri"/>
                <w:b w:val="0"/>
                <w:i w:val="0"/>
                <w:color w:val="203740"/>
                <w:sz w:val="19"/>
              </w:rPr>
              <w:t>La identificación territorial, la reseña histórica disponible, la línea base demográfica y el diagnóstico de servicios, educación, economía, salud y conectividad se presentan ya redactados. La OMPP debe comprobar cifras, nombres, alcance territorial y cualquier actualización posterior al año de cada fuente.</w:t>
            </w:r>
          </w:p>
        </w:tc>
      </w:tr>
    </w:tbl>
    <w:p>
      <w:pPr>
        <w:spacing w:after="0"/>
      </w:pP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Qué no se considera aprobado</w:t>
            </w:r>
          </w:p>
          <w:p>
            <w:pPr>
              <w:spacing w:after="0"/>
            </w:pPr>
            <w:r>
              <w:rPr>
                <w:rFonts w:ascii="Calibri" w:hAnsi="Calibri" w:eastAsia="Calibri"/>
                <w:b w:val="0"/>
                <w:i w:val="0"/>
                <w:color w:val="203740"/>
                <w:sz w:val="19"/>
              </w:rPr>
              <w:t>El documento no acredita consulta ciudadana, reuniones, acuerdos del CDM, aprobación del Concejo de Regidores, presupuestos, beneficiarios ni compromisos institucionales. FODA, visión y cartera de proyectos son propuestas para discusión y deben modificarse o eliminarse si no son ratificadas.</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Borrador técnico no aprobado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 provincia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Villa Riva / Duarte</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Cibao Nordeste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2025-2028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03060005</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Dashboard</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Disponible</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Revisión mínima</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OMPP: datos y redacción · CDM: prioridades y estrategia</w:t>
            </w:r>
          </w:p>
        </w:tc>
      </w:tr>
    </w:tbl>
    <w:p>
      <w:pPr>
        <w:spacing w:after="0"/>
      </w:pPr>
    </w:p>
    <w:p>
      <w:pPr>
        <w:pStyle w:val="Heading2"/>
      </w:pPr>
      <w:r>
        <w:t>Contenido</w:t>
      </w:r>
    </w:p>
    <w:p>
      <w:pPr>
        <w:pStyle w:val="ListNumber"/>
      </w:pPr>
      <w:r>
        <w:t>1. Información general: territorio, historia, demografía y antecedentes de planificación.</w:t>
      </w:r>
    </w:p>
    <w:p>
      <w:pPr>
        <w:pStyle w:val="ListNumber"/>
      </w:pPr>
      <w:r>
        <w:t>2. Diagnóstico municipal: cinco láminas del Dashboard y análisis narrativo.</w:t>
      </w:r>
    </w:p>
    <w:p>
      <w:pPr>
        <w:pStyle w:val="ListNumber"/>
      </w:pPr>
      <w:r>
        <w:t>3. Síntesis diagnóstica y FODA preliminar.</w:t>
      </w:r>
    </w:p>
    <w:p>
      <w:pPr>
        <w:pStyle w:val="ListNumber"/>
      </w:pPr>
      <w:r>
        <w:t>4. Marco estratégico y proyectos para validación.</w:t>
      </w:r>
    </w:p>
    <w:p>
      <w:pPr>
        <w:pStyle w:val="ListNumber"/>
      </w:pPr>
      <w:r>
        <w:t>5. Protocolo de revisión, fuentes y trazabilidad.</w:t>
      </w:r>
    </w:p>
    <w:p>
      <w:r>
        <w:br w:type="page"/>
      </w:r>
    </w:p>
    <w:p>
      <w:pPr>
        <w:pStyle w:val="Heading1"/>
      </w:pPr>
      <w:r>
        <w:t>1. Información general</w:t>
      </w:r>
    </w:p>
    <w:p>
      <w:r>
        <w:t>Villa Riva forma parte de la provincia Duarte y se integra en la región de planificación Cibao Nordeste. El código geográfico utilizado en este borrador es 03060005. Esta identificación territorial sirve como clave de enlace entre el Portal de Planificación Municipal, el Dashboard de Diagnóstico Territorial y los documentos de planificación archivados.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Villa Riva</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Duarte</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Cibao Nordeste</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03060005</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DIGEPRES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322.8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111.7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pPr>
        <w:pStyle w:val="Heading2"/>
      </w:pPr>
      <w:r>
        <w:t>1.1 Origen y formación del municipio</w:t>
      </w:r>
    </w:p>
    <w:p>
      <w:r>
        <w:t>Como referencia secundaria, la ficha municipal de Wikipedia resume la identidad y evolución histórica local de la siguiente manera: Su nombre honra a Gregorio Riva quien promovió la construcción del ferrocarril, ya desaparecido, Sánchez-La Vega.​ [WIKI-01].</w:t>
      </w: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Revisión final requerida</w:t>
            </w:r>
          </w:p>
          <w:p>
            <w:pPr>
              <w:spacing w:after="0"/>
            </w:pPr>
            <w:r>
              <w:rPr>
                <w:rFonts w:ascii="Calibri" w:hAnsi="Calibri" w:eastAsia="Calibri"/>
                <w:b w:val="0"/>
                <w:i w:val="0"/>
                <w:color w:val="203740"/>
                <w:sz w:val="19"/>
              </w:rPr>
              <w:t>Confirmar nombres propios, fechas, cambios de categoría territorial y norma de creación. Wikipedia se usa solo como fuente secundaria; cuando existe PMD anterior, sus páginas se indican expresamente.</w:t>
            </w:r>
          </w:p>
        </w:tc>
      </w:tr>
    </w:tbl>
    <w:p>
      <w:pPr>
        <w:spacing w:after="0"/>
      </w:pPr>
    </w:p>
    <w:p>
      <w:pPr>
        <w:pStyle w:val="Heading2"/>
      </w:pPr>
      <w:r>
        <w:t>1.2 Perfil demográfico y del poblamiento</w:t>
      </w:r>
    </w:p>
    <w:p>
      <w:r>
        <w:t>En 2022, Villa Riva registró 36,066 habitantes: 18,683 hombres (51.8%) y 17,383 mujeres (48.2%). Frente a los 33,663 habitantes censados en 2010, la población creció 7.1%. El cambio intercensal constituye la línea base para dimensionar servicios, infraestructura y demanda de suelo; no permite atribuir por sí solo causas de migración, fecundidad o movilidad residencial. [DASH-BASE]</w:t>
      </w:r>
    </w:p>
    <w:p>
      <w:r>
        <w:t>La distribución territorial muestra 17,423 habitantes en zona urbana (48.3%) y 18,643 en zona rural (51.7%). Esta relación debe considerarse al organizar rutas de servicios, mantenimiento vial, equipamientos y mecanismos de atención a comunidades dispersas. [DASH-URB]</w:t>
      </w:r>
    </w:p>
    <w:p>
      <w:r>
        <w:t>El municipio cuenta con 12,685 hogares y 35,999 personas residentes en hogares. El promedio es de 2.84 personas por hogar. El Censo registra 15,435 viviendas, de las cuales 12,538 estaban ocupadas y 2,878 desocupadas. [DASH-HOG] [DASH-BASE]</w:t>
      </w:r>
    </w:p>
    <w:p>
      <w:pPr>
        <w:pStyle w:val="Heading2"/>
      </w:pPr>
      <w:r>
        <w:t>1.3 Antecedentes de planificación</w:t>
      </w:r>
    </w:p>
    <w:p>
      <w:r>
        <w:t>No se localizó un PMD anterior en el inventario descargado. Esta ausencia en el repositorio no demuestra que el documento no exista; la OMPP debe verificar archivo institucional, portal de transparencia y documentación del Concejo de Regidores.</w:t>
      </w:r>
    </w:p>
    <w:p>
      <w:pPr>
        <w:pStyle w:val="Heading1"/>
      </w:pPr>
      <w:r>
        <w:t>2. Diagnóstico municipal</w:t>
      </w:r>
    </w:p>
    <w:p>
      <w:r>
        <w:t>Las cinco láminas siguientes reproducen en Word la lógica de impresión del Dashboard de Diagnóstico Territorial. Presentan la línea base estadística antes de su interpretación narrativa. Los datos corresponden al territorio seleccionado y conservan el año y la fuente; una ausencia se muestra como «No disponible» y no se sustituye por estimaciones.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Lámina</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estructura por edad,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Escala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alumbrado, combustible y residuos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declaradas por hogares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Oferta, nivel de instrucción, infraestructura y eficiencia educativa</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Capacidades y alertas educativas</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empleo, tamaño empresarial y sectores CIIU</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Estructura económica formal observada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de salud y comparación nacional</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Presencia física y brechas relativas</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135215"/>
            <wp:docPr id="1" name="Picture 1"/>
            <wp:cNvGraphicFramePr>
              <a:graphicFrameLocks noChangeAspect="1"/>
            </wp:cNvGraphicFramePr>
            <a:graphic>
              <a:graphicData uri="http://schemas.openxmlformats.org/drawingml/2006/picture">
                <pic:pic>
                  <pic:nvPicPr>
                    <pic:cNvPr id="0" name="diagnostico-1.png"/>
                    <pic:cNvPicPr/>
                  </pic:nvPicPr>
                  <pic:blipFill>
                    <a:blip r:embed="rId11"/>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2" name="Picture 2"/>
            <wp:cNvGraphicFramePr>
              <a:graphicFrameLocks noChangeAspect="1"/>
            </wp:cNvGraphicFramePr>
            <a:graphic>
              <a:graphicData uri="http://schemas.openxmlformats.org/drawingml/2006/picture">
                <pic:pic>
                  <pic:nvPicPr>
                    <pic:cNvPr id="0" name="diagnostico-2.png"/>
                    <pic:cNvPicPr/>
                  </pic:nvPicPr>
                  <pic:blipFill>
                    <a:blip r:embed="rId12"/>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3" name="Picture 3"/>
            <wp:cNvGraphicFramePr>
              <a:graphicFrameLocks noChangeAspect="1"/>
            </wp:cNvGraphicFramePr>
            <a:graphic>
              <a:graphicData uri="http://schemas.openxmlformats.org/drawingml/2006/picture">
                <pic:pic>
                  <pic:nvPicPr>
                    <pic:cNvPr id="0" name="diagnostico-3.png"/>
                    <pic:cNvPicPr/>
                  </pic:nvPicPr>
                  <pic:blipFill>
                    <a:blip r:embed="rId13"/>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4" name="Picture 4"/>
            <wp:cNvGraphicFramePr>
              <a:graphicFrameLocks noChangeAspect="1"/>
            </wp:cNvGraphicFramePr>
            <a:graphic>
              <a:graphicData uri="http://schemas.openxmlformats.org/drawingml/2006/picture">
                <pic:pic>
                  <pic:nvPicPr>
                    <pic:cNvPr id="0" name="diagnostico-4.png"/>
                    <pic:cNvPicPr/>
                  </pic:nvPicPr>
                  <pic:blipFill>
                    <a:blip r:embed="rId14"/>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5" name="Picture 5"/>
            <wp:cNvGraphicFramePr>
              <a:graphicFrameLocks noChangeAspect="1"/>
            </wp:cNvGraphicFramePr>
            <a:graphic>
              <a:graphicData uri="http://schemas.openxmlformats.org/drawingml/2006/picture">
                <pic:pic>
                  <pic:nvPicPr>
                    <pic:cNvPr id="0" name="diagnostico-5.png"/>
                    <pic:cNvPicPr/>
                  </pic:nvPicPr>
                  <pic:blipFill>
                    <a:blip r:embed="rId15"/>
                    <a:stretch>
                      <a:fillRect/>
                    </a:stretch>
                  </pic:blipFill>
                  <pic:spPr>
                    <a:xfrm>
                      <a:off x="0" y="0"/>
                      <a:ext cx="5943600" cy="7135215"/>
                    </a:xfrm>
                    <a:prstGeom prst="rect"/>
                  </pic:spPr>
                </pic:pic>
              </a:graphicData>
            </a:graphic>
          </wp:inline>
        </w:drawing>
      </w:r>
    </w:p>
    <w:p>
      <w:pPr>
        <w:pStyle w:val="SourceNote"/>
      </w:pPr>
      <w:r>
        <w:rPr>
          <w:rFonts w:ascii="Calibri" w:hAnsi="Calibri" w:eastAsia="Calibri"/>
          <w:b w:val="0"/>
          <w:i w:val="0"/>
          <w:color w:val="5E7076"/>
          <w:sz w:val="17"/>
        </w:rPr>
        <w:t>Fuente: Dashboard de Diagnóstico Territorial, ficha de Villa Riva. Láminas generadas el 2026-07-28.</w:t>
      </w:r>
    </w:p>
    <w:p>
      <w:r>
        <w:br w:type="page"/>
      </w:r>
    </w:p>
    <w:p>
      <w:pPr>
        <w:pStyle w:val="Heading1"/>
      </w:pPr>
      <w:r>
        <w:t>Lectura narrativa del diagnóstico</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Villa Riva se distribuye aproximadamente en 24.7% de población menor de 15 años, 63.7% entre 15 y 64 años y 11.6% de 65 años o más. La relación de dependencia demográfica estimada es de 57.1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48.3% y el tamaño medio de los hogares es 2.84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17.5% de los hogares declara recibir agua del acueducto dentro de la vivienda, frente a 62.7% a escala nacional. Para agua de beber, el uso de botellones representa 84.8%. La comparación sugiere una condición de acceso físico y un patrón de consumo, pero no informa continuidad, presión, potabilidad ni costo. Esos cuatro aspectos deben verificarse antes de formular intervenciones. [DASH-VIDA]</w:t>
      </w:r>
    </w:p>
    <w:p>
      <w:r>
        <w:t>En saneamiento, 68.6% de los hogares reporta inodoro y 4.6%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98.4% de los hogares. La recogida de residuos por el ayuntamiento alcanza 78.5%, mientras 16.5% declara quemarlos. El gas propano es el combustible principal de cocina en 89.2%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46 centros y 6,983 matrículas agregadas. De ellas, 3,561 corresponden a inicial/primario, 3,108 a secundario y 314 a educación de adultos. La cobertura corresponde a la asociación territorial usada por el Dashboard y debe verificarse cuando el distrito educativo abarque más de un municipio. [DASH-EDU]</w:t>
      </w:r>
    </w:p>
    <w:p>
      <w:r>
        <w:t>Entre la población de referencia de tres años o más, 11.5% aparece sin nivel de instrucción y 37.6%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93.5% en primaria y 84.8% en secundaria; el abandono reportado en secundaria es 6.7%.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94 establecimientos y un empleo estimado de 1,176.1, equivalente a 12.5 empleos por establecimiento. Los establecimientos de 1 a 10 personas representan 79.8% del total. Esto caracteriza la estructura formal observada por el DEE; no incluye necesariamente toda la economía informal, el autoempleo ni la producción agropecuaria familiar. [DASH-ECO]</w:t>
      </w:r>
    </w:p>
    <w:p>
      <w:r>
        <w:t>Las actividades con mayor empleo estimado en la fuente son Administración pública y defensa; planes de seguridad social de afiliación obligatoria (471.8 empleos estimados); Comercio al por mayor y al por menor; reparación de vehículos automotores y motocicletas (415.2 empleos estimados); Actividades artísticas, de entretenimiento y recreativas (75.0 empleos estimados). La mayor especialización relativa se observa en Actividades artísticas, de entretenimiento y recreativas (cociente de localización 2.84). El cociente de localización compara concentración relativa, no productividad ni competitividad. [DASH-ECO]</w:t>
      </w:r>
    </w:p>
    <w:p>
      <w:pPr>
        <w:pStyle w:val="Heading2"/>
      </w:pPr>
      <w:r>
        <w:t>2.5 Salud, conectividad y acceso a información</w:t>
      </w:r>
    </w:p>
    <w:p>
      <w:r>
        <w:t>El Dashboard registra 10 establecimientos de salud en el municipio. La composición principal es: Centro De Primer Nivel: 9, Hospital Mediana Complejidad: 1. Este conteo informa presencia física, no cartera de servicios, personal, horario, capacidad, calidad ni accesibilidad efectiva. La planificación municipal debe validar esos elementos con el Servicio Nacional de Salud. [DASH-SALUD]</w:t>
      </w:r>
    </w:p>
    <w:p>
      <w:r>
        <w:t>El uso de internet alcanza 67.7% y el de computadora 9.1%.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r>
        <w:br w:type="page"/>
      </w:r>
    </w:p>
    <w:p>
      <w:pPr>
        <w:pStyle w:val="Heading1"/>
      </w:pPr>
      <w:r>
        <w:t>3. Síntesis diagnóstica</w:t>
      </w:r>
    </w:p>
    <w:p>
      <w:r>
        <w:t>La síntesis organiza las principales señales cuantitativas para facilitar la revisión técnica. No constituye una priorización ciudadana ni sustituye la validación territorial.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700"/>
        <w:gridCol w:w="3000"/>
        <w:gridCol w:w="3100"/>
        <w:gridCol w:w="1560"/>
      </w:tblGrid>
      <w:tr>
        <w:trPr>
          <w:tblHeader w:val="true"/>
        </w:trPr>
        <w:tc>
          <w:tcPr>
            <w:tcW w:type="dxa" w:w="1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Hallazgo verificable</w:t>
            </w:r>
          </w:p>
        </w:tc>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Implicación para revisar</w:t>
            </w:r>
          </w:p>
        </w:tc>
        <w:tc>
          <w:tcPr>
            <w:tcW w:type="dxa" w:w="15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7.1%; urbanización de 48.3%.</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Ajustar capacidad y distribución territorial de servicios.</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17.5%; hogares sin sanitario: 4.6%.</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Localizar brechas y validar continuidad/calidad.</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78.5%; quema: 16.5%.</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Revisar cobertura, frecuencia y disposición final.</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6.7%.</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Validar alcance territorial y coordinar permanencia escolar.</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79.8% de los establecimientos observados son micro (1–10).</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Diseñar apoyo empresarial acorde con la estructura local y confirmar informalidad.</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67.7%; computadora: 9.1%.</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Precisar brechas por grupos y territorio.</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2"/>
      </w:pPr>
      <w:r>
        <w:t>3.1 FODA preliminar</w:t>
      </w: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Condición de uso</w:t>
            </w:r>
          </w:p>
          <w:p>
            <w:pPr>
              <w:spacing w:after="0"/>
            </w:pPr>
            <w:r>
              <w:rPr>
                <w:rFonts w:ascii="Calibri" w:hAnsi="Calibri" w:eastAsia="Calibri"/>
                <w:b w:val="0"/>
                <w:i w:val="0"/>
                <w:color w:val="203740"/>
                <w:sz w:val="19"/>
              </w:rPr>
              <w:t>Este FODA es una lectura técnica inicial. Solo debe pasar a la versión oficial después de que la OMPP verifique los datos y el CDM confirme fortalezas, debilidades, oportunidades y amenazas.</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Base económica formal observable: 94 establecimientos en el DEE 2024.</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17.5% (país: 62.7%).</w:t>
              <w:br/>
              <w:t>• Recogida de residuos por el ayuntamiento: 78.5% (país: 85.9%).</w:t>
              <w:br/>
              <w:t>• Uso de internet: 67.7% (país: 79.0%).</w:t>
              <w:br/>
              <w:t>• Abandono secundario del distrito asociado: 6.7%.</w:t>
              <w:br/>
              <w:t>• Variación intercensal de 7.1%; urbanización de 48.3%.</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Oportunidades por validar</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Amenazas por validar</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Uso de la línea base del Dashboard para seguimiento anual y priorización territorial.</w:t>
              <w:br/>
              <w:t>• Coordinación con instituciones sectoriales cuando la competencia no sea exclusivamente municipal.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Decisiones basadas en promedios municipales que oculten diferencias entre barrios, secciones y parajes.</w:t>
              <w:br/>
              <w:t>• Desactualización de diagnósticos anteriores si no se verifican en campo y con registros administrativos.</w:t>
            </w:r>
          </w:p>
        </w:tc>
      </w:tr>
    </w:tbl>
    <w:p>
      <w:pPr>
        <w:spacing w:after="0"/>
      </w:pPr>
    </w:p>
    <w:p>
      <w:r>
        <w:br w:type="page"/>
      </w:r>
    </w:p>
    <w:p>
      <w:pPr>
        <w:pStyle w:val="Heading1"/>
      </w:pPr>
      <w:r>
        <w:t>4. Marco estratégico para validación</w:t>
      </w:r>
    </w:p>
    <w:p>
      <w:r>
        <w:t>La visión municipal no se completa automáticamente. Debe expresar una situación futura compartida y ser acordada por las instancias municipales correspondientes. Se propone la siguiente estructura de trabajo: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100"/>
        <w:gridCol w:w="4700"/>
        <w:gridCol w:w="2560"/>
      </w:tblGrid>
      <w:tr>
        <w:trPr>
          <w:tblHeader w:val="true"/>
        </w:trPr>
        <w:tc>
          <w:tcPr>
            <w:tcW w:type="dxa" w:w="2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Componente</w:t>
            </w:r>
          </w:p>
        </w:tc>
        <w:tc>
          <w:tcPr>
            <w:tcW w:type="dxa" w:w="4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Base propuesta</w:t>
            </w:r>
          </w:p>
        </w:tc>
        <w:tc>
          <w:tcPr>
            <w:tcW w:type="dxa" w:w="25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Decisión requerida</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Redactar en una frase el municipio deseado al cierre del período.</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CDM: acordar texto</w:t>
            </w:r>
          </w:p>
        </w:tc>
      </w:tr>
      <w:tr>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 1 · Gestión y territorio</w:t>
            </w:r>
          </w:p>
        </w:tc>
        <w:tc>
          <w:tcPr>
            <w:tcW w:type="dxa" w:w="4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Información, planificación, servicios y ordenamiento.</w:t>
            </w:r>
          </w:p>
        </w:tc>
        <w:tc>
          <w:tcPr>
            <w:tcW w:type="dxa" w:w="2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Eje 2 · Desarrollo social</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Servicios básicos, educación, salud, inclusión y convivencia.</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 3 · Economía local</w:t>
            </w:r>
          </w:p>
        </w:tc>
        <w:tc>
          <w:tcPr>
            <w:tcW w:type="dxa" w:w="4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Empleo, microempresas, activos productivos y articulación sectorial.</w:t>
            </w:r>
          </w:p>
        </w:tc>
        <w:tc>
          <w:tcPr>
            <w:tcW w:type="dxa" w:w="2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Eje 4 · Ambiente y resiliencia</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Riesgos, recursos naturales, residuos y adaptación.</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OMPP/CDM: completar fuentes</w:t>
            </w:r>
          </w:p>
        </w:tc>
      </w:tr>
    </w:tbl>
    <w:p>
      <w:pPr>
        <w:spacing w:after="0"/>
      </w:pPr>
    </w:p>
    <w:p>
      <w:pPr>
        <w:pStyle w:val="Heading2"/>
      </w:pPr>
      <w:r>
        <w:t>4.1 Ideas iniciales de proyectos</w:t>
      </w:r>
    </w:p>
    <w:p>
      <w:r>
        <w:t>Las ideas siguientes derivan de brechas del diagnóstico. No incluyen costo, beneficiarios, cronograma, aprobación ni fuente de financiamiento.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500"/>
        <w:gridCol w:w="3900"/>
        <w:gridCol w:w="1460"/>
        <w:gridCol w:w="1500"/>
      </w:tblGrid>
      <w:tr>
        <w:trPr>
          <w:tblHeader w:val="true"/>
        </w:trPr>
        <w:tc>
          <w:tcPr>
            <w:tcW w:type="dxa" w:w="2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Idea</w:t>
            </w:r>
          </w:p>
        </w:tc>
        <w:tc>
          <w:tcPr>
            <w:tcW w:type="dxa" w:w="3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Alcance antes de formular</w:t>
            </w:r>
          </w:p>
        </w:tc>
        <w:tc>
          <w:tcPr>
            <w:tcW w:type="dxa" w:w="1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Evidencia inicial</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Sistema municipal de información territorial</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Desagregar indicadores por sectores y mantener línea base anual con fuente y responsable.</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Actualización del diagnóstico operativo de agua y saneamiento</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Localizar continuidad, calidad, cobertura y hogares críticos; coordinar responsabilidades sectoriales.</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Optimización de rutas y control del manejo de residuos</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Medir frecuencia, sectores no cubiertos, puntos críticos y disposición final.</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Mecanismo local de coordinación para permanencia educativa</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Validar datos con el distrito educativo y focalizar factores de abandono dentro de las competencias locales.</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Programa de información y servicios para microempresas</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Caracterizar necesidades reales, formalidad, acceso a capacitación y articulación con instituciones competentes.</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Acceso y alfabetización digital municipal</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Identificar grupos con menor acceso y usar espacios municipales existentes antes de definir inversión.</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bl>
    <w:p>
      <w:pPr>
        <w:spacing w:after="0"/>
      </w:pPr>
    </w:p>
    <w:p>
      <w:pPr>
        <w:pStyle w:val="Heading2"/>
      </w:pPr>
      <w:r>
        <w:t>4.2 Ficha para completar por proyecto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Registro municipal</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Problema y evidencia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Objetivo, resultado y meta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Competencia legal</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Responsable y aliados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Indicador y línea base</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Costo y financiamiento</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Validación OMPP / CDM</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p>
      <w:r>
        <w:br w:type="page"/>
      </w:r>
    </w:p>
    <w:p>
      <w:pPr>
        <w:pStyle w:val="Heading1"/>
      </w:pPr>
      <w:r>
        <w:t>5. Revisión, fuentes y trazabilidad</w:t>
      </w:r>
    </w:p>
    <w:p>
      <w:pPr>
        <w:pStyle w:val="Heading2"/>
      </w:pPr>
      <w:r>
        <w:t>5.1 Lista de control final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900"/>
        <w:gridCol w:w="2400"/>
        <w:gridCol w:w="3060"/>
      </w:tblGrid>
      <w:tr>
        <w:trPr>
          <w:tblHeader w:val="true"/>
        </w:trPr>
        <w:tc>
          <w:tcPr>
            <w:tcW w:type="dxa" w:w="3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Control</w:t>
            </w:r>
          </w:p>
        </w:tc>
        <w:tc>
          <w:tcPr>
            <w:tcW w:type="dxa" w:w="24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Responsable</w:t>
            </w:r>
          </w:p>
        </w:tc>
        <w:tc>
          <w:tcPr>
            <w:tcW w:type="dxa" w:w="3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Evidencia / corrección</w:t>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Confirmar historia, norma de creación y límites</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Confirmar cifras, años, unidades y cobertura</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 / áreas técnicas</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Localizar brechas por barrio, sección o paraje</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Revisar continuidad de PMD anteriores</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Validar síntesis y FODA</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CDM</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Acordar visión, objetivos y proyectos</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CDM / Ayuntamiento</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Documentar aprobación y publicación</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Autoridad competente</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p>
      <w:pPr>
        <w:pStyle w:val="Heading2"/>
      </w:pPr>
      <w:r>
        <w:t>5.2 Fuentes utilizadas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Nacional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Villa Riva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2026-07-28</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PMD anterior, el rango de páginas se consigna en el párrafo correspondiente.</w:t>
      </w:r>
    </w:p>
    <w:p>
      <w:pPr>
        <w:pStyle w:val="Heading2"/>
      </w:pPr>
      <w:r>
        <w:t>5.3 Registro de correcciones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700"/>
        <w:gridCol w:w="3300"/>
        <w:gridCol w:w="2100"/>
        <w:gridCol w:w="2260"/>
      </w:tblGrid>
      <w:tr>
        <w:trPr>
          <w:tblHeader w:val="true"/>
        </w:trPr>
        <w:tc>
          <w:tcPr>
            <w:tcW w:type="dxa" w:w="1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Sección</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Corrección</w:t>
            </w:r>
          </w:p>
        </w:tc>
        <w:tc>
          <w:tcPr>
            <w:tcW w:type="dxa" w:w="2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página</w:t>
            </w:r>
          </w:p>
        </w:tc>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Responsable / fecha</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Villa Riva, Duarte · PMD 2025-2028 · </w:t>
    </w:r>
    <w:r>
      <w:rPr>
        <w:rFonts w:ascii="Calibri" w:hAnsi="Calibri" w:eastAsia="Calibri"/>
        <w:b/>
        <w:i w:val="0"/>
        <w:color w:val="9A5A18"/>
        <w:sz w:val="15"/>
      </w:rPr>
      <w:t>Borrador no aprobado</w:t>
    </w:r>
    <w:r>
      <w:rPr>
        <w:rFonts w:ascii="Calibri" w:hAnsi="Calibri" w:eastAsia="Calibri"/>
        <w:b w:val="0"/>
        <w:i w:val="0"/>
        <w:color w:val="5E7076"/>
        <w:sz w:val="15"/>
      </w:rP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 · BORRADOR TÉCNICO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Villa Riva · 03060005</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PMD de Villa Riva - Borrador técnico sustantivo 2025-2028</dc:title>
  <dc:subject>Información general y diagnóstico precompletados con trazabilidad</dc:subject>
  <dc:creator>DDPT - Generación asistida para revisión municipal</dc:creator>
  <cp:keywords>PMD, municipio, diagnóstico, OMPP, CDM, trazabilidad, Dashboard</cp:keywords>
  <dc:description>generated by python-docx</dc:description>
  <cp:lastModifiedBy/>
  <cp:revision>1</cp:revision>
  <dcterms:created xsi:type="dcterms:W3CDTF">2013-12-23T23:15:00Z</dcterms:created>
  <dcterms:modified xsi:type="dcterms:W3CDTF">2013-12-23T23:15:00Z</dcterms:modified>
  <cp:category/>
</cp:coreProperties>
</file>