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0"/>
      </w:pPr>
    </w:p>
    <w:p>
      <w:pPr>
        <w:spacing w:after="360"/>
        <w:jc w:val="center"/>
      </w:pPr>
      <w:r>
        <w:rPr>
          <w:rFonts w:ascii="Calibri" w:hAnsi="Calibri" w:eastAsia="Calibri"/>
          <w:b/>
          <w:i w:val="0"/>
          <w:color w:val="A27719"/>
          <w:sz w:val="20"/>
        </w:rPr>
        <w:t>REPÚBLICA DOMINICANA · PLANIFICACIÓN MUNICIPAL</w:t>
      </w:r>
    </w:p>
    <w:p>
      <w:pPr>
        <w:spacing w:after="200"/>
        <w:jc w:val="center"/>
      </w:pPr>
      <w:r>
        <w:rPr>
          <w:rFonts w:ascii="Calibri" w:hAnsi="Calibri" w:eastAsia="Calibri"/>
          <w:b/>
          <w:i w:val="0"/>
          <w:color w:val="203740"/>
          <w:sz w:val="58"/>
        </w:rPr>
        <w:t>Plan Municipal de Desarrollo</w:t>
      </w:r>
    </w:p>
    <w:p>
      <w:pPr>
        <w:spacing w:after="100"/>
        <w:jc w:val="center"/>
      </w:pPr>
      <w:r>
        <w:rPr>
          <w:rFonts w:ascii="Calibri" w:hAnsi="Calibri" w:eastAsia="Calibri"/>
          <w:b/>
          <w:i w:val="0"/>
          <w:color w:val="14866D"/>
          <w:sz w:val="40"/>
        </w:rPr>
        <w:t>Villa Los Almácigos</w:t>
      </w:r>
    </w:p>
    <w:p>
      <w:pPr>
        <w:spacing w:after="600"/>
        <w:jc w:val="center"/>
      </w:pPr>
      <w:r>
        <w:rPr>
          <w:rFonts w:ascii="Calibri" w:hAnsi="Calibri" w:eastAsia="Calibri"/>
          <w:b w:val="0"/>
          <w:i w:val="0"/>
          <w:color w:val="5E7076"/>
          <w:sz w:val="24"/>
        </w:rPr>
        <w:t>Santiago Rodríguez · Región Cibao Noroeste</w:t>
      </w:r>
    </w:p>
    <w:p>
      <w:pPr>
        <w:spacing w:after="1100"/>
        <w:jc w:val="center"/>
      </w:pPr>
      <w:r>
        <w:rPr>
          <w:rFonts w:ascii="Calibri" w:hAnsi="Calibri" w:eastAsia="Calibri"/>
          <w:b/>
          <w:i w:val="0"/>
          <w:color w:val="2F6CC6"/>
          <w:sz w:val="26"/>
        </w:rPr>
        <w:t>BORRADOR TÉCNICO 2025-2028</w:t>
      </w:r>
    </w:p>
    <w:p>
      <w:pPr>
        <w:jc w:val="center"/>
      </w:pPr>
      <w:r>
        <w:rPr>
          <w:rFonts w:ascii="Calibri" w:hAnsi="Calibri" w:eastAsia="Calibri"/>
          <w:b w:val="0"/>
          <w:i/>
          <w:color w:val="5E7076"/>
          <w:sz w:val="20"/>
        </w:rPr>
        <w:t>Información General y Diagnóstico precompletados para revisión final</w:t>
        <w:br/>
        <w:t>FODA, Visión y Proyectos sujetos a validación de OMPP y CDM</w:t>
      </w:r>
    </w:p>
    <w:p>
      <w:pPr>
        <w:spacing w:before="440"/>
        <w:jc w:val="center"/>
      </w:pPr>
      <w:r>
        <w:rPr>
          <w:rFonts w:ascii="Calibri" w:hAnsi="Calibri" w:eastAsia="Calibri"/>
          <w:b w:val="0"/>
          <w:i w:val="0"/>
          <w:color w:val="5E7076"/>
          <w:sz w:val="18"/>
        </w:rPr>
        <w:t>Versión técnica · 28-07-2026</w:t>
      </w:r>
    </w:p>
    <w:p>
      <w:r>
        <w:br w:type="page"/>
      </w:r>
    </w:p>
    <w:p>
      <w:pPr>
        <w:pStyle w:val="Heading1"/>
      </w:pPr>
      <w:r>
        <w:t>Estado y alcance del borrador</w:t>
      </w: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Qué está listo para revisión final</w:t>
            </w:r>
          </w:p>
          <w:p>
            <w:pPr>
              <w:spacing w:after="0"/>
            </w:pPr>
            <w:r>
              <w:rPr>
                <w:rFonts w:ascii="Calibri" w:hAnsi="Calibri" w:eastAsia="Calibri"/>
                <w:b w:val="0"/>
                <w:i w:val="0"/>
                <w:color w:val="203740"/>
                <w:sz w:val="19"/>
              </w:rPr>
              <w:t>La identificación territorial, la reseña histórica disponible, la línea base demográfica y el diagnóstico de servicios, educación, economía, salud y conectividad se presentan ya redactados. La OMPP debe comprobar cifras, nombres, alcance territorial y cualquier actualización posterior al año de cada fuente.</w:t>
            </w:r>
          </w:p>
        </w:tc>
      </w:tr>
    </w:tbl>
    <w:p>
      <w:pPr>
        <w:spacing w:after="0"/>
      </w:pP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Qué no se considera aprobado</w:t>
            </w:r>
          </w:p>
          <w:p>
            <w:pPr>
              <w:spacing w:after="0"/>
            </w:pPr>
            <w:r>
              <w:rPr>
                <w:rFonts w:ascii="Calibri" w:hAnsi="Calibri" w:eastAsia="Calibri"/>
                <w:b w:val="0"/>
                <w:i w:val="0"/>
                <w:color w:val="203740"/>
                <w:sz w:val="19"/>
              </w:rPr>
              <w:t>El documento no acredita consulta ciudadana, reuniones, acuerdos del CDM, aprobación del Concejo de Regidores, presupuestos, beneficiarios ni compromisos institucionales. FODA, visión y cartera de proyectos son propuestas para discusión y deben modificarse o eliminarse si no son ratificadas.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6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Estado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Borrador técnico no aprobado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Municipio / provincia</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Villa Los Almácigos / Santiago Rodríguez</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Período</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2025-2028</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04260002</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Dashboard</w:t>
            </w:r>
          </w:p>
        </w:tc>
        <w:tc>
          <w:tcPr>
            <w:tcW w:type="dxa" w:w="6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Disponible</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Revisión mínima</w:t>
            </w:r>
          </w:p>
        </w:tc>
        <w:tc>
          <w:tcPr>
            <w:tcW w:type="dxa" w:w="6760"/>
            <w:vAlign w:val="top"/>
            <w:tcMar>
              <w:top w:w="80" w:type="dxa"/>
              <w:start w:w="120" w:type="dxa"/>
              <w:bottom w:w="80" w:type="dxa"/>
              <w:end w:w="120" w:type="dxa"/>
            </w:tcMar>
          </w:tcPr>
          <w:p>
            <w:pPr>
              <w:spacing w:after="0"/>
            </w:pPr>
            <w:r>
              <w:rPr>
                <w:rFonts w:ascii="Calibri" w:hAnsi="Calibri" w:eastAsia="Calibri"/>
                <w:b w:val="0"/>
                <w:i w:val="0"/>
                <w:color w:val="203740"/>
                <w:sz w:val="17"/>
              </w:rPr>
              <w:t>OMPP: datos y redacción · CDM: prioridades y estrategia</w:t>
            </w:r>
          </w:p>
        </w:tc>
      </w:tr>
    </w:tbl>
    <w:p>
      <w:pPr>
        <w:spacing w:after="0"/>
      </w:pPr>
    </w:p>
    <w:p>
      <w:pPr>
        <w:pStyle w:val="Heading2"/>
      </w:pPr>
      <w:r>
        <w:t>Contenido</w:t>
      </w:r>
    </w:p>
    <w:p>
      <w:pPr>
        <w:pStyle w:val="ListNumber"/>
      </w:pPr>
      <w:r>
        <w:t>1. Información general: territorio, historia, demografía y antecedentes de planificación.</w:t>
      </w:r>
    </w:p>
    <w:p>
      <w:pPr>
        <w:pStyle w:val="ListNumber"/>
      </w:pPr>
      <w:r>
        <w:t>2. Diagnóstico municipal: cinco láminas del Dashboard y análisis narrativo.</w:t>
      </w:r>
    </w:p>
    <w:p>
      <w:pPr>
        <w:pStyle w:val="ListNumber"/>
      </w:pPr>
      <w:r>
        <w:t>3. Síntesis diagnóstica y FODA preliminar.</w:t>
      </w:r>
    </w:p>
    <w:p>
      <w:pPr>
        <w:pStyle w:val="ListNumber"/>
      </w:pPr>
      <w:r>
        <w:t>4. Marco estratégico y proyectos para validación.</w:t>
      </w:r>
    </w:p>
    <w:p>
      <w:pPr>
        <w:pStyle w:val="ListNumber"/>
      </w:pPr>
      <w:r>
        <w:t>5. Protocolo de revisión, fuentes y trazabilidad.</w:t>
      </w:r>
    </w:p>
    <w:p>
      <w:r>
        <w:br w:type="page"/>
      </w:r>
    </w:p>
    <w:p>
      <w:pPr>
        <w:pStyle w:val="Heading1"/>
      </w:pPr>
      <w:r>
        <w:t>1. Información general</w:t>
      </w:r>
    </w:p>
    <w:p>
      <w:r>
        <w:t>Villa Los Almácigos forma parte de la provincia Santiago Rodríguez y se integra en la región de planificación Cibao Noroeste. El código geográfico utilizado en este borrador es 04260002. Esta identificación territorial sirve como clave de enlace entre el Portal de Planificación Municipal, el Dashboard de Diagnóstico Territorial y los documentos de planificación archivados. [GEO-01]</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600"/>
        <w:gridCol w:w="3000"/>
        <w:gridCol w:w="3760"/>
      </w:tblGrid>
      <w:tr>
        <w:trPr>
          <w:tblHeader w:val="true"/>
        </w:trPr>
        <w:tc>
          <w:tcPr>
            <w:tcW w:type="dxa" w:w="26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Dato territorial</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Valor</w:t>
            </w:r>
          </w:p>
        </w:tc>
        <w:tc>
          <w:tcPr>
            <w:tcW w:type="dxa" w:w="37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año</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Municipio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Villa Los Almácigos</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Provincia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Santiago Rodríguez</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Portal municipal · 2026</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Región</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Cibao Noroeste</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Código geográfico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04260002</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Clasificador DIGEPRES</w:t>
            </w:r>
          </w:p>
        </w:tc>
      </w:tr>
      <w:tr>
        <w:tc>
          <w:tcPr>
            <w:tcW w:type="dxa" w:w="2600"/>
            <w:vAlign w:val="top"/>
            <w:tcMar>
              <w:top w:w="80" w:type="dxa"/>
              <w:start w:w="120" w:type="dxa"/>
              <w:bottom w:w="80" w:type="dxa"/>
              <w:end w:w="120" w:type="dxa"/>
            </w:tcMar>
          </w:tcPr>
          <w:p>
            <w:pPr>
              <w:spacing w:after="0"/>
            </w:pPr>
            <w:r>
              <w:rPr>
                <w:rFonts w:ascii="Calibri" w:hAnsi="Calibri" w:eastAsia="Calibri"/>
                <w:b w:val="0"/>
                <w:i w:val="0"/>
                <w:color w:val="203740"/>
                <w:sz w:val="17"/>
              </w:rPr>
              <w:t>Superficie cartográfica</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207.9 km²</w:t>
            </w:r>
          </w:p>
        </w:tc>
        <w:tc>
          <w:tcPr>
            <w:tcW w:type="dxa" w:w="3760"/>
            <w:vAlign w:val="top"/>
            <w:tcMar>
              <w:top w:w="80" w:type="dxa"/>
              <w:start w:w="120" w:type="dxa"/>
              <w:bottom w:w="80" w:type="dxa"/>
              <w:end w:w="120" w:type="dxa"/>
            </w:tcMar>
          </w:tcPr>
          <w:p>
            <w:pPr>
              <w:spacing w:after="0"/>
            </w:pPr>
            <w:r>
              <w:rPr>
                <w:rFonts w:ascii="Calibri" w:hAnsi="Calibri" w:eastAsia="Calibri"/>
                <w:b w:val="0"/>
                <w:i w:val="0"/>
                <w:color w:val="203740"/>
                <w:sz w:val="17"/>
              </w:rPr>
              <w:t>GeoJSON municipal</w:t>
            </w:r>
          </w:p>
        </w:tc>
      </w:tr>
      <w:tr>
        <w:tc>
          <w:tcPr>
            <w:tcW w:type="dxa" w:w="26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Densidad estimada</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56.8 hab./km²</w:t>
            </w:r>
          </w:p>
        </w:tc>
        <w:tc>
          <w:tcPr>
            <w:tcW w:type="dxa" w:w="37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Censo 2022 + GeoJSON</w:t>
            </w:r>
          </w:p>
        </w:tc>
      </w:tr>
    </w:tbl>
    <w:p>
      <w:pPr>
        <w:spacing w:after="0"/>
      </w:pPr>
    </w:p>
    <w:p>
      <w:pPr>
        <w:pStyle w:val="Heading2"/>
      </w:pPr>
      <w:r>
        <w:t>1.1 Origen y formación del municipio</w:t>
      </w:r>
    </w:p>
    <w:p>
      <w:r>
        <w:t>Como referencia secundaria, la ficha municipal de Wikipedia resume la identidad y evolución histórica local de la siguiente manera: A mediados del siglo XIX, Villa Los Almácigos formaba parte de la común de Dajabón como paraje de la sección Inaje. En esta comunidad los restauradores realizaron la convención para concertar los planes finales para emprender la Guerra Restauradora que inició en Capotillo el 16 de agosto de 1863.​ En noviembre de 1937 se produjo la visita del dictador Rafael Leónidas Trujillo, quien se dirigía a la zona fronteriza y en honor a esta visita, el ayuntamiento de Sabaneta solicita al Congreso Nacional el cambio de nombre a «Villa Generalísimo», haciéndose efectivo a finales del mismo año. Tras la muerte de Trujillo la comunidad recobró su antiguo nombre.​​ La localidad de Villa Los Almácigos permaneció como sección hasta el 12 de febrero de 1974, cuando el Congreso Nacional lo elevó a Distrito Municipal y posteriormente en 1996 a municipio, separándola del municipio de San Ignacio de Sabaneta, provincia de Santiago Rodríguez.​ [WIKI-01].</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Revisión final requerida</w:t>
            </w:r>
          </w:p>
          <w:p>
            <w:pPr>
              <w:spacing w:after="0"/>
            </w:pPr>
            <w:r>
              <w:rPr>
                <w:rFonts w:ascii="Calibri" w:hAnsi="Calibri" w:eastAsia="Calibri"/>
                <w:b w:val="0"/>
                <w:i w:val="0"/>
                <w:color w:val="203740"/>
                <w:sz w:val="19"/>
              </w:rPr>
              <w:t>Confirmar nombres propios, fechas, cambios de categoría territorial y norma de creación. Wikipedia se usa solo como fuente secundaria; cuando existe PMD anterior, sus páginas se indican expresamente.</w:t>
            </w:r>
          </w:p>
        </w:tc>
      </w:tr>
    </w:tbl>
    <w:p>
      <w:pPr>
        <w:spacing w:after="0"/>
      </w:pPr>
    </w:p>
    <w:p>
      <w:pPr>
        <w:pStyle w:val="Heading2"/>
      </w:pPr>
      <w:r>
        <w:t>1.2 Perfil demográfico y del poblamiento</w:t>
      </w:r>
    </w:p>
    <w:p>
      <w:r>
        <w:t>En 2022, Villa Los Almácigos registró 11,816 habitantes: 6,139 hombres (52.0%) y 5,677 mujeres (48.0%). Frente a los 11,183 habitantes censados en 2010, la población creció 5.7%. El cambio intercensal constituye la línea base para dimensionar servicios, infraestructura y demanda de suelo; no permite atribuir por sí solo causas de migración, fecundidad o movilidad residencial. [DASH-BASE]</w:t>
      </w:r>
    </w:p>
    <w:p>
      <w:r>
        <w:t>La distribución territorial muestra 4,686 habitantes en zona urbana (39.7%) y 7,130 en zona rural (60.3%). Esta relación debe considerarse al organizar rutas de servicios, mantenimiento vial, equipamientos y mecanismos de atención a comunidades dispersas. [DASH-URB]</w:t>
      </w:r>
    </w:p>
    <w:p>
      <w:r>
        <w:t>El municipio cuenta con 4,062 hogares y 11,808 personas residentes en hogares. El promedio es de 2.91 personas por hogar. El Censo registra 4,479 viviendas, de las cuales 4,032 estaban ocupadas y 444 desocupadas. [DASH-HOG] [DASH-BASE]</w:t>
      </w:r>
    </w:p>
    <w:p>
      <w:pPr>
        <w:pStyle w:val="Heading2"/>
      </w:pPr>
      <w:r>
        <w:t>1.3 Antecedentes de planificación</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000"/>
        <w:gridCol w:w="1400"/>
        <w:gridCol w:w="1500"/>
        <w:gridCol w:w="3460"/>
      </w:tblGrid>
      <w:tr>
        <w:trPr>
          <w:tblHeader w:val="true"/>
        </w:trPr>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PMD localizado</w:t>
            </w:r>
          </w:p>
        </w:tc>
        <w:tc>
          <w:tcPr>
            <w:tcW w:type="dxa" w:w="1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Período</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Condición</w:t>
            </w:r>
          </w:p>
        </w:tc>
        <w:tc>
          <w:tcPr>
            <w:tcW w:type="dxa" w:w="3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Uso permitido</w:t>
            </w:r>
          </w:p>
        </w:tc>
      </w:tr>
      <w:tr>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Plan Municipal de Desarrollo de Villa Los Almácigos</w:t>
            </w:r>
          </w:p>
        </w:tc>
        <w:tc>
          <w:tcPr>
            <w:tcW w:type="dxa" w:w="1400"/>
            <w:vAlign w:val="top"/>
            <w:tcMar>
              <w:top w:w="80" w:type="dxa"/>
              <w:start w:w="120" w:type="dxa"/>
              <w:bottom w:w="80" w:type="dxa"/>
              <w:end w:w="120" w:type="dxa"/>
            </w:tcMar>
          </w:tcPr>
          <w:p>
            <w:pPr>
              <w:spacing w:after="0"/>
            </w:pPr>
            <w:r>
              <w:rPr>
                <w:rFonts w:ascii="Calibri" w:hAnsi="Calibri" w:eastAsia="Calibri"/>
                <w:b w:val="0"/>
                <w:i w:val="0"/>
                <w:color w:val="203740"/>
                <w:sz w:val="17"/>
              </w:rPr>
              <w:t>2020-2024</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Oficial</w:t>
            </w:r>
          </w:p>
        </w:tc>
        <w:tc>
          <w:tcPr>
            <w:tcW w:type="dxa" w:w="3460"/>
            <w:vAlign w:val="top"/>
            <w:tcMar>
              <w:top w:w="80" w:type="dxa"/>
              <w:start w:w="120" w:type="dxa"/>
              <w:bottom w:w="80" w:type="dxa"/>
              <w:end w:w="120" w:type="dxa"/>
            </w:tcMar>
          </w:tcPr>
          <w:p>
            <w:pPr>
              <w:spacing w:after="0"/>
            </w:pPr>
            <w:r>
              <w:rPr>
                <w:rFonts w:ascii="Calibri" w:hAnsi="Calibri" w:eastAsia="Calibri"/>
                <w:b w:val="0"/>
                <w:i w:val="0"/>
                <w:color w:val="203740"/>
                <w:sz w:val="17"/>
              </w:rPr>
              <w:t>Antecedente histórico; verificar continuidad</w:t>
            </w:r>
          </w:p>
        </w:tc>
      </w:tr>
    </w:tbl>
    <w:p>
      <w:pPr>
        <w:spacing w:after="0"/>
      </w:pPr>
    </w:p>
    <w:p>
      <w:r>
        <w:t>Los PMD anteriores permiten reconstruir la trayectoria de problemas, activos, objetivos y proyectos. En este borrador se utilizan para contextualizar la historia local y señalar temas de continuidad. No se presume que una obra esté ejecutada, que un problema permanezca vigente ni que una prioridad anterior haya sido ratificada para 2025–2028 sin verificación de la OMPP. [PMD-ANT]</w:t>
      </w:r>
    </w:p>
    <w:p>
      <w:pPr>
        <w:pStyle w:val="Heading1"/>
      </w:pPr>
      <w:r>
        <w:t>2. Diagnóstico municipal</w:t>
      </w:r>
    </w:p>
    <w:p>
      <w:r>
        <w:t>Las cinco láminas siguientes reproducen en Word la lógica de impresión del Dashboard de Diagnóstico Territorial. Presentan la línea base estadística antes de su interpretación narrativa. Los datos corresponden al territorio seleccionado y conservan el año y la fuente; una ausencia se muestra como «No disponible» y no se sustituye por estimaciones.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000"/>
        <w:gridCol w:w="4300"/>
        <w:gridCol w:w="4060"/>
      </w:tblGrid>
      <w:tr>
        <w:trPr>
          <w:tblHeader w:val="true"/>
        </w:trPr>
        <w:tc>
          <w:tcPr>
            <w:tcW w:type="dxa" w:w="1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Lámina</w:t>
            </w:r>
          </w:p>
        </w:tc>
        <w:tc>
          <w:tcPr>
            <w:tcW w:type="dxa" w:w="4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Contenido</w:t>
            </w:r>
          </w:p>
        </w:tc>
        <w:tc>
          <w:tcPr>
            <w:tcW w:type="dxa" w:w="4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Lectura esperada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1</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Población, mapa, estructura por edad, hogares y viviendas</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Escala y composición demográfica</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saneamiento, alumbrado, combustible y residuos</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Coberturas declaradas por hogares</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3</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Oferta, nivel de instrucción, infraestructura y eficiencia educativa</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Capacidades y alertas educativas</w:t>
            </w:r>
          </w:p>
        </w:tc>
      </w:tr>
      <w:tr>
        <w:tc>
          <w:tcPr>
            <w:tcW w:type="dxa" w:w="1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4</w:t>
            </w:r>
          </w:p>
        </w:tc>
        <w:tc>
          <w:tcPr>
            <w:tcW w:type="dxa" w:w="4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empleo, tamaño empresarial y sectores CIIU</w:t>
            </w:r>
          </w:p>
        </w:tc>
        <w:tc>
          <w:tcPr>
            <w:tcW w:type="dxa" w:w="4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Estructura económica formal observada</w:t>
            </w:r>
          </w:p>
        </w:tc>
      </w:tr>
      <w:tr>
        <w:tc>
          <w:tcPr>
            <w:tcW w:type="dxa" w:w="1000"/>
            <w:vAlign w:val="top"/>
            <w:tcMar>
              <w:top w:w="80" w:type="dxa"/>
              <w:start w:w="120" w:type="dxa"/>
              <w:bottom w:w="80" w:type="dxa"/>
              <w:end w:w="120" w:type="dxa"/>
            </w:tcMar>
          </w:tcPr>
          <w:p>
            <w:pPr>
              <w:spacing w:after="0"/>
            </w:pPr>
            <w:r>
              <w:rPr>
                <w:rFonts w:ascii="Calibri" w:hAnsi="Calibri" w:eastAsia="Calibri"/>
                <w:b w:val="0"/>
                <w:i w:val="0"/>
                <w:color w:val="203740"/>
                <w:sz w:val="17"/>
              </w:rPr>
              <w:t>5</w:t>
            </w:r>
          </w:p>
        </w:tc>
        <w:tc>
          <w:tcPr>
            <w:tcW w:type="dxa" w:w="4300"/>
            <w:vAlign w:val="top"/>
            <w:tcMar>
              <w:top w:w="80" w:type="dxa"/>
              <w:start w:w="120" w:type="dxa"/>
              <w:bottom w:w="80" w:type="dxa"/>
              <w:end w:w="120" w:type="dxa"/>
            </w:tcMar>
          </w:tcPr>
          <w:p>
            <w:pPr>
              <w:spacing w:after="0"/>
            </w:pPr>
            <w:r>
              <w:rPr>
                <w:rFonts w:ascii="Calibri" w:hAnsi="Calibri" w:eastAsia="Calibri"/>
                <w:b w:val="0"/>
                <w:i w:val="0"/>
                <w:color w:val="203740"/>
                <w:sz w:val="17"/>
              </w:rPr>
              <w:t>Establecimientos de salud y comparación nacional</w:t>
            </w:r>
          </w:p>
        </w:tc>
        <w:tc>
          <w:tcPr>
            <w:tcW w:type="dxa" w:w="4060"/>
            <w:vAlign w:val="top"/>
            <w:tcMar>
              <w:top w:w="80" w:type="dxa"/>
              <w:start w:w="120" w:type="dxa"/>
              <w:bottom w:w="80" w:type="dxa"/>
              <w:end w:w="120" w:type="dxa"/>
            </w:tcMar>
          </w:tcPr>
          <w:p>
            <w:pPr>
              <w:spacing w:after="0"/>
            </w:pPr>
            <w:r>
              <w:rPr>
                <w:rFonts w:ascii="Calibri" w:hAnsi="Calibri" w:eastAsia="Calibri"/>
                <w:b w:val="0"/>
                <w:i w:val="0"/>
                <w:color w:val="203740"/>
                <w:sz w:val="17"/>
              </w:rPr>
              <w:t>Presencia física y brechas relativas</w:t>
            </w:r>
          </w:p>
        </w:tc>
      </w:tr>
    </w:tbl>
    <w:p>
      <w:pPr>
        <w:spacing w:after="0"/>
      </w:pPr>
    </w:p>
    <w:tbl>
      <w:tblPr>
        <w:tblW w:type="dxa" w:w="9360"/>
        <w:jc w:val="center"/>
        <w:tblLayout w:type="fixed"/>
        <w:tblLook w:firstColumn="1" w:firstRow="1" w:lastColumn="0" w:lastRow="0" w:noHBand="0" w:noVBand="1" w:val="04A0"/>
        <w:tblInd w:w="120" w:type="dxa"/>
        <w:tblBorders>
          <w:top w:val="single" w:sz="5" w:color="C9DCD7"/>
          <w:left w:val="single" w:sz="5" w:color="C9DCD7"/>
          <w:bottom w:val="single" w:sz="5" w:color="C9DCD7"/>
          <w:right w:val="single" w:sz="5" w:color="C9DCD7"/>
          <w:insideH w:val="single" w:sz="5" w:color="C9DCD7"/>
          <w:insideV w:val="single" w:sz="5" w:color="C9DCD7"/>
        </w:tblBorders>
      </w:tblPr>
      <w:tblGrid>
        <w:gridCol w:w="9360"/>
      </w:tblGrid>
      <w:tr>
        <w:tc>
          <w:tcPr>
            <w:tcW w:type="dxa" w:w="9360"/>
            <w:tcMar>
              <w:top w:w="150" w:type="dxa"/>
              <w:start w:w="180" w:type="dxa"/>
              <w:bottom w:w="150" w:type="dxa"/>
              <w:end w:w="180" w:type="dxa"/>
            </w:tcMar>
            <w:shd w:fill="F3F7F6"/>
          </w:tcPr>
          <w:p>
            <w:pPr>
              <w:spacing w:after="60"/>
            </w:pPr>
            <w:r>
              <w:rPr>
                <w:rFonts w:ascii="Calibri" w:hAnsi="Calibri" w:eastAsia="Calibri"/>
                <w:b/>
                <w:i w:val="0"/>
                <w:color w:val="14866D"/>
                <w:sz w:val="21"/>
              </w:rPr>
              <w:t>Cómo leer las láminas</w:t>
            </w:r>
          </w:p>
          <w:p>
            <w:pPr>
              <w:spacing w:after="0"/>
            </w:pPr>
            <w:r>
              <w:rPr>
                <w:rFonts w:ascii="Calibri" w:hAnsi="Calibri" w:eastAsia="Calibri"/>
                <w:b w:val="0"/>
                <w:i w:val="0"/>
                <w:color w:val="203740"/>
                <w:sz w:val="19"/>
              </w:rPr>
              <w:t>Cada lámina es una línea base, no una conclusión automática. La interpretación debe conservar tres preguntas: qué mide el indicador, qué no mide y qué comprobación territorial hace falta antes de decidir.</w:t>
            </w:r>
          </w:p>
        </w:tc>
      </w:tr>
    </w:tbl>
    <w:p>
      <w:pPr>
        <w:spacing w:after="0"/>
      </w:pPr>
    </w:p>
    <w:p>
      <w:r>
        <w:br w:type="page"/>
      </w:r>
    </w:p>
    <w:p>
      <w:pPr>
        <w:keepLines/>
        <w:spacing w:after="0"/>
        <w:jc w:val="center"/>
      </w:pPr>
      <w:r>
        <w:drawing>
          <wp:inline xmlns:a="http://schemas.openxmlformats.org/drawingml/2006/main" xmlns:pic="http://schemas.openxmlformats.org/drawingml/2006/picture">
            <wp:extent cx="5943600" cy="7135215"/>
            <wp:docPr id="1" name="Picture 1"/>
            <wp:cNvGraphicFramePr>
              <a:graphicFrameLocks noChangeAspect="1"/>
            </wp:cNvGraphicFramePr>
            <a:graphic>
              <a:graphicData uri="http://schemas.openxmlformats.org/drawingml/2006/picture">
                <pic:pic>
                  <pic:nvPicPr>
                    <pic:cNvPr id="0" name="diagnostico-1.png"/>
                    <pic:cNvPicPr/>
                  </pic:nvPicPr>
                  <pic:blipFill>
                    <a:blip r:embed="rId11"/>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2" name="Picture 2"/>
            <wp:cNvGraphicFramePr>
              <a:graphicFrameLocks noChangeAspect="1"/>
            </wp:cNvGraphicFramePr>
            <a:graphic>
              <a:graphicData uri="http://schemas.openxmlformats.org/drawingml/2006/picture">
                <pic:pic>
                  <pic:nvPicPr>
                    <pic:cNvPr id="0" name="diagnostico-2.png"/>
                    <pic:cNvPicPr/>
                  </pic:nvPicPr>
                  <pic:blipFill>
                    <a:blip r:embed="rId12"/>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3" name="Picture 3"/>
            <wp:cNvGraphicFramePr>
              <a:graphicFrameLocks noChangeAspect="1"/>
            </wp:cNvGraphicFramePr>
            <a:graphic>
              <a:graphicData uri="http://schemas.openxmlformats.org/drawingml/2006/picture">
                <pic:pic>
                  <pic:nvPicPr>
                    <pic:cNvPr id="0" name="diagnostico-3.png"/>
                    <pic:cNvPicPr/>
                  </pic:nvPicPr>
                  <pic:blipFill>
                    <a:blip r:embed="rId13"/>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4" name="Picture 4"/>
            <wp:cNvGraphicFramePr>
              <a:graphicFrameLocks noChangeAspect="1"/>
            </wp:cNvGraphicFramePr>
            <a:graphic>
              <a:graphicData uri="http://schemas.openxmlformats.org/drawingml/2006/picture">
                <pic:pic>
                  <pic:nvPicPr>
                    <pic:cNvPr id="0" name="diagnostico-4.png"/>
                    <pic:cNvPicPr/>
                  </pic:nvPicPr>
                  <pic:blipFill>
                    <a:blip r:embed="rId14"/>
                    <a:stretch>
                      <a:fillRect/>
                    </a:stretch>
                  </pic:blipFill>
                  <pic:spPr>
                    <a:xfrm>
                      <a:off x="0" y="0"/>
                      <a:ext cx="5943600" cy="7135215"/>
                    </a:xfrm>
                    <a:prstGeom prst="rect"/>
                  </pic:spPr>
                </pic:pic>
              </a:graphicData>
            </a:graphic>
          </wp:inline>
        </w:drawing>
      </w:r>
    </w:p>
    <w:p>
      <w:r>
        <w:br w:type="page"/>
      </w:r>
    </w:p>
    <w:p>
      <w:pPr>
        <w:keepLines/>
        <w:spacing w:after="0"/>
        <w:jc w:val="center"/>
      </w:pPr>
      <w:r>
        <w:drawing>
          <wp:inline xmlns:a="http://schemas.openxmlformats.org/drawingml/2006/main" xmlns:pic="http://schemas.openxmlformats.org/drawingml/2006/picture">
            <wp:extent cx="5943600" cy="7135215"/>
            <wp:docPr id="5" name="Picture 5"/>
            <wp:cNvGraphicFramePr>
              <a:graphicFrameLocks noChangeAspect="1"/>
            </wp:cNvGraphicFramePr>
            <a:graphic>
              <a:graphicData uri="http://schemas.openxmlformats.org/drawingml/2006/picture">
                <pic:pic>
                  <pic:nvPicPr>
                    <pic:cNvPr id="0" name="diagnostico-5.png"/>
                    <pic:cNvPicPr/>
                  </pic:nvPicPr>
                  <pic:blipFill>
                    <a:blip r:embed="rId15"/>
                    <a:stretch>
                      <a:fillRect/>
                    </a:stretch>
                  </pic:blipFill>
                  <pic:spPr>
                    <a:xfrm>
                      <a:off x="0" y="0"/>
                      <a:ext cx="5943600" cy="7135215"/>
                    </a:xfrm>
                    <a:prstGeom prst="rect"/>
                  </pic:spPr>
                </pic:pic>
              </a:graphicData>
            </a:graphic>
          </wp:inline>
        </w:drawing>
      </w:r>
    </w:p>
    <w:p>
      <w:pPr>
        <w:pStyle w:val="SourceNote"/>
      </w:pPr>
      <w:r>
        <w:rPr>
          <w:rFonts w:ascii="Calibri" w:hAnsi="Calibri" w:eastAsia="Calibri"/>
          <w:b w:val="0"/>
          <w:i w:val="0"/>
          <w:color w:val="5E7076"/>
          <w:sz w:val="17"/>
        </w:rPr>
        <w:t>Fuente: Dashboard de Diagnóstico Territorial, ficha de Villa Los Almácigos. Láminas generadas el 2026-07-28.</w:t>
      </w:r>
    </w:p>
    <w:p>
      <w:r>
        <w:br w:type="page"/>
      </w:r>
    </w:p>
    <w:p>
      <w:pPr>
        <w:pStyle w:val="Heading1"/>
      </w:pPr>
      <w:r>
        <w:t>Lectura narrativa del diagnóstico</w:t>
      </w:r>
    </w:p>
    <w:p>
      <w:r>
        <w:t>La lectura siguiente explica qué muestran los indicadores y cuáles son sus límites. Se diferencia entre dato observado, interpretación técnica y asunto que requiere comprobación municipal.</w:t>
      </w:r>
    </w:p>
    <w:p>
      <w:pPr>
        <w:pStyle w:val="Heading2"/>
      </w:pPr>
      <w:r>
        <w:t>2.1 Dinámica demográfica y hogares</w:t>
      </w:r>
    </w:p>
    <w:p>
      <w:r>
        <w:t>La estructura por edad de Villa Los Almácigos se distribuye aproximadamente en 26.7% de población menor de 15 años, 61.6% entre 15 y 64 años y 11.7% de 65 años o más. La relación de dependencia demográfica estimada es de 62.3 personas potencialmente dependientes por cada 100 en edad de trabajar. Estos valores orientan la demanda relativa de cuidados, espacios públicos, movilidad, formación y servicios sociales, pero deben analizarse con la distribución territorial y la capacidad real de atención. [DASH-PYR]</w:t>
      </w:r>
    </w:p>
    <w:p>
      <w:r>
        <w:t>El grado de urbanización es 39.7% y el tamaño medio de los hogares es 2.91 personas. Una mayor concentración urbana puede facilitar cobertura de rutas y equipamientos, mientras que una proporción rural relevante exige criterios de accesibilidad y costos diferenciados. La cifra no sustituye un análisis por barrio, sección o paraje. [DASH-URB] [DASH-HOG]</w:t>
      </w:r>
    </w:p>
    <w:p>
      <w:pPr>
        <w:pStyle w:val="Heading2"/>
      </w:pPr>
      <w:r>
        <w:t>2.2 Vivienda, agua, saneamiento y servicios básicos</w:t>
      </w:r>
    </w:p>
    <w:p>
      <w:r>
        <w:t>El 68.7% de los hogares declara recibir agua del acueducto dentro de la vivienda, frente a 62.7% a escala nacional. Para agua de beber, el uso de botellones representa 44.6%. La comparación sugiere una condición de acceso físico y un patrón de consumo, pero no informa continuidad, presión, potabilidad ni costo. Esos cuatro aspectos deben verificarse antes de formular intervenciones. [DASH-VIDA]</w:t>
      </w:r>
    </w:p>
    <w:p>
      <w:r>
        <w:t>En saneamiento, 58.1% de los hogares reporta inodoro y 4.0% declara no disponer de servicio sanitario. La línea base permite dimensionar la brecha general, aunque no identifica sectores ni calidad de disposición final. El levantamiento municipal debe localizar hogares críticos y distinguir competencias del ayuntamiento, INAPA, salud pública y otros actores. [DASH-VIDA]</w:t>
      </w:r>
    </w:p>
    <w:p>
      <w:r>
        <w:t>La red pública es la fuente principal de alumbrado para 95.2% de los hogares. La recogida de residuos por el ayuntamiento alcanza 71.7%, mientras 24.5% declara quemarlos. El gas propano es el combustible principal de cocina en 81.6% de los hogares. La cobertura de recogida no equivale a frecuencia, regularidad ni manejo ambientalmente adecuado; el plan operativo de residuos debe contrastar rutas, horarios, disposición final y sectores no servidos. [DASH-VIDA]</w:t>
      </w:r>
    </w:p>
    <w:p>
      <w:pPr>
        <w:pStyle w:val="Heading2"/>
      </w:pPr>
      <w:r>
        <w:t>2.3 Educación y capacidades humanas</w:t>
      </w:r>
    </w:p>
    <w:p>
      <w:r>
        <w:t>La oferta educativa asociada registra 22 centros y 2,446 matrículas agregadas. De ellas, 183 corresponden a inicial/primario, 2,164 a secundario y 99 a educación de adultos. La cobertura corresponde a la asociación territorial usada por el Dashboard y debe verificarse cuando el distrito educativo abarque más de un municipio. [DASH-EDU]</w:t>
      </w:r>
    </w:p>
    <w:p>
      <w:r>
        <w:t>Entre la población de referencia de tres años o más, 15.7% aparece sin nivel de instrucción y 35.8% registra secundaria o un nivel superior. La distribución educativa ayuda a orientar alfabetización, formación técnica, inclusión digital y articulación con empleo, pero no debe interpretarse como calidad del aprendizaje. [DASH-EDU-NIVEL]</w:t>
      </w:r>
    </w:p>
    <w:p>
      <w:r>
        <w:t>Para el distrito educativo asociado, la promoción es 92.5% en primaria y 91.2% en secundaria; el abandono reportado en secundaria es 2.8%. La OMPP debe coordinar la lectura con MINERD y evitar atribuir al gobierno local resultados que corresponden al sistema educativo. [DASH-EDU]</w:t>
      </w:r>
    </w:p>
    <w:p>
      <w:pPr>
        <w:pStyle w:val="Heading2"/>
      </w:pPr>
      <w:r>
        <w:t>2.4 Economía, establecimientos y empleo</w:t>
      </w:r>
    </w:p>
    <w:p>
      <w:r>
        <w:t>El Directorio de Empresas y Establecimientos 2024 identifica 35 establecimientos y un empleo estimado de 348.8, equivalente a 10.0 empleos por establecimiento. Los establecimientos de 1 a 10 personas representan 77.1% del total. Esto caracteriza la estructura formal observada por el DEE; no incluye necesariamente toda la economía informal, el autoempleo ni la producción agropecuaria familiar. [DASH-ECO]</w:t>
      </w:r>
    </w:p>
    <w:p>
      <w:r>
        <w:t>Las actividades con mayor empleo estimado en la fuente son Comercio al por mayor y al por menor; reparación de vehículos automotores y motocicletas (124.1 empleos estimados); Administración pública y defensa; planes de seguridad social de afiliación obligatoria (95.8 empleos estimados); Actividades de alojamiento y de servicio de comidas (45.0 empleos estimados). La mayor especialización relativa se observa en Suministro de agua; evacuación de aguas residuales, gestión de desechos y descontaminación (cociente de localización 4.34). El cociente de localización compara concentración relativa, no productividad ni competitividad. [DASH-ECO]</w:t>
      </w:r>
    </w:p>
    <w:p>
      <w:pPr>
        <w:pStyle w:val="Heading2"/>
      </w:pPr>
      <w:r>
        <w:t>2.5 Salud, conectividad y acceso a información</w:t>
      </w:r>
    </w:p>
    <w:p>
      <w:r>
        <w:t>El Dashboard registra 8 establecimientos de salud en el municipio. La composición principal es: Centro De Primer Nivel: 7, Hospital Mediana Complejidad: 1. Este conteo informa presencia física, no cartera de servicios, personal, horario, capacidad, calidad ni accesibilidad efectiva. La planificación municipal debe validar esos elementos con el Servicio Nacional de Salud. [DASH-SALUD]</w:t>
      </w:r>
    </w:p>
    <w:p>
      <w:r>
        <w:t>El uso de internet alcanza 66.6% y el de computadora 10.2%. La diferencia entre conectividad y disponibilidad de equipo es relevante para trámites, educación, información pública y participación digital. El dato requiere desagregación por edad, sexo y zona para diseñar acciones focalizadas. [DASH-TIC]</w:t>
      </w:r>
    </w:p>
    <w:p>
      <w:pPr>
        <w:pStyle w:val="Heading2"/>
      </w:pPr>
      <w:r>
        <w:t>2.6 Contexto territorial, ambiental y continuidad</w:t>
      </w:r>
    </w:p>
    <w:p>
      <w:r>
        <w:t>Las fuentes estadísticas utilizadas no describen con suficiente detalle uso del suelo, riesgos, hidrología, residuos, movilidad o estado de la infraestructura. Este apartado debe completarse con cartografía oficial, instrumentos ambientales y verificación técnica municipal; no se agregaron afirmaciones de prensa ni datos no comprobables.</w:t>
      </w:r>
    </w:p>
    <w:p>
      <w:r>
        <w:br w:type="page"/>
      </w:r>
    </w:p>
    <w:p>
      <w:pPr>
        <w:pStyle w:val="Heading1"/>
      </w:pPr>
      <w:r>
        <w:t>3. Síntesis diagnóstica</w:t>
      </w:r>
    </w:p>
    <w:p>
      <w:r>
        <w:t>La síntesis organiza las principales señales cuantitativas para facilitar la revisión técnica. No constituye una priorización ciudadana ni sustituye la validación territorial.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000"/>
        <w:gridCol w:w="3100"/>
        <w:gridCol w:w="15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Tema</w:t>
            </w:r>
          </w:p>
        </w:tc>
        <w:tc>
          <w:tcPr>
            <w:tcW w:type="dxa" w:w="30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Hallazgo verificable</w:t>
            </w:r>
          </w:p>
        </w:tc>
        <w:tc>
          <w:tcPr>
            <w:tcW w:type="dxa" w:w="3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Implicación para revisar</w:t>
            </w:r>
          </w:p>
        </w:tc>
        <w:tc>
          <w:tcPr>
            <w:tcW w:type="dxa" w:w="1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Población y territorio</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Variación intercensal de 5.7%; urbanización de 39.7%.</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Ajustar capacidad y distribución territorial de servicios.</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y saneamiento</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Agua de acueducto dentro: 68.7%; hogares sin sanitario: 4.0%.</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y validar continuidad/calidad.</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Residuos sólidos</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Recogida municipal declarada: 71.7%; quema: 24.5%.</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Revisar cobertura, frecuencia y disposición final.</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Educación</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Abandono secundario del distrito asociado: 2.8%.</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alcance territorial y coordinar permanencia escolar.</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t>Economía local</w:t>
            </w:r>
          </w:p>
        </w:tc>
        <w:tc>
          <w:tcPr>
            <w:tcW w:type="dxa" w:w="3000"/>
            <w:vAlign w:val="top"/>
            <w:tcMar>
              <w:top w:w="80" w:type="dxa"/>
              <w:start w:w="120" w:type="dxa"/>
              <w:bottom w:w="80" w:type="dxa"/>
              <w:end w:w="120" w:type="dxa"/>
            </w:tcMar>
          </w:tcPr>
          <w:p>
            <w:pPr>
              <w:spacing w:after="0"/>
            </w:pPr>
            <w:r>
              <w:rPr>
                <w:rFonts w:ascii="Calibri" w:hAnsi="Calibri" w:eastAsia="Calibri"/>
                <w:b w:val="0"/>
                <w:i w:val="0"/>
                <w:color w:val="203740"/>
                <w:sz w:val="17"/>
              </w:rPr>
              <w:t>77.1% de los establecimientos observados son micro (1–10).</w:t>
            </w:r>
          </w:p>
        </w:tc>
        <w:tc>
          <w:tcPr>
            <w:tcW w:type="dxa" w:w="3100"/>
            <w:vAlign w:val="top"/>
            <w:tcMar>
              <w:top w:w="80" w:type="dxa"/>
              <w:start w:w="120" w:type="dxa"/>
              <w:bottom w:w="80" w:type="dxa"/>
              <w:end w:w="120" w:type="dxa"/>
            </w:tcMar>
          </w:tcPr>
          <w:p>
            <w:pPr>
              <w:spacing w:after="0"/>
            </w:pPr>
            <w:r>
              <w:rPr>
                <w:rFonts w:ascii="Calibri" w:hAnsi="Calibri" w:eastAsia="Calibri"/>
                <w:b w:val="0"/>
                <w:i w:val="0"/>
                <w:color w:val="203740"/>
                <w:sz w:val="17"/>
              </w:rPr>
              <w:t>Diseñar apoyo empresarial acorde con la estructura local y confirmar informalidad.</w:t>
            </w:r>
          </w:p>
        </w:tc>
        <w:tc>
          <w:tcPr>
            <w:tcW w:type="dxa" w:w="15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Conectividad</w:t>
            </w:r>
          </w:p>
        </w:tc>
        <w:tc>
          <w:tcPr>
            <w:tcW w:type="dxa" w:w="30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Internet: 66.6%; computadora: 10.2%.</w:t>
            </w:r>
          </w:p>
        </w:tc>
        <w:tc>
          <w:tcPr>
            <w:tcW w:type="dxa" w:w="3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Precisar brechas por grupos y territorio.</w:t>
            </w:r>
          </w:p>
        </w:tc>
        <w:tc>
          <w:tcPr>
            <w:tcW w:type="dxa" w:w="1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r>
    </w:tbl>
    <w:p>
      <w:pPr>
        <w:spacing w:after="0"/>
      </w:pPr>
    </w:p>
    <w:p>
      <w:pPr>
        <w:pStyle w:val="Heading2"/>
      </w:pPr>
      <w:r>
        <w:t>3.1 FODA preliminar</w:t>
      </w:r>
    </w:p>
    <w:tbl>
      <w:tblPr>
        <w:tblW w:type="dxa" w:w="9360"/>
        <w:jc w:val="center"/>
        <w:tblLayout w:type="fixed"/>
        <w:tblLook w:firstColumn="1" w:firstRow="1" w:lastColumn="0" w:lastRow="0" w:noHBand="0" w:noVBand="1" w:val="04A0"/>
        <w:tblInd w:w="120" w:type="dxa"/>
        <w:tblBorders>
          <w:top w:val="single" w:sz="5" w:color="E3D2B7"/>
          <w:left w:val="single" w:sz="5" w:color="E3D2B7"/>
          <w:bottom w:val="single" w:sz="5" w:color="E3D2B7"/>
          <w:right w:val="single" w:sz="5" w:color="E3D2B7"/>
          <w:insideH w:val="single" w:sz="5" w:color="E3D2B7"/>
          <w:insideV w:val="single" w:sz="5" w:color="E3D2B7"/>
        </w:tblBorders>
      </w:tblPr>
      <w:tblGrid>
        <w:gridCol w:w="9360"/>
      </w:tblGrid>
      <w:tr>
        <w:tc>
          <w:tcPr>
            <w:tcW w:type="dxa" w:w="9360"/>
            <w:tcMar>
              <w:top w:w="150" w:type="dxa"/>
              <w:start w:w="180" w:type="dxa"/>
              <w:bottom w:w="150" w:type="dxa"/>
              <w:end w:w="180" w:type="dxa"/>
            </w:tcMar>
            <w:shd w:fill="FFF6E7"/>
          </w:tcPr>
          <w:p>
            <w:pPr>
              <w:spacing w:after="60"/>
            </w:pPr>
            <w:r>
              <w:rPr>
                <w:rFonts w:ascii="Calibri" w:hAnsi="Calibri" w:eastAsia="Calibri"/>
                <w:b/>
                <w:i w:val="0"/>
                <w:color w:val="9A5A18"/>
                <w:sz w:val="21"/>
              </w:rPr>
              <w:t>Condición de uso</w:t>
            </w:r>
          </w:p>
          <w:p>
            <w:pPr>
              <w:spacing w:after="0"/>
            </w:pPr>
            <w:r>
              <w:rPr>
                <w:rFonts w:ascii="Calibri" w:hAnsi="Calibri" w:eastAsia="Calibri"/>
                <w:b w:val="0"/>
                <w:i w:val="0"/>
                <w:color w:val="203740"/>
                <w:sz w:val="19"/>
              </w:rPr>
              <w:t>Este FODA es una lectura técnica inicial. Solo debe pasar a la versión oficial después de que la OMPP verifique los datos y el CDM confirme fortalezas, debilidades, oportunidades y amenazas.</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Fortalezas observadas</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Debilidades observadas</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Acceso a agua del acueducto dentro de la vivienda: 68.7% (país: 62.7%).</w:t>
              <w:br/>
              <w:t>• Base económica formal observable: 35 establecimientos en el DEE 2024.</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Recogida de residuos por el ayuntamiento: 71.7% (país: 85.9%).</w:t>
              <w:br/>
              <w:t>• Uso de internet: 66.6% (país: 79.0%).</w:t>
              <w:br/>
              <w:t>• Variación intercensal de 5.7%; urbanización de 39.7%.</w:t>
              <w:br/>
              <w:t>• Agua de acueducto dentro: 68.7%; hogares sin sanitario: 4.0%.</w:t>
              <w:br/>
              <w:t>• Recogida municipal declarada: 71.7%; quema: 24.5%.</w:t>
            </w:r>
          </w:p>
        </w:tc>
      </w:tr>
    </w:tbl>
    <w:p>
      <w:pPr>
        <w:spacing w:after="0"/>
      </w:pP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4680"/>
        <w:gridCol w:w="4680"/>
      </w:tblGrid>
      <w:tr>
        <w:trPr>
          <w:tblHeader w:val="true"/>
        </w:trPr>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Oportunidades por validar</w:t>
            </w:r>
          </w:p>
        </w:tc>
        <w:tc>
          <w:tcPr>
            <w:tcW w:type="dxa" w:w="468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Amenazas por validar</w:t>
            </w:r>
          </w:p>
        </w:tc>
      </w:tr>
      <w:tr>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Uso de la línea base del Dashboard para seguimiento anual y priorización territorial.</w:t>
              <w:br/>
              <w:t>• Coordinación con instituciones sectoriales cuando la competencia no sea exclusivamente municipal.</w:t>
            </w:r>
          </w:p>
        </w:tc>
        <w:tc>
          <w:tcPr>
            <w:tcW w:type="dxa" w:w="4680"/>
            <w:vAlign w:val="top"/>
            <w:tcMar>
              <w:top w:w="80" w:type="dxa"/>
              <w:start w:w="120" w:type="dxa"/>
              <w:bottom w:w="80" w:type="dxa"/>
              <w:end w:w="120" w:type="dxa"/>
            </w:tcMar>
          </w:tcPr>
          <w:p>
            <w:pPr>
              <w:spacing w:after="0"/>
            </w:pPr>
            <w:r>
              <w:rPr>
                <w:rFonts w:ascii="Calibri" w:hAnsi="Calibri" w:eastAsia="Calibri"/>
                <w:b w:val="0"/>
                <w:i w:val="0"/>
                <w:color w:val="203740"/>
                <w:sz w:val="17"/>
              </w:rPr>
              <w:t>• Decisiones basadas en promedios municipales que oculten diferencias entre barrios, secciones y parajes.</w:t>
              <w:br/>
              <w:t>• Desactualización de diagnósticos anteriores si no se verifican en campo y con registros administrativos.</w:t>
            </w:r>
          </w:p>
        </w:tc>
      </w:tr>
    </w:tbl>
    <w:p>
      <w:pPr>
        <w:spacing w:after="0"/>
      </w:pPr>
    </w:p>
    <w:p>
      <w:r>
        <w:br w:type="page"/>
      </w:r>
    </w:p>
    <w:p>
      <w:pPr>
        <w:pStyle w:val="Heading1"/>
      </w:pPr>
      <w:r>
        <w:t>4. Marco estratégico para validación</w:t>
      </w:r>
    </w:p>
    <w:p>
      <w:r>
        <w:t>La visión municipal no se completa automáticamente. Debe expresar una situación futura compartida y ser acordada por las instancias municipales correspondientes. Se propone la siguiente estructura de trabajo: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100"/>
        <w:gridCol w:w="4700"/>
        <w:gridCol w:w="2560"/>
      </w:tblGrid>
      <w:tr>
        <w:trPr>
          <w:tblHeader w:val="true"/>
        </w:trPr>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Componente</w:t>
            </w:r>
          </w:p>
        </w:tc>
        <w:tc>
          <w:tcPr>
            <w:tcW w:type="dxa" w:w="4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Base propuesta</w:t>
            </w:r>
          </w:p>
        </w:tc>
        <w:tc>
          <w:tcPr>
            <w:tcW w:type="dxa" w:w="25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Decisión requerida</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Visión municipal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Redactar en una frase el municipio deseado al cierre del período.</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CDM: acordar texto</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1 · Gestión y territorio</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Información, planificación, servicios y ordenamiento.</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2 · Desarrollo social</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Servicios básicos, educación, salud, inclusión y convivencia.</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Eje 3 · Economía local</w:t>
            </w:r>
          </w:p>
        </w:tc>
        <w:tc>
          <w:tcPr>
            <w:tcW w:type="dxa" w:w="4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Empleo, microempresas, activos productivos y articulación sectorial.</w:t>
            </w:r>
          </w:p>
        </w:tc>
        <w:tc>
          <w:tcPr>
            <w:tcW w:type="dxa" w:w="25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OMPP/CDM: confirmar</w:t>
            </w:r>
          </w:p>
        </w:tc>
      </w:tr>
      <w:tr>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t>Eje 4 · Ambiente y resiliencia</w:t>
            </w:r>
          </w:p>
        </w:tc>
        <w:tc>
          <w:tcPr>
            <w:tcW w:type="dxa" w:w="4700"/>
            <w:vAlign w:val="top"/>
            <w:tcMar>
              <w:top w:w="80" w:type="dxa"/>
              <w:start w:w="120" w:type="dxa"/>
              <w:bottom w:w="80" w:type="dxa"/>
              <w:end w:w="120" w:type="dxa"/>
            </w:tcMar>
          </w:tcPr>
          <w:p>
            <w:pPr>
              <w:spacing w:after="0"/>
            </w:pPr>
            <w:r>
              <w:rPr>
                <w:rFonts w:ascii="Calibri" w:hAnsi="Calibri" w:eastAsia="Calibri"/>
                <w:b w:val="0"/>
                <w:i w:val="0"/>
                <w:color w:val="203740"/>
                <w:sz w:val="17"/>
              </w:rPr>
              <w:t>Riesgos, recursos naturales, residuos y adaptación.</w:t>
            </w:r>
          </w:p>
        </w:tc>
        <w:tc>
          <w:tcPr>
            <w:tcW w:type="dxa" w:w="2560"/>
            <w:vAlign w:val="top"/>
            <w:tcMar>
              <w:top w:w="80" w:type="dxa"/>
              <w:start w:w="120" w:type="dxa"/>
              <w:bottom w:w="80" w:type="dxa"/>
              <w:end w:w="120" w:type="dxa"/>
            </w:tcMar>
          </w:tcPr>
          <w:p>
            <w:pPr>
              <w:spacing w:after="0"/>
            </w:pPr>
            <w:r>
              <w:rPr>
                <w:rFonts w:ascii="Calibri" w:hAnsi="Calibri" w:eastAsia="Calibri"/>
                <w:b w:val="0"/>
                <w:i w:val="0"/>
                <w:color w:val="203740"/>
                <w:sz w:val="17"/>
              </w:rPr>
              <w:t>OMPP/CDM: completar fuentes</w:t>
            </w:r>
          </w:p>
        </w:tc>
      </w:tr>
    </w:tbl>
    <w:p>
      <w:pPr>
        <w:spacing w:after="0"/>
      </w:pPr>
    </w:p>
    <w:p>
      <w:pPr>
        <w:pStyle w:val="Heading2"/>
      </w:pPr>
      <w:r>
        <w:t>4.1 Ideas iniciales de proyectos</w:t>
      </w:r>
    </w:p>
    <w:p>
      <w:r>
        <w:t>Las ideas siguientes derivan de brechas del diagnóstico. No incluyen costo, beneficiarios, cronograma, aprobación ni fuente de financiamiento.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500"/>
        <w:gridCol w:w="3900"/>
        <w:gridCol w:w="1460"/>
        <w:gridCol w:w="1500"/>
      </w:tblGrid>
      <w:tr>
        <w:trPr>
          <w:tblHeader w:val="true"/>
        </w:trPr>
        <w:tc>
          <w:tcPr>
            <w:tcW w:type="dxa" w:w="2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Idea</w:t>
            </w:r>
          </w:p>
        </w:tc>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Alcance antes de formular</w:t>
            </w:r>
          </w:p>
        </w:tc>
        <w:tc>
          <w:tcPr>
            <w:tcW w:type="dxa" w:w="1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inicial</w:t>
            </w:r>
          </w:p>
        </w:tc>
        <w:tc>
          <w:tcPr>
            <w:tcW w:type="dxa" w:w="15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Estado</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Sistema municipal de información territorial</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Desagregar indicadores por sectores y mantener línea base anual con fuente y responsable.</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DASH-BASE / DASH-URB</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Actualización del diagnóstico operativo de agua y saneamiento</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Localizar continuidad, calidad, cobertura y hogares críticos; coordinar responsabilidades sectoriales.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Optimización de rutas y control del manejo de residuos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Medir frecuencia, sectores no cubiertos, puntos críticos y disposición final.</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Mecanismo local de coordinación para permanencia educativa</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Validar datos con el distrito educativo y focalizar factores de abandono dentro de las competencias locales.</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vAlign w:val="top"/>
            <w:tcMar>
              <w:top w:w="80" w:type="dxa"/>
              <w:start w:w="120" w:type="dxa"/>
              <w:bottom w:w="80" w:type="dxa"/>
              <w:end w:w="120" w:type="dxa"/>
            </w:tcMar>
          </w:tcPr>
          <w:p>
            <w:pPr>
              <w:spacing w:after="0"/>
            </w:pPr>
            <w:r>
              <w:rPr>
                <w:rFonts w:ascii="Calibri" w:hAnsi="Calibri" w:eastAsia="Calibri"/>
                <w:b w:val="0"/>
                <w:i w:val="0"/>
                <w:color w:val="203740"/>
                <w:sz w:val="17"/>
              </w:rPr>
              <w:t>Programa de información y servicios para microempresas</w:t>
            </w:r>
          </w:p>
        </w:tc>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Caracterizar necesidades reales, formalidad, acceso a capacitación y articulación con instituciones competentes.</w:t>
            </w:r>
          </w:p>
        </w:tc>
        <w:tc>
          <w:tcPr>
            <w:tcW w:type="dxa" w:w="146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1500"/>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r>
        <w:tc>
          <w:tcPr>
            <w:tcW w:type="dxa" w:w="2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Acceso y alfabetización digital municipal</w:t>
            </w:r>
          </w:p>
        </w:tc>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Identificar grupos con menor acceso y usar espacios municipales existentes antes de definir inversión.</w:t>
            </w:r>
          </w:p>
        </w:tc>
        <w:tc>
          <w:tcPr>
            <w:tcW w:type="dxa" w:w="1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15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Pendiente de validación</w:t>
            </w:r>
          </w:p>
        </w:tc>
      </w:tr>
    </w:tbl>
    <w:p>
      <w:pPr>
        <w:spacing w:after="0"/>
      </w:pPr>
    </w:p>
    <w:p>
      <w:pPr>
        <w:pStyle w:val="Heading2"/>
      </w:pPr>
      <w:r>
        <w:t>4.2 Ficha para completar por proyecto</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2900"/>
        <w:gridCol w:w="6460"/>
      </w:tblGrid>
      <w:tr>
        <w:trPr>
          <w:tblHeader w:val="true"/>
        </w:trPr>
        <w:tc>
          <w:tcPr>
            <w:tcW w:type="dxa" w:w="2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Campo</w:t>
            </w:r>
          </w:p>
        </w:tc>
        <w:tc>
          <w:tcPr>
            <w:tcW w:type="dxa" w:w="64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Registro municipal</w:t>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Problema y evidencia</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Objetivo, resultado y meta</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Competencia legal</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Responsable y aliados</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Indicador y línea base</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Costo y financiamiento</w:t>
            </w:r>
          </w:p>
        </w:tc>
        <w:tc>
          <w:tcPr>
            <w:tcW w:type="dxa" w:w="64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2900"/>
            <w:vAlign w:val="top"/>
            <w:tcMar>
              <w:top w:w="80" w:type="dxa"/>
              <w:start w:w="120" w:type="dxa"/>
              <w:bottom w:w="80" w:type="dxa"/>
              <w:end w:w="120" w:type="dxa"/>
            </w:tcMar>
          </w:tcPr>
          <w:p>
            <w:pPr>
              <w:spacing w:after="0"/>
            </w:pPr>
            <w:r>
              <w:rPr>
                <w:rFonts w:ascii="Calibri" w:hAnsi="Calibri" w:eastAsia="Calibri"/>
                <w:b w:val="0"/>
                <w:i w:val="0"/>
                <w:color w:val="203740"/>
                <w:sz w:val="17"/>
              </w:rPr>
              <w:t>Validación OMPP / CDM</w:t>
            </w:r>
          </w:p>
        </w:tc>
        <w:tc>
          <w:tcPr>
            <w:tcW w:type="dxa" w:w="64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r>
        <w:br w:type="page"/>
      </w:r>
    </w:p>
    <w:p>
      <w:pPr>
        <w:pStyle w:val="Heading1"/>
      </w:pPr>
      <w:r>
        <w:t>5. Revisión, fuentes y trazabilidad</w:t>
      </w:r>
    </w:p>
    <w:p>
      <w:pPr>
        <w:pStyle w:val="Heading2"/>
      </w:pPr>
      <w:r>
        <w:t>5.1 Lista de control final</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3900"/>
        <w:gridCol w:w="2400"/>
        <w:gridCol w:w="3060"/>
      </w:tblGrid>
      <w:tr>
        <w:trPr>
          <w:tblHeader w:val="true"/>
        </w:trPr>
        <w:tc>
          <w:tcPr>
            <w:tcW w:type="dxa" w:w="39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Control</w:t>
            </w:r>
          </w:p>
        </w:tc>
        <w:tc>
          <w:tcPr>
            <w:tcW w:type="dxa" w:w="24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w:t>
            </w:r>
          </w:p>
        </w:tc>
        <w:tc>
          <w:tcPr>
            <w:tcW w:type="dxa" w:w="30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Evidencia / corrección</w:t>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Confirmar historia, norma de creación y límites</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Confirmar cifras, años, unidades y cobertura</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 / áreas técnicas</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Localizar brechas por barrio, sección o paraje</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Revisar continuidad de PMD anteriores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OMPP</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Validar síntesis y FODA</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CDM</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Acordar visión, objetivos y proyectos</w:t>
            </w:r>
          </w:p>
        </w:tc>
        <w:tc>
          <w:tcPr>
            <w:tcW w:type="dxa" w:w="24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CDM / Ayuntamiento</w:t>
            </w:r>
          </w:p>
        </w:tc>
        <w:tc>
          <w:tcPr>
            <w:tcW w:type="dxa" w:w="30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3900"/>
            <w:vAlign w:val="top"/>
            <w:tcMar>
              <w:top w:w="80" w:type="dxa"/>
              <w:start w:w="120" w:type="dxa"/>
              <w:bottom w:w="80" w:type="dxa"/>
              <w:end w:w="120" w:type="dxa"/>
            </w:tcMar>
          </w:tcPr>
          <w:p>
            <w:pPr>
              <w:spacing w:after="0"/>
            </w:pPr>
            <w:r>
              <w:rPr>
                <w:rFonts w:ascii="Calibri" w:hAnsi="Calibri" w:eastAsia="Calibri"/>
                <w:b w:val="0"/>
                <w:i w:val="0"/>
                <w:color w:val="203740"/>
                <w:sz w:val="17"/>
              </w:rPr>
              <w:t>Documentar aprobación y publicación</w:t>
            </w:r>
          </w:p>
        </w:tc>
        <w:tc>
          <w:tcPr>
            <w:tcW w:type="dxa" w:w="2400"/>
            <w:vAlign w:val="top"/>
            <w:tcMar>
              <w:top w:w="80" w:type="dxa"/>
              <w:start w:w="120" w:type="dxa"/>
              <w:bottom w:w="80" w:type="dxa"/>
              <w:end w:w="120" w:type="dxa"/>
            </w:tcMar>
          </w:tcPr>
          <w:p>
            <w:pPr>
              <w:spacing w:after="0"/>
            </w:pPr>
            <w:r>
              <w:rPr>
                <w:rFonts w:ascii="Calibri" w:hAnsi="Calibri" w:eastAsia="Calibri"/>
                <w:b w:val="0"/>
                <w:i w:val="0"/>
                <w:color w:val="203740"/>
                <w:sz w:val="17"/>
              </w:rPr>
              <w:t>Autoridad competente</w:t>
            </w:r>
          </w:p>
        </w:tc>
        <w:tc>
          <w:tcPr>
            <w:tcW w:type="dxa" w:w="30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p>
      <w:pPr>
        <w:pStyle w:val="Heading2"/>
      </w:pPr>
      <w:r>
        <w:t>5.2 Fuentes utilizadas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300"/>
        <w:gridCol w:w="3300"/>
        <w:gridCol w:w="1300"/>
        <w:gridCol w:w="2200"/>
        <w:gridCol w:w="1260"/>
      </w:tblGrid>
      <w:tr>
        <w:trPr>
          <w:tblHeader w:val="true"/>
        </w:trPr>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ID</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Documento</w:t>
            </w:r>
          </w:p>
        </w:tc>
        <w:tc>
          <w:tcPr>
            <w:tcW w:type="dxa" w:w="1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Año</w:t>
            </w:r>
          </w:p>
        </w:tc>
        <w:tc>
          <w:tcPr>
            <w:tcW w:type="dxa" w:w="22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Página / cobertura</w:t>
            </w:r>
          </w:p>
        </w:tc>
        <w:tc>
          <w:tcPr>
            <w:tcW w:type="dxa" w:w="1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Confianza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GEO-01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Clasificador geográfico y GeoJSON municipal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2026</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DASH-BASE</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Nacional de Población y Vivienda</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DASH-PYR</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edad y sexo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DASH-HOG</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hogares y viviendas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DASH-URB</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población urbana y rural</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DASH-VIDA</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condición de vida y servicios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DASH-EDU</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Anuario Estadístico Educativo</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Distrito asociado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DASH-EDU-NIVEL</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X Censo: nivel de instrucción</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DASH-ECO</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Directorio de Empresas y Establecimientos</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DASH-SALUD</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Registro de establecimientos SNS mostrado por Dashboard</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s/f</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Media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DASH-TIC</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X Censo: tecnologías de información</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2022</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Dataset municipal</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r>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WIKI-01</w:t>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Wikipedia en español: Villa Los Almácigos</w:t>
            </w:r>
          </w:p>
        </w:tc>
        <w:tc>
          <w:tcPr>
            <w:tcW w:type="dxa" w:w="1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2026-07-28</w:t>
            </w:r>
          </w:p>
        </w:tc>
        <w:tc>
          <w:tcPr>
            <w:tcW w:type="dxa" w:w="22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Sin paginación</w:t>
            </w:r>
          </w:p>
        </w:tc>
        <w:tc>
          <w:tcPr>
            <w:tcW w:type="dxa" w:w="1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t>Baja / secundaria</w:t>
            </w:r>
          </w:p>
        </w:tc>
      </w:tr>
      <w:tr>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PMD-ANT-01</w:t>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t>PMD de Villa Los Almácigos 2020-2024</w:t>
            </w:r>
          </w:p>
        </w:tc>
        <w:tc>
          <w:tcPr>
            <w:tcW w:type="dxa" w:w="1300"/>
            <w:vAlign w:val="top"/>
            <w:tcMar>
              <w:top w:w="80" w:type="dxa"/>
              <w:start w:w="120" w:type="dxa"/>
              <w:bottom w:w="80" w:type="dxa"/>
              <w:end w:w="120" w:type="dxa"/>
            </w:tcMar>
          </w:tcPr>
          <w:p>
            <w:pPr>
              <w:spacing w:after="0"/>
            </w:pPr>
            <w:r>
              <w:rPr>
                <w:rFonts w:ascii="Calibri" w:hAnsi="Calibri" w:eastAsia="Calibri"/>
                <w:b w:val="0"/>
                <w:i w:val="0"/>
                <w:color w:val="203740"/>
                <w:sz w:val="17"/>
              </w:rPr>
              <w:t>2020-2024</w:t>
            </w:r>
          </w:p>
        </w:tc>
        <w:tc>
          <w:tcPr>
            <w:tcW w:type="dxa" w:w="2200"/>
            <w:vAlign w:val="top"/>
            <w:tcMar>
              <w:top w:w="80" w:type="dxa"/>
              <w:start w:w="120" w:type="dxa"/>
              <w:bottom w:w="80" w:type="dxa"/>
              <w:end w:w="120" w:type="dxa"/>
            </w:tcMar>
          </w:tcPr>
          <w:p>
            <w:pPr>
              <w:spacing w:after="0"/>
            </w:pPr>
            <w:r>
              <w:rPr>
                <w:rFonts w:ascii="Calibri" w:hAnsi="Calibri" w:eastAsia="Calibri"/>
                <w:b w:val="0"/>
                <w:i w:val="0"/>
                <w:color w:val="203740"/>
                <w:sz w:val="17"/>
              </w:rPr>
              <w:t>131 páginas; citas específicas en texto</w:t>
            </w:r>
          </w:p>
        </w:tc>
        <w:tc>
          <w:tcPr>
            <w:tcW w:type="dxa" w:w="1260"/>
            <w:vAlign w:val="top"/>
            <w:tcMar>
              <w:top w:w="80" w:type="dxa"/>
              <w:start w:w="120" w:type="dxa"/>
              <w:bottom w:w="80" w:type="dxa"/>
              <w:end w:w="120" w:type="dxa"/>
            </w:tcMar>
          </w:tcPr>
          <w:p>
            <w:pPr>
              <w:spacing w:after="0"/>
            </w:pPr>
            <w:r>
              <w:rPr>
                <w:rFonts w:ascii="Calibri" w:hAnsi="Calibri" w:eastAsia="Calibri"/>
                <w:b w:val="0"/>
                <w:i w:val="0"/>
                <w:color w:val="203740"/>
                <w:sz w:val="17"/>
              </w:rPr>
              <w:t>Alta</w:t>
            </w:r>
          </w:p>
        </w:tc>
      </w:tr>
    </w:tbl>
    <w:p>
      <w:pPr>
        <w:spacing w:after="0"/>
      </w:pPr>
    </w:p>
    <w:p>
      <w:pPr>
        <w:pStyle w:val="SourceNote"/>
      </w:pPr>
      <w:r>
        <w:rPr>
          <w:rFonts w:ascii="Calibri" w:hAnsi="Calibri" w:eastAsia="Calibri"/>
          <w:b w:val="0"/>
          <w:i w:val="0"/>
          <w:color w:val="5E7076"/>
          <w:sz w:val="17"/>
        </w:rPr>
        <w:t>Fuente: Los datasets del Dashboard no tienen paginación. Cuando se usa texto de un PMD anterior, el rango de páginas se consigna en el párrafo correspondiente.</w:t>
      </w:r>
    </w:p>
    <w:p>
      <w:pPr>
        <w:pStyle w:val="Heading2"/>
      </w:pPr>
      <w:r>
        <w:t>5.3 Registro de correcciones</w:t>
      </w:r>
    </w:p>
    <w:tbl>
      <w:tblPr>
        <w:tblW w:type="dxa" w:w="9360"/>
        <w:tblLayout w:type="fixed"/>
        <w:tblLook w:firstColumn="1" w:firstRow="1" w:lastColumn="0" w:lastRow="0" w:noHBand="0" w:noVBand="1" w:val="04A0"/>
        <w:jc w:val="center"/>
        <w:tblInd w:w="120" w:type="dxa"/>
        <w:tblBorders>
          <w:top w:val="single" w:sz="5" w:color="D7E0E1"/>
          <w:left w:val="single" w:sz="5" w:color="D7E0E1"/>
          <w:bottom w:val="single" w:sz="5" w:color="D7E0E1"/>
          <w:right w:val="single" w:sz="5" w:color="D7E0E1"/>
          <w:insideH w:val="single" w:sz="5" w:color="D7E0E1"/>
          <w:insideV w:val="single" w:sz="5" w:color="D7E0E1"/>
        </w:tblBorders>
      </w:tblPr>
      <w:tblGrid>
        <w:gridCol w:w="1700"/>
        <w:gridCol w:w="3300"/>
        <w:gridCol w:w="2100"/>
        <w:gridCol w:w="2260"/>
      </w:tblGrid>
      <w:tr>
        <w:trPr>
          <w:tblHeader w:val="true"/>
        </w:trPr>
        <w:tc>
          <w:tcPr>
            <w:tcW w:type="dxa" w:w="17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Sección</w:t>
            </w:r>
          </w:p>
        </w:tc>
        <w:tc>
          <w:tcPr>
            <w:tcW w:type="dxa" w:w="33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Corrección</w:t>
            </w:r>
          </w:p>
        </w:tc>
        <w:tc>
          <w:tcPr>
            <w:tcW w:type="dxa" w:w="210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Fuente / página</w:t>
            </w:r>
          </w:p>
        </w:tc>
        <w:tc>
          <w:tcPr>
            <w:tcW w:type="dxa" w:w="2260"/>
            <w:tcMar>
              <w:top w:w="80" w:type="dxa"/>
              <w:start w:w="120" w:type="dxa"/>
              <w:bottom w:w="80" w:type="dxa"/>
              <w:end w:w="120" w:type="dxa"/>
            </w:tcMar>
            <w:shd w:fill="203740"/>
            <w:vAlign w:val="center"/>
          </w:tcPr>
          <w:p>
            <w:pPr>
              <w:spacing w:after="0"/>
            </w:pPr>
            <w:r>
              <w:rPr>
                <w:rFonts w:ascii="Calibri" w:hAnsi="Calibri" w:eastAsia="Calibri"/>
                <w:b/>
                <w:i w:val="0"/>
                <w:color w:val="FFFFFF"/>
                <w:sz w:val="17"/>
              </w:rPr>
              <w:t>Responsable / fecha</w:t>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vAlign w:val="top"/>
            <w:tcMar>
              <w:top w:w="80" w:type="dxa"/>
              <w:start w:w="120" w:type="dxa"/>
              <w:bottom w:w="80" w:type="dxa"/>
              <w:end w:w="120" w:type="dxa"/>
            </w:tcMar>
          </w:tcPr>
          <w:p>
            <w:pPr>
              <w:spacing w:after="0"/>
            </w:pPr>
            <w:r>
              <w:rPr>
                <w:rFonts w:ascii="Calibri" w:hAnsi="Calibri" w:eastAsia="Calibri"/>
                <w:b w:val="0"/>
                <w:i w:val="0"/>
                <w:color w:val="203740"/>
                <w:sz w:val="17"/>
              </w:rPr>
            </w:r>
          </w:p>
        </w:tc>
      </w:tr>
      <w:tr>
        <w:tc>
          <w:tcPr>
            <w:tcW w:type="dxa" w:w="17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33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10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c>
          <w:tcPr>
            <w:tcW w:type="dxa" w:w="2260"/>
            <w:shd w:fill="F7F9F9"/>
            <w:vAlign w:val="top"/>
            <w:tcMar>
              <w:top w:w="80" w:type="dxa"/>
              <w:start w:w="120" w:type="dxa"/>
              <w:bottom w:w="80" w:type="dxa"/>
              <w:end w:w="120" w:type="dxa"/>
            </w:tcMar>
          </w:tcPr>
          <w:p>
            <w:pPr>
              <w:spacing w:after="0"/>
            </w:pPr>
            <w:r>
              <w:rPr>
                <w:rFonts w:ascii="Calibri" w:hAnsi="Calibri" w:eastAsia="Calibri"/>
                <w:b w:val="0"/>
                <w:i w:val="0"/>
                <w:color w:val="203740"/>
                <w:sz w:val="17"/>
              </w:rPr>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E7076"/>
        <w:sz w:val="15"/>
      </w:rPr>
      <w:t xml:space="preserve">Villa Los Almácigos, Santiago Rodríguez · PMD 2025-2028 · </w:t>
    </w:r>
    <w:r>
      <w:rPr>
        <w:rFonts w:ascii="Calibri" w:hAnsi="Calibri" w:eastAsia="Calibri"/>
        <w:b/>
        <w:i w:val="0"/>
        <w:color w:val="9A5A18"/>
        <w:sz w:val="15"/>
      </w:rPr>
      <w:t>Borrador no aprobado</w:t>
    </w:r>
    <w:r>
      <w:rPr>
        <w:rFonts w:ascii="Calibri" w:hAnsi="Calibri" w:eastAsia="Calibri"/>
        <w:b w:val="0"/>
        <w:i w:val="0"/>
        <w:color w:val="5E7076"/>
        <w:sz w:val="15"/>
      </w:rP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jc w:val="center"/>
      <w:tblLayout w:type="fixed"/>
      <w:tblLook w:firstColumn="1" w:firstRow="1" w:lastColumn="0" w:lastRow="0" w:noHBand="0" w:noVBand="1" w:val="04A0"/>
      <w:tblInd w:w="120" w:type="dxa"/>
    </w:tblPr>
    <w:tblGrid>
      <w:gridCol w:w="6000"/>
      <w:gridCol w:w="3360"/>
    </w:tblGrid>
    <w:tr>
      <w:tc>
        <w:tcPr>
          <w:tcW w:type="dxa" w:w="6000"/>
          <w:tcMar>
            <w:top w:w="0" w:type="dxa"/>
            <w:start w:w="0" w:type="dxa"/>
            <w:bottom w:w="0" w:type="dxa"/>
            <w:end w:w="0" w:type="dxa"/>
          </w:tcMar>
        </w:tcPr>
        <w:p>
          <w:r>
            <w:rPr>
              <w:rFonts w:ascii="Calibri" w:hAnsi="Calibri" w:eastAsia="Calibri"/>
              <w:b/>
              <w:i w:val="0"/>
              <w:color w:val="14866D"/>
              <w:sz w:val="15"/>
            </w:rPr>
            <w:t>PLAN MUNICIPAL DE DESARROLLO · BORRADOR TÉCNICO</w:t>
          </w:r>
        </w:p>
      </w:tc>
      <w:tc>
        <w:tcPr>
          <w:tcW w:type="dxa" w:w="3360"/>
          <w:tcMar>
            <w:top w:w="0" w:type="dxa"/>
            <w:start w:w="0" w:type="dxa"/>
            <w:bottom w:w="0" w:type="dxa"/>
            <w:end w:w="0" w:type="dxa"/>
          </w:tcMar>
        </w:tcPr>
        <w:p>
          <w:pPr>
            <w:jc w:val="right"/>
          </w:pPr>
          <w:r>
            <w:rPr>
              <w:rFonts w:ascii="Calibri" w:hAnsi="Calibri" w:eastAsia="Calibri"/>
              <w:b w:val="0"/>
              <w:i w:val="0"/>
              <w:color w:val="5E7076"/>
              <w:sz w:val="15"/>
            </w:rPr>
            <w:t>Villa Los Almácigos · 04260002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Calibri"/>
      <w:color w:val="2037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PMD de Villa Los Almácigos - Borrador técnico sustantivo 2025-2028</dc:title>
  <dc:subject>Información general y diagnóstico precompletados con trazabilidad</dc:subject>
  <dc:creator>DDPT - Generación asistida para revisión municipal</dc:creator>
  <cp:keywords>PMD, municipio, diagnóstico, OMPP, CDM, trazabilidad, Dashboard</cp:keywords>
  <dc:description>generated by python-docx</dc:description>
  <cp:lastModifiedBy/>
  <cp:revision>1</cp:revision>
  <dcterms:created xsi:type="dcterms:W3CDTF">2013-12-23T23:15:00Z</dcterms:created>
  <dcterms:modified xsi:type="dcterms:W3CDTF">2013-12-23T23:15:00Z</dcterms:modified>
  <cp:category/>
</cp:coreProperties>
</file>