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Pedernales</w:t>
      </w:r>
    </w:p>
    <w:p>
      <w:pPr>
        <w:spacing w:after="600"/>
        <w:jc w:val="center"/>
      </w:pPr>
      <w:r>
        <w:rPr>
          <w:rFonts w:ascii="Calibri" w:hAnsi="Calibri" w:eastAsia="Calibri"/>
          <w:b w:val="0"/>
          <w:i w:val="0"/>
          <w:color w:val="5E7076"/>
          <w:sz w:val="24"/>
        </w:rPr>
        <w:t>Pedernales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Pedernales / Pedernales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06160001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Pedernales forma parte de la provincia Pedernales y se integra en la región de planificación Enriquillo. El código geográfico utilizado en este borrador es 06160001.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Pedernales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Pedernales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06160001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1,058.2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Pedernales registró 24,423 habitantes: 12,451 hombres (51.0%) y 11,972 mujeres (49.0%). Frente a los 24,291 habitantes censados en 2010, la población creció 0.5%. El cambio intercensal constituye la línea base para dimensionar servicios, infraestructura y demanda de suelo; no permite atribuir por sí solo causas de migración, fecundidad o movilidad residencial. [DASH-BASE]</w:t>
      </w:r>
    </w:p>
    <w:p>
      <w:r>
        <w:t>La distribución territorial muestra 20,784 habitantes en zona urbana (85.1%) y 3,639 en zona rural (14.9%). Esta relación debe considerarse al organizar rutas de servicios, mantenimiento vial, equipamientos y mecanismos de atención a comunidades dispersas. [DASH-URB]</w:t>
      </w:r>
    </w:p>
    <w:p>
      <w:r>
        <w:t>El municipio cuenta con 7,342 hogares y 24,312 personas residentes en hogares. El promedio es de 3.31 personas por hogar. El Censo registra 8,322 viviendas, de las cuales 7,175 estaban ocupadas y 1,137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Pedernales</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Pedernales.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Pedernales se distribuye aproximadamente en 32.6% de población menor de 15 años, 61.8% entre 15 y 64 años y 5.6% de 65 años o más. La relación de dependencia demográfica estimada es de 61.8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85.1% y el tamaño medio de los hogares es 3.31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43.1% de los hogares declara recibir agua del acueducto dentro de la vivienda, frente a 62.7% a escala nacional. Para agua de beber, el uso de botellones representa 69.9%. La comparación sugiere una condición de acceso físico y un patrón de consumo, pero no informa continuidad, presión, potabilidad ni costo. Esos cuatro aspectos deben verificarse antes de formular intervenciones. [DASH-VIDA]</w:t>
      </w:r>
    </w:p>
    <w:p>
      <w:r>
        <w:t>En saneamiento, 69.2% de los hogares reporta inodoro y 10.9%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85.2% de los hogares. La recogida de residuos por el ayuntamiento alcanza 74.0%, mientras 13.0% declara quemarlos. El gas propano es el combustible principal de cocina en 71.1%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20 centros y 6,380 matrículas agregadas. De ellas, 1,815 corresponden a inicial/primario, 3,995 a secundario y 570 a educación de adultos. La cobertura corresponde a la asociación territorial usada por el Dashboard y debe verificarse cuando el distrito educativo abarque más de un municipio. [DASH-EDU]</w:t>
      </w:r>
    </w:p>
    <w:p>
      <w:r>
        <w:t>Entre la población de referencia de tres años o más, 21.8% aparece sin nivel de instrucción y 33.4%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89.6% en primaria y 85.2%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79 establecimientos y un empleo estimado de 1,119.3, equivalente a 14.2 empleos por establecimiento. Los establecimientos de 1 a 10 personas representan 87.3% del total. Esto caracteriza la estructura formal observada por el DEE; no incluye necesariamente toda la economía informal, el autoempleo ni la producción agropecuaria familiar. [DASH-ECO]</w:t>
      </w:r>
    </w:p>
    <w:p>
      <w:r>
        <w:t>Las actividades con mayor empleo estimado en la fuente son Actividades de servicios administrativos y de apoyo (768.8 empleos estimados); Comercio al por mayor y al por menor; reparación de vehículos automotores y motocicletas (98.8 empleos estimados); Transporte y almacenamiento (52.9 empleos estimados). La mayor especialización relativa se observa en Actividades de servicios administrativos y de apoyo (cociente de localización 13.81).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55.8% y el de computadora 12.9%.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0.5%; urbanización de 85.1%.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43.1%; hogares sin sanitario: 10.9%.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74.0%; quema: 13.0%.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87.3%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55.8%; computadora: 12.9%.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79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43.1% (país: 62.7%).</w:t>
              <w:br/>
              <w:t>• Recogida de residuos por el ayuntamiento: 74.0% (país: 85.9%).</w:t>
              <w:br/>
              <w:t>• Uso de internet: 55.8% (país: 79.0%).</w:t>
              <w:br/>
              <w:t>• Abandono secundario del distrito asociado: 6.9%.</w:t>
              <w:br/>
              <w:t>• Variación intercensal de 0.5%; urbanización de 85.1%.</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Pedernales 2012-2016</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98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Pedernales, Pedernales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Pedernales · 06160001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Pedernales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